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D741" w14:textId="77777777" w:rsidR="001D5542" w:rsidRPr="001D5542" w:rsidRDefault="001D5542" w:rsidP="001D5542">
      <w:pPr>
        <w:keepNext/>
        <w:spacing w:before="240" w:after="60" w:line="240" w:lineRule="auto"/>
        <w:outlineLvl w:val="3"/>
        <w:rPr>
          <w:rFonts w:ascii="Times New Roman" w:eastAsia="Times New Roman" w:hAnsi="Times New Roman" w:cs="Times New Roman"/>
          <w:b/>
          <w:bCs/>
          <w:sz w:val="28"/>
          <w:szCs w:val="28"/>
          <w:lang w:val="en-US"/>
        </w:rPr>
      </w:pPr>
      <w:bookmarkStart w:id="0" w:name="_Toc256001583"/>
      <w:r w:rsidRPr="001D5542">
        <w:rPr>
          <w:rFonts w:ascii="Times New Roman" w:eastAsia="Times New Roman" w:hAnsi="Times New Roman" w:cs="Times New Roman"/>
          <w:b/>
          <w:bCs/>
          <w:noProof/>
          <w:sz w:val="28"/>
          <w:szCs w:val="28"/>
          <w:lang w:val="en-US"/>
        </w:rPr>
        <w:t>SRAT_M10.1.03_LOM - Transizione – Conservazione della biodiversità nelle risaie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D5542" w:rsidRPr="001D5542" w14:paraId="21F0CA6A"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EDC136"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1A2456"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SRAT_M10.1.03_LOM</w:t>
            </w:r>
          </w:p>
        </w:tc>
      </w:tr>
      <w:tr w:rsidR="001D5542" w:rsidRPr="001D5542" w14:paraId="4E00D6F7"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920FD0"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756718"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Transizione – Conservazione della biodiversità nelle risaie</w:t>
            </w:r>
          </w:p>
        </w:tc>
      </w:tr>
      <w:tr w:rsidR="001D5542" w:rsidRPr="001D5542" w14:paraId="37EAB58D"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439401"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91AEC5"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ENVCLIM(70) - Impegni in materia di ambiente e di clima e altri impegni in materia di gestione</w:t>
            </w:r>
          </w:p>
        </w:tc>
      </w:tr>
      <w:tr w:rsidR="001D5542" w:rsidRPr="001D5542" w14:paraId="3E15CD9E"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43B0F9"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E916A0"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Numero di ettari (eccetto i terreni forestali) o numero di altre unità soggetti a impegni climatico-ambientali che vanno oltre i requisiti obbligatori</w:t>
            </w:r>
          </w:p>
        </w:tc>
      </w:tr>
      <w:tr w:rsidR="001D5542" w:rsidRPr="001D5542" w14:paraId="7D2F905A"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7E09E7"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4EC526"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Ricambio generazionale: No</w:t>
            </w:r>
          </w:p>
          <w:p w14:paraId="7BEE21A9"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Ambiente: Sì</w:t>
            </w:r>
          </w:p>
          <w:p w14:paraId="798E4EF2"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Sistema di riduzioni ES: No</w:t>
            </w:r>
          </w:p>
          <w:p w14:paraId="6377922C"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LEADER: No</w:t>
            </w:r>
          </w:p>
        </w:tc>
      </w:tr>
    </w:tbl>
    <w:p w14:paraId="24C1BBE4" w14:textId="77777777" w:rsidR="001D5542" w:rsidRPr="001D5542" w:rsidRDefault="001D5542" w:rsidP="001D5542">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584"/>
      <w:r w:rsidRPr="001D5542">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3751E296" w14:textId="77777777" w:rsidR="001D5542" w:rsidRPr="001D5542" w:rsidRDefault="001D5542" w:rsidP="001D5542">
      <w:pPr>
        <w:spacing w:after="0" w:line="240" w:lineRule="auto"/>
        <w:rPr>
          <w:rFonts w:ascii="Times New Roman" w:eastAsia="Times New Roman" w:hAnsi="Times New Roman" w:cs="Times New Roman"/>
          <w:color w:val="000000"/>
          <w:sz w:val="2"/>
          <w:szCs w:val="24"/>
          <w:lang w:val="en-US"/>
        </w:rPr>
      </w:pPr>
      <w:r w:rsidRPr="001D5542">
        <w:rPr>
          <w:rFonts w:ascii="Times New Roman" w:eastAsia="Times New Roman" w:hAnsi="Times New Roman" w:cs="Times New Roman"/>
          <w:noProof/>
          <w:color w:val="000000"/>
          <w:sz w:val="24"/>
          <w:szCs w:val="24"/>
          <w:lang w:val="en-US"/>
        </w:rPr>
        <w:t xml:space="preserve">Ambito di applicazione territoriale: </w:t>
      </w:r>
      <w:r w:rsidRPr="001D5542">
        <w:rPr>
          <w:rFonts w:ascii="Times New Roman" w:eastAsia="Times New Roman" w:hAnsi="Times New Roman" w:cs="Times New Roman"/>
          <w:b/>
          <w:noProof/>
          <w:color w:val="000000"/>
          <w:sz w:val="24"/>
          <w:szCs w:val="24"/>
          <w:lang w:val="en-US"/>
        </w:rPr>
        <w:t>Regionale</w:t>
      </w:r>
    </w:p>
    <w:p w14:paraId="5B6E5647" w14:textId="77777777" w:rsidR="001D5542" w:rsidRPr="001D5542" w:rsidRDefault="001D5542" w:rsidP="001D5542">
      <w:pPr>
        <w:spacing w:after="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D5542" w:rsidRPr="001D5542" w14:paraId="2EE63A2C" w14:textId="77777777" w:rsidTr="001D5542">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32F0CE11" w14:textId="77777777" w:rsidR="001D5542" w:rsidRPr="001D5542" w:rsidRDefault="001D5542" w:rsidP="001D5542">
            <w:pPr>
              <w:spacing w:after="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5B1E27B5"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Descrizione</w:t>
            </w:r>
          </w:p>
        </w:tc>
      </w:tr>
      <w:tr w:rsidR="001D5542" w:rsidRPr="001D5542" w14:paraId="0C64ECF8" w14:textId="77777777" w:rsidTr="001D554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5287A5"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ITC4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2AA0BA"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Lombardia</w:t>
            </w:r>
          </w:p>
        </w:tc>
      </w:tr>
    </w:tbl>
    <w:p w14:paraId="16E3A11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4DBE9FBA"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5A6BAC7"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Ai sensi dell’articolo 155, paragrafo 3 del Reg. (Ue) 2115/2021 la Regione Lombardia prevede di utilizzare il Feasr 2023-2027 per onorare impegni pluriannuali, ancora pendenti, a favore dei beneficiari a valere del Reg. (Ue) 1305/2013 di cui alla misura 10.1.03 del PSR Lombardia 2014-2022 approvato, da ultimo, con Decisione C(2021)9139 del 6 dicembre 2021.</w:t>
            </w:r>
          </w:p>
          <w:p w14:paraId="58584792"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Si è reso necessario attivare il presente intervento specifico per onorare le spese in transizione, distinte dagli interventi ordinari del Piano strategico nazionale 2023-2027 di cui all’articolo 70 del Reg. (Ue) 2115/2021, in quanto la Regione Lombardia ha attestato che le condizioni di ammissibilità della misura del PSR 2014-2022 in questione non sono del tutto simili alle condizioni di ammissibilità descritte negli interventi di cui al Piano strategico nazionale 2023-2027</w:t>
            </w:r>
          </w:p>
        </w:tc>
      </w:tr>
    </w:tbl>
    <w:p w14:paraId="25028DCB"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585"/>
      <w:r w:rsidRPr="001D5542">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6E067BCF"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741F60C4" w14:textId="77777777" w:rsidTr="001D5542">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9C8B6F4"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Codice + descrizione dell'OBIETTIVO SPECIFICO DELLA PAC</w:t>
            </w:r>
            <w:r w:rsidRPr="001D5542">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1D5542" w:rsidRPr="001D5542" w14:paraId="37574A66" w14:textId="77777777" w:rsidTr="001D5542">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2D02CE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SO6 Contribuire ad arrestare e invertire la perdita di biodiversità, migliorare i servizi ecosistemici e preservare gli habitat e i paesaggi</w:t>
            </w:r>
          </w:p>
        </w:tc>
      </w:tr>
    </w:tbl>
    <w:p w14:paraId="2ACDF29D"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p w14:paraId="39E1366B"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586"/>
      <w:r w:rsidRPr="001D5542">
        <w:rPr>
          <w:rFonts w:ascii="Times New Roman" w:eastAsia="Times New Roman" w:hAnsi="Times New Roman" w:cs="Times New Roman"/>
          <w:bCs/>
          <w:iCs/>
          <w:noProof/>
          <w:color w:val="000000"/>
          <w:sz w:val="24"/>
          <w:szCs w:val="26"/>
          <w:lang w:val="en-US"/>
        </w:rPr>
        <w:t>3 Esigenza o esigenze affrontate mediante l'intervento</w:t>
      </w:r>
      <w:bookmarkEnd w:id="3"/>
    </w:p>
    <w:p w14:paraId="0FF1885B"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1D5542" w:rsidRPr="001D5542" w14:paraId="04E86DF5"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008CA99"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2C512A9F"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0DCE3D6"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51D6CEB"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Affrontata nel CSP</w:t>
            </w:r>
          </w:p>
        </w:tc>
      </w:tr>
      <w:tr w:rsidR="001D5542" w:rsidRPr="001D5542" w14:paraId="48634E1C"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3CF09C6"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E2.7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8B6CC7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Favorire la tutela e valorizzazione della biodiversità animale e vegetale e della biodiversità natur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7CFD644"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B5BB60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Sì</w:t>
            </w:r>
          </w:p>
        </w:tc>
      </w:tr>
    </w:tbl>
    <w:p w14:paraId="24B87605"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587"/>
      <w:r w:rsidRPr="001D5542">
        <w:rPr>
          <w:rFonts w:ascii="Times New Roman" w:eastAsia="Times New Roman" w:hAnsi="Times New Roman" w:cs="Times New Roman"/>
          <w:bCs/>
          <w:iCs/>
          <w:noProof/>
          <w:color w:val="000000"/>
          <w:sz w:val="24"/>
          <w:szCs w:val="26"/>
          <w:lang w:val="en-US"/>
        </w:rPr>
        <w:t>4 Indicatore o indicatori di risultato</w:t>
      </w:r>
      <w:bookmarkEnd w:id="4"/>
    </w:p>
    <w:p w14:paraId="53945C3B"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776A23CB"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DA32908"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Codice + Descrizione degli INDICATORI DI RISULTATO</w:t>
            </w:r>
            <w:r w:rsidRPr="001D5542">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1D5542" w:rsidRPr="001D5542" w14:paraId="27BD8DC0"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DEC27B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R.31 Percentuale della superficie agricola utilizzata (SAU) soggetta a impegni sovvenzionati a sostegno della conservazione o del ripristino della biodiversità, incluse le pratiche agricole ad alto valore naturale</w:t>
            </w:r>
          </w:p>
        </w:tc>
      </w:tr>
    </w:tbl>
    <w:p w14:paraId="2DF3BD8B"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588"/>
      <w:r w:rsidRPr="001D5542">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7ABB3936"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0100DDFA"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B8EC3E6"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Finalità e descrizione generale</w:t>
            </w:r>
          </w:p>
          <w:p w14:paraId="2EFE555A"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p w14:paraId="6E1D2ED7"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p>
          <w:p w14:paraId="709AE371"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Collegamento con le esigenze e rilievo strategico</w:t>
            </w:r>
          </w:p>
          <w:p w14:paraId="01145147"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lastRenderedPageBreak/>
              <w:t>L’intervento, coerentemente con l’Obiettivo specifico 6, risponde ai fabbisogni delineati nelle Esigenze E2.7.</w:t>
            </w:r>
          </w:p>
          <w:p w14:paraId="037EC193"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L’intervento contribuisce al raggiungimento del 35% di quota FEASR da destinare al sostegno dell’azione per il clima e l’ambiente.</w:t>
            </w:r>
          </w:p>
          <w:p w14:paraId="30D4E165"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p>
          <w:p w14:paraId="71D7BF7B"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Collegamento con i risultati</w:t>
            </w:r>
          </w:p>
          <w:p w14:paraId="7CD9BFCA"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L’intervento fornisce un contributo nell’ambito dell’Obiettivo specifico 6 all’indicatore di risultato R.31.</w:t>
            </w:r>
          </w:p>
          <w:p w14:paraId="489F9268"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p>
          <w:p w14:paraId="2CC07A85"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Collegamento con altri interventi</w:t>
            </w:r>
          </w:p>
          <w:p w14:paraId="6F2918E1"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p w14:paraId="16AC6468"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p>
          <w:p w14:paraId="6E949636"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Principi concernenti la definizione di criteri di selezione</w:t>
            </w:r>
          </w:p>
          <w:p w14:paraId="55538ACE"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19506AD5"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192B9BDC"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D1F2AE6"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Criteri di ammissibilità dei beneficiari</w:t>
            </w:r>
          </w:p>
          <w:p w14:paraId="6FBD7D66"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p w14:paraId="5380B148"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b/>
                <w:bCs/>
                <w:noProof/>
                <w:sz w:val="24"/>
                <w:szCs w:val="24"/>
                <w:lang w:val="en-US"/>
              </w:rPr>
              <w:t>Altri criteri di ammissibilità</w:t>
            </w:r>
          </w:p>
          <w:p w14:paraId="0B1E017C"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3907080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7955BD0F"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DCC1530"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6942D47E"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014 Quale zona è ammissibile?</w:t>
      </w:r>
    </w:p>
    <w:p w14:paraId="43DEE347"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AreaCheckbox1"/>
            <w:enabled/>
            <w:calcOnExit w:val="0"/>
            <w:checkBox>
              <w:size w:val="20"/>
              <w:default w:val="1"/>
              <w:checked/>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Superficie agricola definita per il piano PAC</w:t>
      </w:r>
    </w:p>
    <w:p w14:paraId="58C1FE26"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AreaCheckbox2"/>
            <w:enabled/>
            <w:calcOnExit w:val="0"/>
            <w:checkBox>
              <w:size w:val="20"/>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Terreni agricoli compresa la superficie agricola e oltre a questa</w:t>
      </w:r>
    </w:p>
    <w:p w14:paraId="253FCC1A"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AreaCheckbox3"/>
            <w:enabled/>
            <w:calcOnExit w:val="0"/>
            <w:checkBox>
              <w:size w:val="20"/>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Terreni non agricoli</w:t>
      </w:r>
    </w:p>
    <w:p w14:paraId="1B85C230"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p w14:paraId="75775C83"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589"/>
      <w:r w:rsidRPr="001D5542">
        <w:rPr>
          <w:rFonts w:ascii="Times New Roman" w:eastAsia="Times New Roman" w:hAnsi="Times New Roman" w:cs="Times New Roman"/>
          <w:bCs/>
          <w:iCs/>
          <w:noProof/>
          <w:color w:val="000000"/>
          <w:sz w:val="24"/>
          <w:szCs w:val="26"/>
          <w:lang w:val="en-US"/>
        </w:rPr>
        <w:t>6 Individuazione degli elementi di base pertinenti</w:t>
      </w:r>
      <w:bookmarkEnd w:id="6"/>
    </w:p>
    <w:p w14:paraId="7F250CD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4B699840"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Elenco delle BCAA e dei CGO pertinenti</w:t>
      </w:r>
    </w:p>
    <w:p w14:paraId="2D029F80"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D5542" w:rsidRPr="001D5542" w14:paraId="17216719"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8ADB994"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BB558E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Descrizione</w:t>
            </w:r>
          </w:p>
        </w:tc>
      </w:tr>
      <w:tr w:rsidR="001D5542" w:rsidRPr="001D5542" w14:paraId="5D0B27DF"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77CEC3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GAEC03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E7FEF47"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Divieto di bruciare le stoppie, se non per motivi di salute delle piante</w:t>
            </w:r>
          </w:p>
        </w:tc>
      </w:tr>
      <w:tr w:rsidR="001D5542" w:rsidRPr="001D5542" w14:paraId="09BFF077" w14:textId="77777777" w:rsidTr="001D554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0056EE1"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GAEC06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B7B718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Copertura minima del suolo per evitare di lasciare nudo il suolo nei periodi più sensibili</w:t>
            </w:r>
          </w:p>
        </w:tc>
      </w:tr>
    </w:tbl>
    <w:p w14:paraId="2378A83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Elenco delle norme nazionali obbligatorie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6383340A"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6DA65E0"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Nessuna</w:t>
            </w:r>
          </w:p>
        </w:tc>
      </w:tr>
    </w:tbl>
    <w:p w14:paraId="3B705287"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Collegamento tra BCAA, CGO e norme nazionali e 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24E3FFF1"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F1AD849" w14:textId="77777777" w:rsidR="001D5542" w:rsidRPr="001D5542" w:rsidRDefault="001D5542" w:rsidP="001D5542">
            <w:pPr>
              <w:spacing w:before="40" w:after="40" w:line="240" w:lineRule="auto"/>
              <w:jc w:val="both"/>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BCAA 3 - L’impegno di baseline prevede il divieto di bruciatura delle stoppie, mentre l’impegno accessorio “mantenimento stoppie in campo” dell’operazione va al di là della baseline in quanto prevede anche la permanenza delle stoppie in campo fino alla fine del periodo invernale. Pertanto l’impegno dell’operazione è di livello superiore rispetto la baseline.</w:t>
            </w:r>
          </w:p>
          <w:p w14:paraId="23E86128"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 xml:space="preserve">BCAA 6 – L’impegno di baseline prevede, sulle superfici a seminativo, una copertura minima erbacea del suolo o, in alternativa, di mantenere in campo i residui della coltura precedente, per evitare di lasciare nudo il suolo nei periodi più sensibili (per 60 giorni consecutivi compresi nell'intervallo temporale tra il 15 settembre e il 15 maggio). Gli impegni dell’operazione risultano di livello superiore rispetto alla baseline in quanto l’impegno accessorio “cover crop” prevede la semina di una copertura vegetale con </w:t>
            </w:r>
            <w:r w:rsidRPr="001D5542">
              <w:rPr>
                <w:rFonts w:ascii="Times New Roman" w:eastAsia="Times New Roman" w:hAnsi="Times New Roman" w:cs="Times New Roman"/>
                <w:noProof/>
                <w:color w:val="000000"/>
                <w:sz w:val="24"/>
                <w:szCs w:val="24"/>
                <w:lang w:val="en-US"/>
              </w:rPr>
              <w:lastRenderedPageBreak/>
              <w:t>determinate essenze (leguminose ad esempio, veccia, trifoglio, anche in consociazione) che permane in campo per un periodo più lungo rispetto a quello previsto dalla BCAA 6.</w:t>
            </w:r>
          </w:p>
        </w:tc>
      </w:tr>
    </w:tbl>
    <w:p w14:paraId="59DE942B"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590"/>
      <w:r w:rsidRPr="001D5542">
        <w:rPr>
          <w:rFonts w:ascii="Times New Roman" w:eastAsia="Times New Roman" w:hAnsi="Times New Roman" w:cs="Times New Roman"/>
          <w:bCs/>
          <w:iCs/>
          <w:noProof/>
          <w:color w:val="000000"/>
          <w:sz w:val="24"/>
          <w:szCs w:val="26"/>
          <w:lang w:val="en-US"/>
        </w:rPr>
        <w:lastRenderedPageBreak/>
        <w:t>7 Forma e percentuale del sostegno /importi/metodi di calcolo</w:t>
      </w:r>
      <w:bookmarkEnd w:id="7"/>
    </w:p>
    <w:p w14:paraId="4AE72ABC" w14:textId="77777777" w:rsidR="001D5542" w:rsidRPr="001D5542" w:rsidRDefault="001D5542" w:rsidP="001D5542">
      <w:pPr>
        <w:spacing w:before="20" w:after="20" w:line="240" w:lineRule="auto"/>
        <w:rPr>
          <w:rFonts w:ascii="Times New Roman" w:eastAsia="Times New Roman" w:hAnsi="Times New Roman" w:cs="Times New Roman"/>
          <w:b/>
          <w:color w:val="000000"/>
          <w:sz w:val="24"/>
          <w:szCs w:val="24"/>
          <w:lang w:val="en-US"/>
        </w:rPr>
      </w:pPr>
      <w:r w:rsidRPr="001D5542">
        <w:rPr>
          <w:rFonts w:ascii="Times New Roman" w:eastAsia="Times New Roman" w:hAnsi="Times New Roman" w:cs="Times New Roman"/>
          <w:b/>
          <w:color w:val="000000"/>
          <w:sz w:val="24"/>
          <w:szCs w:val="24"/>
          <w:lang w:val="en-US"/>
        </w:rPr>
        <w:fldChar w:fldCharType="begin">
          <w:ffData>
            <w:name w:val="cbIacs"/>
            <w:enabled/>
            <w:calcOnExit w:val="0"/>
            <w:checkBox>
              <w:size w:val="24"/>
              <w:default w:val="1"/>
              <w:checked/>
            </w:checkBox>
          </w:ffData>
        </w:fldChar>
      </w:r>
      <w:r w:rsidRPr="001D5542">
        <w:rPr>
          <w:rFonts w:ascii="Times New Roman" w:eastAsia="Times New Roman" w:hAnsi="Times New Roman" w:cs="Times New Roman"/>
          <w:b/>
          <w:noProof/>
          <w:color w:val="000000"/>
          <w:sz w:val="24"/>
          <w:szCs w:val="24"/>
          <w:lang w:val="en-US"/>
        </w:rPr>
        <w:instrText xml:space="preserve"> FORMCHECKBOX </w:instrText>
      </w:r>
      <w:r w:rsidRPr="001D5542">
        <w:rPr>
          <w:rFonts w:ascii="Times New Roman" w:eastAsia="Times New Roman" w:hAnsi="Times New Roman" w:cs="Times New Roman"/>
          <w:b/>
          <w:color w:val="000000"/>
          <w:sz w:val="24"/>
          <w:szCs w:val="24"/>
          <w:lang w:val="en-US"/>
        </w:rPr>
      </w:r>
      <w:r w:rsidRPr="001D5542">
        <w:rPr>
          <w:rFonts w:ascii="Times New Roman" w:eastAsia="Times New Roman" w:hAnsi="Times New Roman" w:cs="Times New Roman"/>
          <w:b/>
          <w:color w:val="000000"/>
          <w:sz w:val="24"/>
          <w:szCs w:val="24"/>
          <w:lang w:val="en-US"/>
        </w:rPr>
        <w:fldChar w:fldCharType="separate"/>
      </w:r>
      <w:r w:rsidRPr="001D5542">
        <w:rPr>
          <w:rFonts w:ascii="Times New Roman" w:eastAsia="Times New Roman" w:hAnsi="Times New Roman" w:cs="Times New Roman"/>
          <w:b/>
          <w:color w:val="000000"/>
          <w:sz w:val="24"/>
          <w:szCs w:val="24"/>
          <w:lang w:val="en-US"/>
        </w:rPr>
        <w:fldChar w:fldCharType="end"/>
      </w:r>
      <w:r w:rsidRPr="001D5542">
        <w:rPr>
          <w:rFonts w:ascii="Times New Roman" w:eastAsia="Times New Roman" w:hAnsi="Times New Roman" w:cs="Times New Roman"/>
          <w:b/>
          <w:noProof/>
          <w:color w:val="000000"/>
          <w:sz w:val="24"/>
          <w:szCs w:val="24"/>
          <w:lang w:val="en-US"/>
        </w:rPr>
        <w:t xml:space="preserve"> SIGC</w:t>
      </w:r>
    </w:p>
    <w:p w14:paraId="215F4477" w14:textId="77777777" w:rsidR="001D5542" w:rsidRPr="001D5542" w:rsidRDefault="001D5542" w:rsidP="001D5542">
      <w:pPr>
        <w:spacing w:before="20" w:after="20" w:line="240" w:lineRule="auto"/>
        <w:rPr>
          <w:rFonts w:ascii="Times New Roman" w:eastAsia="Times New Roman" w:hAnsi="Times New Roman" w:cs="Times New Roman"/>
          <w:b/>
          <w:color w:val="000000"/>
          <w:sz w:val="24"/>
          <w:szCs w:val="24"/>
          <w:lang w:val="en-US"/>
        </w:rPr>
      </w:pPr>
      <w:r w:rsidRPr="001D5542">
        <w:rPr>
          <w:rFonts w:ascii="Times New Roman" w:eastAsia="Times New Roman" w:hAnsi="Times New Roman" w:cs="Times New Roman"/>
          <w:b/>
          <w:color w:val="000000"/>
          <w:sz w:val="24"/>
          <w:szCs w:val="24"/>
          <w:lang w:val="en-US"/>
        </w:rPr>
        <w:fldChar w:fldCharType="begin">
          <w:ffData>
            <w:name w:val="cbNonIacs"/>
            <w:enabled/>
            <w:calcOnExit w:val="0"/>
            <w:checkBox>
              <w:size w:val="24"/>
              <w:default w:val="0"/>
              <w:checked w:val="0"/>
            </w:checkBox>
          </w:ffData>
        </w:fldChar>
      </w:r>
      <w:r w:rsidRPr="001D5542">
        <w:rPr>
          <w:rFonts w:ascii="Times New Roman" w:eastAsia="Times New Roman" w:hAnsi="Times New Roman" w:cs="Times New Roman"/>
          <w:b/>
          <w:noProof/>
          <w:color w:val="000000"/>
          <w:sz w:val="24"/>
          <w:szCs w:val="24"/>
          <w:lang w:val="en-US"/>
        </w:rPr>
        <w:instrText xml:space="preserve"> FORMCHECKBOX </w:instrText>
      </w:r>
      <w:r w:rsidRPr="001D5542">
        <w:rPr>
          <w:rFonts w:ascii="Times New Roman" w:eastAsia="Times New Roman" w:hAnsi="Times New Roman" w:cs="Times New Roman"/>
          <w:b/>
          <w:color w:val="000000"/>
          <w:sz w:val="24"/>
          <w:szCs w:val="24"/>
          <w:lang w:val="en-US"/>
        </w:rPr>
      </w:r>
      <w:r w:rsidRPr="001D5542">
        <w:rPr>
          <w:rFonts w:ascii="Times New Roman" w:eastAsia="Times New Roman" w:hAnsi="Times New Roman" w:cs="Times New Roman"/>
          <w:b/>
          <w:color w:val="000000"/>
          <w:sz w:val="24"/>
          <w:szCs w:val="24"/>
          <w:lang w:val="en-US"/>
        </w:rPr>
        <w:fldChar w:fldCharType="separate"/>
      </w:r>
      <w:r w:rsidRPr="001D5542">
        <w:rPr>
          <w:rFonts w:ascii="Times New Roman" w:eastAsia="Times New Roman" w:hAnsi="Times New Roman" w:cs="Times New Roman"/>
          <w:b/>
          <w:color w:val="000000"/>
          <w:sz w:val="24"/>
          <w:szCs w:val="24"/>
          <w:lang w:val="en-US"/>
        </w:rPr>
        <w:fldChar w:fldCharType="end"/>
      </w:r>
      <w:r w:rsidRPr="001D5542">
        <w:rPr>
          <w:rFonts w:ascii="Times New Roman" w:eastAsia="Times New Roman" w:hAnsi="Times New Roman" w:cs="Times New Roman"/>
          <w:b/>
          <w:noProof/>
          <w:color w:val="000000"/>
          <w:sz w:val="24"/>
          <w:szCs w:val="24"/>
          <w:lang w:val="en-US"/>
        </w:rPr>
        <w:t xml:space="preserve"> Non SIGC</w:t>
      </w:r>
    </w:p>
    <w:p w14:paraId="5ED25EB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p>
    <w:p w14:paraId="4788C2B6" w14:textId="77777777" w:rsidR="001D5542" w:rsidRPr="001D5542" w:rsidRDefault="001D5542" w:rsidP="001D5542">
      <w:pPr>
        <w:spacing w:before="20" w:after="20" w:line="240" w:lineRule="auto"/>
        <w:rPr>
          <w:rFonts w:ascii="Times New Roman" w:eastAsia="Times New Roman" w:hAnsi="Times New Roman" w:cs="Times New Roman"/>
          <w:color w:val="000000"/>
          <w:sz w:val="28"/>
          <w:szCs w:val="24"/>
          <w:lang w:val="en-US"/>
        </w:rPr>
      </w:pPr>
      <w:r w:rsidRPr="001D5542">
        <w:rPr>
          <w:rFonts w:ascii="Times New Roman" w:eastAsia="Times New Roman" w:hAnsi="Times New Roman" w:cs="Times New Roman"/>
          <w:noProof/>
          <w:color w:val="000000"/>
          <w:sz w:val="28"/>
          <w:szCs w:val="24"/>
          <w:lang w:val="en-US"/>
        </w:rPr>
        <w:t>Sezione SIGC</w:t>
      </w:r>
    </w:p>
    <w:p w14:paraId="64A2A25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Tipo di pagamenti</w:t>
      </w:r>
    </w:p>
    <w:p w14:paraId="4E3B0F3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TOPIACSA"/>
            <w:enabled/>
            <w:calcOnExit w:val="0"/>
            <w:checkBox>
              <w:size w:val="24"/>
              <w:default w:val="1"/>
              <w:checked/>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costo unitario basato sui costi aggiuntivi e sul mancato guadagno</w:t>
      </w:r>
    </w:p>
    <w:p w14:paraId="4AC2A2FE"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TOPIACSB"/>
            <w:enabled/>
            <w:calcOnExit w:val="0"/>
            <w:checkBox>
              <w:size w:val="24"/>
              <w:default w:val="1"/>
              <w:checked/>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costo della transazione incluso</w:t>
      </w:r>
    </w:p>
    <w:p w14:paraId="27F3BC1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TOPIACSC"/>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pagamento unico</w:t>
      </w:r>
    </w:p>
    <w:p w14:paraId="4C83CC0B"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TOPIACSD"/>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somma forfettaria</w:t>
      </w:r>
    </w:p>
    <w:p w14:paraId="7737AE57" w14:textId="77777777" w:rsidR="001D5542" w:rsidRPr="001D5542" w:rsidRDefault="001D5542" w:rsidP="001D5542">
      <w:pPr>
        <w:spacing w:before="20" w:after="20" w:line="240" w:lineRule="auto"/>
        <w:rPr>
          <w:rFonts w:ascii="Times New Roman" w:eastAsia="Times New Roman" w:hAnsi="Times New Roman" w:cs="Times New Roman"/>
          <w:color w:val="000000"/>
          <w:sz w:val="12"/>
          <w:szCs w:val="24"/>
          <w:lang w:val="en-US"/>
        </w:rPr>
      </w:pPr>
    </w:p>
    <w:p w14:paraId="2E28327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4408B8BC"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72510F7"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1DA3D872"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Metodo di calcolo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44B35DAA"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1B34037"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301D1AE0"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05A07285"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79CCE3A"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77561DEC"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591"/>
      <w:r w:rsidRPr="001D5542">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3DC6DD1F"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111DC7CE"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Sì      </w:t>
      </w:r>
      <w:r w:rsidRPr="001D5542">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No      </w:t>
      </w:r>
      <w:r w:rsidRPr="001D5542">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Misto      </w:t>
      </w:r>
    </w:p>
    <w:p w14:paraId="3E86DFA3"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Tipo di strumento di aiuto di Stato da utilizzare per l'autorizzazione:</w:t>
      </w:r>
    </w:p>
    <w:p w14:paraId="573E33B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Notifica      </w:t>
      </w:r>
      <w:r w:rsidRPr="001D554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Regolamento generale di esenzione per categoria      </w:t>
      </w:r>
      <w:r w:rsidRPr="001D554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Regolamento di esenzione per categoria nel settore agricolo      </w:t>
      </w:r>
      <w:r w:rsidRPr="001D554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Importo minimo      </w:t>
      </w:r>
    </w:p>
    <w:p w14:paraId="0853334D"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592"/>
      <w:r w:rsidRPr="001D5542">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7AE3C472"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Quali sono i modelli degli impegni nell'intervento?</w:t>
      </w:r>
    </w:p>
    <w:p w14:paraId="0EF44174"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ENVCLIMA_TYPE_1"/>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basati sui risultati (con possibilità di scegliere)</w:t>
      </w:r>
    </w:p>
    <w:p w14:paraId="4B7FB25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ENVCLIMA_TYPE_2"/>
            <w:enabled/>
            <w:calcOnExit w:val="0"/>
            <w:checkBox>
              <w:size w:val="24"/>
              <w:default w:val="1"/>
              <w:checked/>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basati sulla gestione (con possibilità di scegliere)</w:t>
      </w:r>
    </w:p>
    <w:p w14:paraId="7CE8A996"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color w:val="000000"/>
          <w:sz w:val="24"/>
          <w:szCs w:val="24"/>
          <w:lang w:val="en-US"/>
        </w:rPr>
        <w:fldChar w:fldCharType="begin">
          <w:ffData>
            <w:name w:val="cb_ENVCLIMA_TYPE_3"/>
            <w:enabled/>
            <w:calcOnExit w:val="0"/>
            <w:checkBox>
              <w:size w:val="24"/>
              <w:default w:val="0"/>
              <w:checked w:val="0"/>
            </w:checkBox>
          </w:ffData>
        </w:fldChar>
      </w:r>
      <w:r w:rsidRPr="001D5542">
        <w:rPr>
          <w:rFonts w:ascii="Times New Roman" w:eastAsia="Times New Roman" w:hAnsi="Times New Roman" w:cs="Times New Roman"/>
          <w:noProof/>
          <w:color w:val="000000"/>
          <w:sz w:val="24"/>
          <w:szCs w:val="24"/>
          <w:lang w:val="en-US"/>
        </w:rPr>
        <w:instrText xml:space="preserve"> FORMCHECKBOX </w:instrText>
      </w:r>
      <w:r w:rsidRPr="001D5542">
        <w:rPr>
          <w:rFonts w:ascii="Times New Roman" w:eastAsia="Times New Roman" w:hAnsi="Times New Roman" w:cs="Times New Roman"/>
          <w:color w:val="000000"/>
          <w:sz w:val="24"/>
          <w:szCs w:val="24"/>
          <w:lang w:val="en-US"/>
        </w:rPr>
      </w:r>
      <w:r w:rsidRPr="001D5542">
        <w:rPr>
          <w:rFonts w:ascii="Times New Roman" w:eastAsia="Times New Roman" w:hAnsi="Times New Roman" w:cs="Times New Roman"/>
          <w:color w:val="000000"/>
          <w:sz w:val="24"/>
          <w:szCs w:val="24"/>
          <w:lang w:val="en-US"/>
        </w:rPr>
        <w:fldChar w:fldCharType="separate"/>
      </w:r>
      <w:r w:rsidRPr="001D5542">
        <w:rPr>
          <w:rFonts w:ascii="Times New Roman" w:eastAsia="Times New Roman" w:hAnsi="Times New Roman" w:cs="Times New Roman"/>
          <w:color w:val="000000"/>
          <w:sz w:val="24"/>
          <w:szCs w:val="24"/>
          <w:lang w:val="en-US"/>
        </w:rPr>
        <w:fldChar w:fldCharType="end"/>
      </w:r>
      <w:r w:rsidRPr="001D5542">
        <w:rPr>
          <w:rFonts w:ascii="Times New Roman" w:eastAsia="Times New Roman" w:hAnsi="Times New Roman" w:cs="Times New Roman"/>
          <w:noProof/>
          <w:color w:val="000000"/>
          <w:sz w:val="24"/>
          <w:szCs w:val="24"/>
          <w:lang w:val="en-US"/>
        </w:rPr>
        <w:t xml:space="preserve"> ibridi (basati sulla gestione e sui risultati)</w:t>
      </w:r>
    </w:p>
    <w:p w14:paraId="04BEC95F"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p>
    <w:p w14:paraId="263FE7F4"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Spiegare gli obblighi/le possibilità per i beneficiari in relazione agli impegni stabiliti nell'intervento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5BD1B78B"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CB23615"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177B2957"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p w14:paraId="6AED99E9"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Qual è la durata dei contratti?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1DC23A5B"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8367F66"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Vedere il relativo testo in vigore del PSR Lombardia 2014-2022</w:t>
            </w:r>
          </w:p>
        </w:tc>
      </w:tr>
    </w:tbl>
    <w:p w14:paraId="3F4587C8"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p w14:paraId="6976CB83"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p>
    <w:p w14:paraId="0D6A41DA"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593"/>
      <w:r w:rsidRPr="001D5542">
        <w:rPr>
          <w:rFonts w:ascii="Times New Roman" w:eastAsia="Times New Roman" w:hAnsi="Times New Roman" w:cs="Times New Roman"/>
          <w:bCs/>
          <w:iCs/>
          <w:noProof/>
          <w:color w:val="000000"/>
          <w:sz w:val="24"/>
          <w:szCs w:val="26"/>
          <w:lang w:val="en-US"/>
        </w:rPr>
        <w:t>10 Rispetto delle norme OMC</w:t>
      </w:r>
      <w:bookmarkEnd w:id="10"/>
    </w:p>
    <w:p w14:paraId="406CF2D4"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 xml:space="preserve"> Green Box</w:t>
      </w:r>
    </w:p>
    <w:p w14:paraId="2EAC966B"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Allegato 2, punto 12, dell'accordo dell'OMC</w:t>
      </w:r>
    </w:p>
    <w:p w14:paraId="2E1353D3"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1D5542" w:rsidRPr="001D5542" w14:paraId="17BEC9D2"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6838E09"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L’intervento è coerente con le disposizioni del punto 12 dell’Allegato 2 dell'accordo dell'OMC in quanto risulta conforme ai seguenti criteri di base:</w:t>
            </w:r>
          </w:p>
          <w:p w14:paraId="6FECB493"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t>(a) L'ammissibilità a tali pagamenti è determinata nel Piano strategico, nell’ambito dell’architettura ambientale della PAC, e dipende dall'adempimento di condizioni specifiche previste da tale programma, comprese le condizioni relative ai metodi o ai fattori di produzione.</w:t>
            </w:r>
          </w:p>
          <w:p w14:paraId="66D86C47"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color w:val="000000"/>
                <w:sz w:val="24"/>
                <w:szCs w:val="24"/>
                <w:lang w:val="en-US"/>
              </w:rPr>
              <w:lastRenderedPageBreak/>
              <w:t>(b) L'importo del pagamento è limitato ai costi supplementari o alla perdita di reddito derivanti dal rispetto del Piano.</w:t>
            </w:r>
          </w:p>
        </w:tc>
      </w:tr>
    </w:tbl>
    <w:p w14:paraId="0D513198"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1594"/>
      <w:r w:rsidRPr="001D5542">
        <w:rPr>
          <w:rFonts w:ascii="Times New Roman" w:eastAsia="Times New Roman" w:hAnsi="Times New Roman" w:cs="Times New Roman"/>
          <w:bCs/>
          <w:iCs/>
          <w:noProof/>
          <w:color w:val="000000"/>
          <w:sz w:val="24"/>
          <w:szCs w:val="26"/>
          <w:lang w:val="en-US"/>
        </w:rPr>
        <w:lastRenderedPageBreak/>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2718"/>
        <w:gridCol w:w="2710"/>
        <w:gridCol w:w="1766"/>
        <w:gridCol w:w="1893"/>
      </w:tblGrid>
      <w:tr w:rsidR="001D5542" w:rsidRPr="001D5542" w14:paraId="40184D16"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EE83F73"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2ED71790"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CAFC1AA"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4DA53BC6"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56F2EA6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Tasso massimo</w:t>
            </w:r>
          </w:p>
        </w:tc>
      </w:tr>
      <w:tr w:rsidR="001D5542" w:rsidRPr="001D5542" w14:paraId="750C7595" w14:textId="77777777" w:rsidTr="001D554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F5217A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61AF78"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D954DC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D4EA0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A233DF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43,00%</w:t>
            </w:r>
          </w:p>
        </w:tc>
      </w:tr>
    </w:tbl>
    <w:p w14:paraId="7A07BAF4" w14:textId="77777777" w:rsidR="001D5542" w:rsidRPr="001D5542" w:rsidRDefault="001D5542" w:rsidP="001D5542">
      <w:pPr>
        <w:spacing w:after="0" w:line="240" w:lineRule="auto"/>
        <w:rPr>
          <w:rFonts w:ascii="Times New Roman" w:eastAsia="Times New Roman" w:hAnsi="Times New Roman" w:cs="Times New Roman"/>
          <w:color w:val="000000"/>
          <w:sz w:val="24"/>
          <w:szCs w:val="24"/>
          <w:lang w:val="en-US"/>
        </w:rPr>
        <w:sectPr w:rsidR="001D5542" w:rsidRPr="001D5542">
          <w:pgSz w:w="11906" w:h="16838"/>
          <w:pgMar w:top="720" w:right="720" w:bottom="864" w:left="936" w:header="288" w:footer="72" w:gutter="0"/>
          <w:cols w:space="720"/>
        </w:sectPr>
      </w:pPr>
    </w:p>
    <w:p w14:paraId="159C1D27"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595"/>
      <w:r w:rsidRPr="001D5542">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2117140C"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121"/>
        <w:gridCol w:w="1472"/>
        <w:gridCol w:w="1351"/>
        <w:gridCol w:w="835"/>
        <w:gridCol w:w="1196"/>
        <w:gridCol w:w="1316"/>
      </w:tblGrid>
      <w:tr w:rsidR="001D5542" w:rsidRPr="001D5542" w14:paraId="1C6FC9D0"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D68D0A7"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919444E"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295E0934"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793D175"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CD72682"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4ED1B21"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736628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L'importo unitario si basa su spese riportate?</w:t>
            </w:r>
          </w:p>
        </w:tc>
      </w:tr>
      <w:tr w:rsidR="001D5542" w:rsidRPr="001D5542" w14:paraId="3804F529"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79DFD71"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 xml:space="preserve">OP10.1.03-LOM-01 - ENVCLIM- OP10.1.03-LOM-01-Conservazione biodiversità nelle risaie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3109976"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EDC33A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0B6B48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C38B2F4"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636038C"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132E196"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Sì</w:t>
            </w:r>
          </w:p>
        </w:tc>
      </w:tr>
      <w:tr w:rsidR="001D5542" w:rsidRPr="001D5542" w14:paraId="5585928C"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13DEC2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OP10.1.03-LOM-02 - ENVCLIM- OP10.1.03-LOM-02-Conservazione biodiversità nelle risaie con gestione stoppie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F9A62B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CA2E0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54555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5B27D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9158F9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33991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Sì</w:t>
            </w:r>
          </w:p>
        </w:tc>
      </w:tr>
      <w:tr w:rsidR="001D5542" w:rsidRPr="001D5542" w14:paraId="6892D72D"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053FABA"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OP10.1.03-LOM-03 - ENVCLIM- OP10.1.03-LOM-03-Conservazione biodiversità nelle risaie con sommersione risaie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C65A5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4844187"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0D2A75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C69AF0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D6BBEB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81186C"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Sì</w:t>
            </w:r>
          </w:p>
        </w:tc>
      </w:tr>
      <w:tr w:rsidR="001D5542" w:rsidRPr="001D5542" w14:paraId="1B0B2166" w14:textId="77777777" w:rsidTr="001D554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55C19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OP10.1.03-LOM-04 - ENVCLIM- OP10.1.03-LOM-04-Conservazione biodiversità nelle risaie con cover crops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EFF147"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08189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9A36278"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C056FBB"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9C467A"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R.31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48A5B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Sì</w:t>
            </w:r>
          </w:p>
        </w:tc>
      </w:tr>
    </w:tbl>
    <w:p w14:paraId="150D0273"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Spiegazione e giustificazione relative al valore dell'importo unitario</w:t>
      </w:r>
    </w:p>
    <w:p w14:paraId="2F23B8B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 xml:space="preserve">OP10.1.03-LOM-01 - ENVCLIM- OP10.1.03-LOM-01-Conservazione biodiversità nelle risaie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D5542" w:rsidRPr="001D5542" w14:paraId="75F1A362"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87119A6"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Allegato L PSR 2014-2022 LOMBARDIA</w:t>
            </w:r>
          </w:p>
        </w:tc>
      </w:tr>
    </w:tbl>
    <w:p w14:paraId="5215DBA4"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OP10.1.03-LOM-02 - ENVCLIM- OP10.1.03-LOM-02-Conservazione biodiversità nelle risaie con gestione stoppie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D5542" w:rsidRPr="001D5542" w14:paraId="7F28F8A5"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B97F1EE"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Allegato L PSR 2014-2022 LOMBARDIA</w:t>
            </w:r>
          </w:p>
        </w:tc>
      </w:tr>
    </w:tbl>
    <w:p w14:paraId="61D7D331"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OP10.1.03-LOM-03 - ENVCLIM- OP10.1.03-LOM-03-Conservazione biodiversità nelle risaie con sommersione risaie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D5542" w:rsidRPr="001D5542" w14:paraId="08E58745"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FCDE561"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Allegato L PSR 2014-2022 LOMBARDIA</w:t>
            </w:r>
          </w:p>
        </w:tc>
      </w:tr>
    </w:tbl>
    <w:p w14:paraId="68830B0D" w14:textId="77777777" w:rsidR="001D5542" w:rsidRPr="001D5542" w:rsidRDefault="001D5542" w:rsidP="001D5542">
      <w:pPr>
        <w:spacing w:before="20" w:after="20" w:line="240" w:lineRule="auto"/>
        <w:rPr>
          <w:rFonts w:ascii="Times New Roman" w:eastAsia="Times New Roman" w:hAnsi="Times New Roman" w:cs="Times New Roman"/>
          <w:color w:val="000000"/>
          <w:sz w:val="24"/>
          <w:szCs w:val="24"/>
          <w:lang w:val="en-US"/>
        </w:rPr>
      </w:pPr>
      <w:r w:rsidRPr="001D5542">
        <w:rPr>
          <w:rFonts w:ascii="Times New Roman" w:eastAsia="Times New Roman" w:hAnsi="Times New Roman" w:cs="Times New Roman"/>
          <w:noProof/>
          <w:color w:val="000000"/>
          <w:sz w:val="24"/>
          <w:szCs w:val="24"/>
          <w:lang w:val="en-US"/>
        </w:rPr>
        <w:t>OP10.1.03-LOM-04 - ENVCLIM- OP10.1.03-LOM-04-Conservazione biodiversità nelle risaie con cover crops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D5542" w:rsidRPr="001D5542" w14:paraId="26DB2D52" w14:textId="77777777" w:rsidTr="001D55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64BD947" w14:textId="77777777" w:rsidR="001D5542" w:rsidRPr="001D5542" w:rsidRDefault="001D5542" w:rsidP="001D5542">
            <w:pPr>
              <w:spacing w:before="40" w:after="40" w:line="240" w:lineRule="auto"/>
              <w:rPr>
                <w:rFonts w:ascii="Times New Roman" w:eastAsia="Times New Roman" w:hAnsi="Times New Roman" w:cs="Times New Roman"/>
                <w:sz w:val="24"/>
                <w:szCs w:val="24"/>
                <w:lang w:val="en-US"/>
              </w:rPr>
            </w:pPr>
            <w:r w:rsidRPr="001D5542">
              <w:rPr>
                <w:rFonts w:ascii="Times New Roman" w:eastAsia="Times New Roman" w:hAnsi="Times New Roman" w:cs="Times New Roman"/>
                <w:noProof/>
                <w:sz w:val="24"/>
                <w:szCs w:val="24"/>
                <w:lang w:val="en-US"/>
              </w:rPr>
              <w:t>Allegato L PSR 2014-2022 LOMBARDIA</w:t>
            </w:r>
          </w:p>
        </w:tc>
      </w:tr>
    </w:tbl>
    <w:p w14:paraId="416662EE" w14:textId="77777777" w:rsidR="001D5542" w:rsidRPr="001D5542" w:rsidRDefault="001D5542" w:rsidP="001D5542">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596"/>
      <w:r w:rsidRPr="001D5542">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0FEE0A86" w14:textId="77777777" w:rsidR="001D5542" w:rsidRPr="001D5542" w:rsidRDefault="001D5542" w:rsidP="001D554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4"/>
        <w:gridCol w:w="440"/>
        <w:gridCol w:w="1090"/>
        <w:gridCol w:w="1090"/>
        <w:gridCol w:w="940"/>
        <w:gridCol w:w="590"/>
        <w:gridCol w:w="590"/>
        <w:gridCol w:w="590"/>
        <w:gridCol w:w="1190"/>
      </w:tblGrid>
      <w:tr w:rsidR="001D5542" w:rsidRPr="001D5542" w14:paraId="18ED173E" w14:textId="77777777" w:rsidTr="001D5542">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A1663CA"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7FEFD33"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C444593"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22DED25"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6EF8EFD"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F4D64FD"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7281919"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857B019"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70B64A7" w14:textId="77777777" w:rsidR="001D5542" w:rsidRPr="001D5542" w:rsidRDefault="001D5542" w:rsidP="001D5542">
            <w:pPr>
              <w:spacing w:before="20" w:after="20" w:line="240" w:lineRule="auto"/>
              <w:rPr>
                <w:rFonts w:ascii="Times New Roman" w:eastAsia="Times New Roman" w:hAnsi="Times New Roman" w:cs="Times New Roman"/>
                <w:b/>
                <w:color w:val="000000"/>
                <w:sz w:val="20"/>
                <w:szCs w:val="24"/>
                <w:lang w:val="en-US"/>
              </w:rPr>
            </w:pPr>
            <w:r w:rsidRPr="001D5542">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B215601"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b/>
                <w:noProof/>
                <w:color w:val="000000"/>
                <w:sz w:val="20"/>
                <w:szCs w:val="24"/>
                <w:lang w:val="en-US"/>
              </w:rPr>
              <w:t>Totale 2023-2029</w:t>
            </w:r>
          </w:p>
        </w:tc>
      </w:tr>
      <w:tr w:rsidR="001D5542" w:rsidRPr="001D5542" w14:paraId="37983FE3" w14:textId="77777777" w:rsidTr="001D554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A165D0"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OP10.1.03-LOM-01 - ENVCLIM- OP10.1.03-LOM-01-Conservazione biodiversità nelle risaie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CBB08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1292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D58B4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4CD3C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660B0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C113A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1BFC4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A93CD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05EF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47CBAEDA"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7C19A"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2B1E7D"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D90A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4330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85BEB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2A7B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999B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29A5D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D009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9BF9D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68EACF50"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FB88F"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583E3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7659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273F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746C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268A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64AE6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3500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2EA2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CA8F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78952038" w14:textId="77777777" w:rsidTr="001D554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202A20"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OP10.1.03-LOM-02 - ENVCLIM- OP10.1.03-LOM-02-Conservazione biodiversità nelle risaie con gestione stoppie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FCBCFB"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ABB3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1D9C4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0215F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1125A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DD723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73BB4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E4E3C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2C6E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59C56112"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20D2B"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BFD1C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0CBF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D8D6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27B8E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D977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87B6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23F8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D2C7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E963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336197A1"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29C603"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9E05BB"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EA9F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AD96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1E24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E2DD0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45D2C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3B41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1D9F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37DE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5D51D217" w14:textId="77777777" w:rsidTr="001D554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02C272"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OP10.1.03-LOM-03 - ENVCLIM- OP10.1.03-LOM-03-Conservazione biodiversità nelle risaie con sommersione risaie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EA69C6"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8D36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02133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A8232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59C83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63BF0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A4347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7E0A5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01D5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00007C42"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5AD80"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0DC59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63082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3BA9A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7AF4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C013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06C32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A009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5950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1C2F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367A5F21"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ABA840"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62628A"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B0DB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FB020C"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A5FE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8DD6B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73148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6738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AD3C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BCCB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44623BAA" w14:textId="77777777" w:rsidTr="001D554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A0411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OP10.1.03-LOM-04 - ENVCLIM- OP10.1.03-LOM-04-Conservazione biodiversità nelle risaie con cover crops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EEE45B"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B435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1310A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72014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A6CB6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D59EA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3573D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AAF2C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2F873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185E9C63"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7D2EF"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83DD0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4782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42DCC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D233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C321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9AE9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B865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CE576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BFE7C"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68B7F5EE"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2446F"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27FEDC"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9220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B3F5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9831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6A95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8BAAA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1F85B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89EC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D0436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p>
        </w:tc>
      </w:tr>
      <w:tr w:rsidR="001D5542" w:rsidRPr="001D5542" w14:paraId="17358DD0" w14:textId="77777777" w:rsidTr="001D554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6287FF"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0827FE"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F2F38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76052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B051B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3B4A7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20.250,00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A5B76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79353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FB808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7EBD6C"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27.000,00</w:t>
            </w:r>
          </w:p>
        </w:tc>
      </w:tr>
      <w:tr w:rsidR="001D5542" w:rsidRPr="001D5542" w14:paraId="35A83EAB"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E132A"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8231B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B9EBE9"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9C069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2.350.000,00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B48FA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7.600.000,00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F74B6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335.800,98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15DEC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0F6EA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14BCA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96578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10.285.800,98</w:t>
            </w:r>
          </w:p>
        </w:tc>
      </w:tr>
      <w:tr w:rsidR="001D5542" w:rsidRPr="001D5542" w14:paraId="75977ED2"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8E630"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237E87"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B9D8A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B8A5A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956.450,00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B7D99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3.093.200,00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23ABE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136.671,00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87B22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C9B91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CF638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2B062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4.186.321,00</w:t>
            </w:r>
          </w:p>
        </w:tc>
      </w:tr>
      <w:tr w:rsidR="001D5542" w:rsidRPr="001D5542" w14:paraId="78C0C9B1"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94622"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346C54"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2CB48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1642A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07256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32D77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81553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AED60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569DF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F7067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r w:rsidR="001D5542" w:rsidRPr="001D5542" w14:paraId="474FCE1A"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0674CD"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BBACB8"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DDFD4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4ACFD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13F0F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0F7A9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DDA98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BD50E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D54B8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BED72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r w:rsidR="001D5542" w:rsidRPr="001D5542" w14:paraId="62B40471"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28F5D"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62CD69"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6EFAD5"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996E0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1E182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911FF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84A03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047657"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3CBF5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8587B6"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r w:rsidR="001D5542" w:rsidRPr="001D5542" w14:paraId="678222C2"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B4D27"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6B8C70"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F7722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E3880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E74FE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F17AC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001C0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401C6C"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8F39F1"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AEC32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r w:rsidR="001D5542" w:rsidRPr="001D5542" w14:paraId="3BD5B1F4"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7C5A07"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966115"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1758B8"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B3488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F18FE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295D6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F0971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E09443"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A49872"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79198B"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r w:rsidR="001D5542" w:rsidRPr="001D5542" w14:paraId="13AA5F2D" w14:textId="77777777" w:rsidTr="001D554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8A9EC" w14:textId="77777777" w:rsidR="001D5542" w:rsidRPr="001D5542" w:rsidRDefault="001D5542" w:rsidP="001D554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3B72C4" w14:textId="77777777" w:rsidR="001D5542" w:rsidRPr="001D5542" w:rsidRDefault="001D5542" w:rsidP="001D5542">
            <w:pPr>
              <w:spacing w:before="20" w:after="20" w:line="240" w:lineRule="auto"/>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AE8D3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6D344E"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7C5154"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48D7D0"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8C074D"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00EC6A"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7A775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4261AF" w14:textId="77777777" w:rsidR="001D5542" w:rsidRPr="001D5542" w:rsidRDefault="001D5542" w:rsidP="001D5542">
            <w:pPr>
              <w:spacing w:before="20" w:after="20" w:line="240" w:lineRule="auto"/>
              <w:jc w:val="right"/>
              <w:rPr>
                <w:rFonts w:ascii="Times New Roman" w:eastAsia="Times New Roman" w:hAnsi="Times New Roman" w:cs="Times New Roman"/>
                <w:color w:val="000000"/>
                <w:sz w:val="20"/>
                <w:szCs w:val="24"/>
                <w:lang w:val="en-US"/>
              </w:rPr>
            </w:pPr>
            <w:r w:rsidRPr="001D5542">
              <w:rPr>
                <w:rFonts w:ascii="Times New Roman" w:eastAsia="Times New Roman" w:hAnsi="Times New Roman" w:cs="Times New Roman"/>
                <w:noProof/>
                <w:color w:val="000000"/>
                <w:sz w:val="20"/>
                <w:szCs w:val="24"/>
                <w:lang w:val="en-US"/>
              </w:rPr>
              <w:t>0,00</w:t>
            </w:r>
          </w:p>
        </w:tc>
      </w:tr>
    </w:tbl>
    <w:p w14:paraId="06F19FE7" w14:textId="77777777" w:rsidR="00850EBA" w:rsidRDefault="00850EBA"/>
    <w:sectPr w:rsidR="00850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42"/>
    <w:rsid w:val="001D5542"/>
    <w:rsid w:val="00850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AA56"/>
  <w15:chartTrackingRefBased/>
  <w15:docId w15:val="{C0331136-1272-4400-8D9E-DE13F82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2022-10-05T07:39:00Z</dcterms:created>
  <dcterms:modified xsi:type="dcterms:W3CDTF">2022-10-05T07:40:00Z</dcterms:modified>
</cp:coreProperties>
</file>