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3431D" w:rsidRPr="00556E9C" w:rsidRDefault="0093431D" w:rsidP="0093431D">
      <w:pPr>
        <w:spacing w:after="240"/>
        <w:jc w:val="both"/>
        <w:rPr>
          <w:b/>
          <w:bCs/>
          <w:szCs w:val="24"/>
          <w:u w:val="single"/>
        </w:rPr>
      </w:pPr>
      <w:r w:rsidRPr="00556E9C">
        <w:rPr>
          <w:b/>
          <w:bCs/>
          <w:szCs w:val="24"/>
          <w:u w:val="single"/>
        </w:rPr>
        <w:t>La qualità delle acque nella Regione Marche</w:t>
      </w:r>
    </w:p>
    <w:p w:rsidR="0093431D" w:rsidRDefault="0093431D" w:rsidP="0093431D">
      <w:pPr>
        <w:pStyle w:val="Corpodeltesto"/>
        <w:numPr>
          <w:ilvl w:val="0"/>
          <w:numId w:val="0"/>
        </w:numPr>
        <w:spacing w:after="120"/>
        <w:rPr>
          <w:szCs w:val="24"/>
        </w:rPr>
      </w:pPr>
      <w:r w:rsidRPr="00556E9C">
        <w:rPr>
          <w:szCs w:val="24"/>
        </w:rPr>
        <w:t xml:space="preserve">Il livello di conoscenza  dello stato delle acque dolci, superficiali e sotterranee, del territorio marchigiano si sta approfondendo grazie all’approvazione di una serie di interventi regionali attuativi del Decreto Legislativo 11 maggio 1999 n.152 “Disposizioni sulla tutela delle acque dall’inquinamento e recepimento della direttiva 91/1271/CEE concernente il trattamento delle acque reflue urbane e della direttiva 91/676/CEE relativa alla protezione delle acque dall’inquinamento provocato dai nitrati </w:t>
      </w:r>
      <w:r>
        <w:rPr>
          <w:szCs w:val="24"/>
        </w:rPr>
        <w:t>provenienti da fonti agricole”.</w:t>
      </w:r>
    </w:p>
    <w:p w:rsidR="0093431D" w:rsidRDefault="0093431D" w:rsidP="0093431D">
      <w:pPr>
        <w:pStyle w:val="Corpodeltesto"/>
        <w:numPr>
          <w:ilvl w:val="0"/>
          <w:numId w:val="0"/>
        </w:numPr>
        <w:spacing w:after="120"/>
        <w:rPr>
          <w:szCs w:val="24"/>
        </w:rPr>
      </w:pPr>
      <w:r w:rsidRPr="00556E9C">
        <w:rPr>
          <w:szCs w:val="24"/>
        </w:rPr>
        <w:t xml:space="preserve">Conclusa la fase conoscitiva ed una prima classificazione ecologica (SECA) dei corpi idrici superficiali secondo i criteri e le modalità previste dagli allegati 1 e 3 del decreto 152/99, </w:t>
      </w:r>
      <w:smartTag w:uri="urn:schemas-microsoft-com:office:smarttags" w:element="PersonName">
        <w:smartTagPr>
          <w:attr w:name="ProductID" w:val="La Regione Marche"/>
        </w:smartTagPr>
        <w:r w:rsidRPr="00556E9C">
          <w:rPr>
            <w:szCs w:val="24"/>
          </w:rPr>
          <w:t>la Regione Marche</w:t>
        </w:r>
      </w:smartTag>
      <w:r w:rsidRPr="00556E9C">
        <w:rPr>
          <w:szCs w:val="24"/>
        </w:rPr>
        <w:t xml:space="preserve"> si è dotata di una rete di monitoraggio (DGR 3138/01) che valutando una serie di parametri analitici, attraverso opportuni indicatori, classifica i corpi idrici sotto</w:t>
      </w:r>
      <w:r>
        <w:rPr>
          <w:szCs w:val="24"/>
        </w:rPr>
        <w:t xml:space="preserve"> l’aspetto ecologico e chimico.</w:t>
      </w:r>
    </w:p>
    <w:p w:rsidR="0093431D" w:rsidRPr="00556E9C" w:rsidRDefault="0093431D" w:rsidP="0093431D">
      <w:pPr>
        <w:pStyle w:val="Corpodeltesto"/>
        <w:numPr>
          <w:ilvl w:val="0"/>
          <w:numId w:val="0"/>
        </w:numPr>
        <w:spacing w:after="120"/>
        <w:rPr>
          <w:szCs w:val="24"/>
        </w:rPr>
      </w:pPr>
      <w:r w:rsidRPr="00556E9C">
        <w:rPr>
          <w:szCs w:val="24"/>
        </w:rPr>
        <w:t>La valutazione di questi indicatori permette di studiare l’evoluzione temporale dei parametri determinati e degli indicatori associati correlando tali valutazioni con le pressioni ambientali delle attività antropiche presenti sul territorio.</w:t>
      </w:r>
    </w:p>
    <w:p w:rsidR="0093431D" w:rsidRDefault="0093431D" w:rsidP="0093431D">
      <w:pPr>
        <w:pStyle w:val="Corpodeltesto"/>
        <w:numPr>
          <w:ilvl w:val="0"/>
          <w:numId w:val="0"/>
        </w:numPr>
        <w:spacing w:after="120"/>
        <w:rPr>
          <w:szCs w:val="24"/>
        </w:rPr>
      </w:pPr>
      <w:r w:rsidRPr="002D3A2D">
        <w:rPr>
          <w:szCs w:val="24"/>
        </w:rPr>
        <w:t xml:space="preserve">La rete di monitoraggio delle </w:t>
      </w:r>
      <w:r w:rsidRPr="00556E9C">
        <w:rPr>
          <w:szCs w:val="24"/>
        </w:rPr>
        <w:t>acque superficiali interne</w:t>
      </w:r>
      <w:r w:rsidRPr="002D3A2D">
        <w:rPr>
          <w:szCs w:val="24"/>
        </w:rPr>
        <w:t>, comprende 61 stazioni di campionamento posizionate sui principali corsi d’acqua (significativi e di rilevante interesse) compresi nei 18 bacini idrografici della Regione, e 3 stazioni posizionate sui laghi – invasi artificiali (significativi): lago di Gerosa, lago del Fiastrone, lago di Castreccioni.</w:t>
      </w:r>
    </w:p>
    <w:p w:rsidR="0093431D" w:rsidRDefault="0093431D" w:rsidP="0093431D">
      <w:pPr>
        <w:pStyle w:val="Corpodeltesto"/>
        <w:numPr>
          <w:ilvl w:val="0"/>
          <w:numId w:val="0"/>
        </w:numPr>
        <w:spacing w:after="120"/>
        <w:rPr>
          <w:szCs w:val="24"/>
        </w:rPr>
      </w:pPr>
      <w:r w:rsidRPr="002D3A2D">
        <w:rPr>
          <w:szCs w:val="24"/>
        </w:rPr>
        <w:t>I monitoraggi che vengono effettuati sui punti di campionamento con cadenza mensile, prevedono l’analisi dei parametri chimico-fisici e, con cadenza trimestrale, l’analisi biologica mediante utilizzo dell’indice IBE, come previsto dal D.Lgs. 152/99.</w:t>
      </w:r>
    </w:p>
    <w:p w:rsidR="0093431D" w:rsidRPr="00556E9C" w:rsidRDefault="0093431D" w:rsidP="0093431D">
      <w:pPr>
        <w:spacing w:before="240" w:after="240"/>
        <w:jc w:val="both"/>
        <w:rPr>
          <w:b/>
          <w:highlight w:val="lightGray"/>
        </w:rPr>
      </w:pPr>
      <w:r w:rsidRPr="00556E9C">
        <w:rPr>
          <w:b/>
          <w:highlight w:val="lightGray"/>
        </w:rPr>
        <w:t>Figura XX. Classificazione dei corsi d’acqua superficiali ai sensi dell’allegato 1 del D.Lgs. 152/99 relativo all’anno 2005. La colorazione riportata sulla carta in corrispondenza delle aste fluviali individua i bacini idrografici.</w:t>
      </w:r>
    </w:p>
    <w:p w:rsidR="0093431D" w:rsidRPr="007867F6" w:rsidRDefault="0093431D" w:rsidP="0093431D">
      <w:pPr>
        <w:pStyle w:val="Rientrocorpodeltesto"/>
        <w:tabs>
          <w:tab w:val="left" w:pos="9638"/>
        </w:tabs>
        <w:rPr>
          <w:szCs w:val="24"/>
        </w:rPr>
      </w:pPr>
      <w:r>
        <w:rPr>
          <w:noProof/>
          <w:szCs w:val="24"/>
        </w:rPr>
        <w:lastRenderedPageBreak/>
        <w:drawing>
          <wp:inline distT="0" distB="0" distL="0" distR="0">
            <wp:extent cx="6057900" cy="5991225"/>
            <wp:effectExtent l="1905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6057900" cy="5991225"/>
                    </a:xfrm>
                    <a:prstGeom prst="rect">
                      <a:avLst/>
                    </a:prstGeom>
                    <a:noFill/>
                    <a:ln w="9525">
                      <a:noFill/>
                      <a:miter lim="800000"/>
                      <a:headEnd/>
                      <a:tailEnd/>
                    </a:ln>
                  </pic:spPr>
                </pic:pic>
              </a:graphicData>
            </a:graphic>
          </wp:inline>
        </w:drawing>
      </w:r>
    </w:p>
    <w:p w:rsidR="0093431D" w:rsidRPr="00E74BEF" w:rsidRDefault="0093431D" w:rsidP="0093431D">
      <w:pPr>
        <w:pStyle w:val="Fonte"/>
        <w:spacing w:before="120" w:after="0"/>
      </w:pPr>
      <w:r w:rsidRPr="00E74BEF">
        <w:t xml:space="preserve">Fonte: </w:t>
      </w:r>
      <w:r>
        <w:t>Dati Regione Marche</w:t>
      </w:r>
    </w:p>
    <w:p w:rsidR="0093431D" w:rsidRDefault="0093431D" w:rsidP="0093431D"/>
    <w:p w:rsidR="0093431D" w:rsidRPr="002D3A2D" w:rsidRDefault="0093431D" w:rsidP="0093431D">
      <w:pPr>
        <w:pStyle w:val="Corpodeltesto"/>
        <w:numPr>
          <w:ilvl w:val="0"/>
          <w:numId w:val="0"/>
        </w:numPr>
        <w:spacing w:after="120"/>
        <w:rPr>
          <w:szCs w:val="24"/>
        </w:rPr>
      </w:pPr>
      <w:r w:rsidRPr="00556E9C">
        <w:rPr>
          <w:szCs w:val="24"/>
        </w:rPr>
        <w:t>Lo stato di qualità ambientale dei corsi d’acqua (SACA)</w:t>
      </w:r>
      <w:r w:rsidRPr="002D3A2D">
        <w:rPr>
          <w:szCs w:val="24"/>
        </w:rPr>
        <w:t xml:space="preserve"> viene definito in base allo “stato ecologico”, che caratterizza la qualità e la funzionalità degli ecosistemi acquatici, e allo “stato chimico” determinato dalla presenza di inquinanti indicati come sostanze prioritarie pericolose appartenenti alle famiglie di composti inorganici e di sintesi. </w:t>
      </w:r>
    </w:p>
    <w:p w:rsidR="0093431D" w:rsidRPr="002D3A2D" w:rsidRDefault="0093431D" w:rsidP="0093431D">
      <w:pPr>
        <w:pStyle w:val="Corpodeltesto"/>
        <w:numPr>
          <w:ilvl w:val="0"/>
          <w:numId w:val="0"/>
        </w:numPr>
        <w:spacing w:after="120"/>
        <w:rPr>
          <w:szCs w:val="24"/>
        </w:rPr>
      </w:pPr>
      <w:r w:rsidRPr="002D3A2D">
        <w:rPr>
          <w:szCs w:val="24"/>
        </w:rPr>
        <w:t xml:space="preserve">L’elaborazione dei dati analitici ottenuti dal monitoraggio delle acque superficiali, effettuato dall’ARPAM, nel periodo compreso tra il 2003 ed il </w:t>
      </w:r>
      <w:smartTag w:uri="urn:schemas-microsoft-com:office:smarttags" w:element="metricconverter">
        <w:smartTagPr>
          <w:attr w:name="ProductID" w:val="2005, ha"/>
        </w:smartTagPr>
        <w:r w:rsidRPr="002D3A2D">
          <w:rPr>
            <w:szCs w:val="24"/>
          </w:rPr>
          <w:t>2005, ha</w:t>
        </w:r>
      </w:smartTag>
      <w:r w:rsidRPr="002D3A2D">
        <w:rPr>
          <w:szCs w:val="24"/>
        </w:rPr>
        <w:t xml:space="preserve"> permesso la classificazione dello stato di qualità ambientale per ogni corso d’acqua della </w:t>
      </w:r>
      <w:smartTag w:uri="urn:schemas-microsoft-com:office:smarttags" w:element="PersonName">
        <w:smartTagPr>
          <w:attr w:name="ProductID" w:val="Regione Marche"/>
        </w:smartTagPr>
        <w:r w:rsidRPr="002D3A2D">
          <w:rPr>
            <w:szCs w:val="24"/>
          </w:rPr>
          <w:t>Regione Marche</w:t>
        </w:r>
      </w:smartTag>
      <w:r w:rsidRPr="002D3A2D">
        <w:rPr>
          <w:szCs w:val="24"/>
        </w:rPr>
        <w:t>, mettendo in evidenza la tendenza al miglioramento, o comunque ad un generale mantenimento dello stato su tutte le aste fluviali, determinato principalmente dalla maggiore portata dei corsi d’acqua a seguito di un incremento del regime pluviometrico.</w:t>
      </w:r>
    </w:p>
    <w:p w:rsidR="0093431D" w:rsidRDefault="0093431D" w:rsidP="0093431D">
      <w:pPr>
        <w:pStyle w:val="Corpodeltesto"/>
        <w:numPr>
          <w:ilvl w:val="0"/>
          <w:numId w:val="0"/>
        </w:numPr>
        <w:spacing w:after="120"/>
        <w:rPr>
          <w:szCs w:val="24"/>
        </w:rPr>
      </w:pPr>
      <w:r>
        <w:rPr>
          <w:szCs w:val="24"/>
        </w:rPr>
        <w:t>Nell’anno 2005, lo stato di</w:t>
      </w:r>
      <w:r w:rsidRPr="00732E64">
        <w:rPr>
          <w:szCs w:val="24"/>
        </w:rPr>
        <w:t xml:space="preserve"> qualità delle acque dei corsi d’acqua nelle zone montane </w:t>
      </w:r>
      <w:r>
        <w:rPr>
          <w:szCs w:val="24"/>
        </w:rPr>
        <w:t>e pedeappenniniche</w:t>
      </w:r>
      <w:r w:rsidRPr="00732E64">
        <w:rPr>
          <w:szCs w:val="24"/>
        </w:rPr>
        <w:t xml:space="preserve"> risulta essere </w:t>
      </w:r>
      <w:r>
        <w:rPr>
          <w:szCs w:val="24"/>
        </w:rPr>
        <w:t xml:space="preserve">buona (classe 2). </w:t>
      </w:r>
      <w:r w:rsidRPr="00732E64">
        <w:rPr>
          <w:szCs w:val="24"/>
        </w:rPr>
        <w:t>Nelle zone subcollinari, ricadenti nella fascia centrale della regione, lo stato ambientale è risultato in generale sufficiente</w:t>
      </w:r>
      <w:r>
        <w:rPr>
          <w:szCs w:val="24"/>
        </w:rPr>
        <w:t xml:space="preserve"> (</w:t>
      </w:r>
      <w:r w:rsidRPr="00732E64">
        <w:rPr>
          <w:szCs w:val="24"/>
        </w:rPr>
        <w:t>classe 3</w:t>
      </w:r>
      <w:r>
        <w:rPr>
          <w:szCs w:val="24"/>
        </w:rPr>
        <w:t>)</w:t>
      </w:r>
      <w:r w:rsidRPr="00732E64">
        <w:rPr>
          <w:szCs w:val="24"/>
        </w:rPr>
        <w:t xml:space="preserve">. </w:t>
      </w:r>
      <w:r>
        <w:rPr>
          <w:szCs w:val="24"/>
        </w:rPr>
        <w:t xml:space="preserve">In </w:t>
      </w:r>
      <w:r>
        <w:rPr>
          <w:szCs w:val="24"/>
        </w:rPr>
        <w:lastRenderedPageBreak/>
        <w:t xml:space="preserve">corrispondenza delle foci o dei tratti terminali di alcuni fiumi, sono state riscontrate le classi scadente e/o pessimo per almeno la metà dei corsi d’acqua. </w:t>
      </w:r>
    </w:p>
    <w:p w:rsidR="0093431D" w:rsidRPr="00DB5FC2" w:rsidRDefault="0093431D" w:rsidP="0093431D">
      <w:pPr>
        <w:pStyle w:val="Corpodeltesto"/>
        <w:numPr>
          <w:ilvl w:val="0"/>
          <w:numId w:val="0"/>
        </w:numPr>
        <w:spacing w:after="120"/>
        <w:rPr>
          <w:szCs w:val="24"/>
        </w:rPr>
      </w:pPr>
      <w:r w:rsidRPr="00DB5FC2">
        <w:rPr>
          <w:szCs w:val="24"/>
        </w:rPr>
        <w:t>Il progressivo peggioramento, dalla sorgente alla foce, dello stato qualitativo è determinato dall</w:t>
      </w:r>
      <w:r>
        <w:rPr>
          <w:szCs w:val="24"/>
        </w:rPr>
        <w:t xml:space="preserve">e </w:t>
      </w:r>
      <w:r w:rsidRPr="00DB5FC2">
        <w:rPr>
          <w:szCs w:val="24"/>
        </w:rPr>
        <w:t>attività antropiche (</w:t>
      </w:r>
      <w:r>
        <w:rPr>
          <w:szCs w:val="24"/>
        </w:rPr>
        <w:t>scarichi industriali</w:t>
      </w:r>
      <w:r w:rsidRPr="00DB5FC2">
        <w:rPr>
          <w:szCs w:val="24"/>
        </w:rPr>
        <w:t xml:space="preserve">, </w:t>
      </w:r>
      <w:r>
        <w:rPr>
          <w:szCs w:val="24"/>
        </w:rPr>
        <w:t xml:space="preserve">scarichi da aree </w:t>
      </w:r>
      <w:r w:rsidRPr="00DB5FC2">
        <w:rPr>
          <w:szCs w:val="24"/>
        </w:rPr>
        <w:t>urbani</w:t>
      </w:r>
      <w:r>
        <w:rPr>
          <w:szCs w:val="24"/>
        </w:rPr>
        <w:t xml:space="preserve">zzate e utilizzo acque per </w:t>
      </w:r>
      <w:r w:rsidRPr="00DB5FC2">
        <w:rPr>
          <w:szCs w:val="24"/>
        </w:rPr>
        <w:t>agrozootecni</w:t>
      </w:r>
      <w:r>
        <w:rPr>
          <w:szCs w:val="24"/>
        </w:rPr>
        <w:t xml:space="preserve">a e processi industriali) capaci anche di </w:t>
      </w:r>
      <w:r w:rsidRPr="00DB5FC2">
        <w:rPr>
          <w:szCs w:val="24"/>
        </w:rPr>
        <w:t xml:space="preserve">compromettere i processi autodepurativi dei </w:t>
      </w:r>
      <w:r>
        <w:rPr>
          <w:szCs w:val="24"/>
        </w:rPr>
        <w:t>corsi d’acqua.</w:t>
      </w:r>
    </w:p>
    <w:p w:rsidR="0093431D" w:rsidRPr="006A71A6" w:rsidRDefault="0093431D" w:rsidP="0093431D">
      <w:pPr>
        <w:pStyle w:val="Corpodeltesto"/>
        <w:numPr>
          <w:ilvl w:val="0"/>
          <w:numId w:val="0"/>
        </w:numPr>
        <w:spacing w:after="120"/>
        <w:rPr>
          <w:szCs w:val="24"/>
        </w:rPr>
      </w:pPr>
      <w:r w:rsidRPr="006A71A6">
        <w:rPr>
          <w:szCs w:val="24"/>
        </w:rPr>
        <w:t>Situazioni particolarmente compromesse risultano l</w:t>
      </w:r>
      <w:r>
        <w:rPr>
          <w:szCs w:val="24"/>
        </w:rPr>
        <w:t>e</w:t>
      </w:r>
      <w:r w:rsidRPr="006A71A6">
        <w:rPr>
          <w:szCs w:val="24"/>
        </w:rPr>
        <w:t xml:space="preserve"> foce del fiume Tavollo e del fiume Foglia</w:t>
      </w:r>
      <w:r>
        <w:rPr>
          <w:szCs w:val="24"/>
        </w:rPr>
        <w:t xml:space="preserve"> (pessimo)</w:t>
      </w:r>
      <w:r w:rsidRPr="006A71A6">
        <w:rPr>
          <w:szCs w:val="24"/>
        </w:rPr>
        <w:t xml:space="preserve">, </w:t>
      </w:r>
      <w:r>
        <w:rPr>
          <w:szCs w:val="24"/>
        </w:rPr>
        <w:t xml:space="preserve">le foci del torrente Arzilla, torrente Ete Vivo e del fiume Tesino e del fiume Tronto (scadente) e </w:t>
      </w:r>
      <w:r w:rsidRPr="006A71A6">
        <w:rPr>
          <w:szCs w:val="24"/>
        </w:rPr>
        <w:t xml:space="preserve">il tratto finale del fiume </w:t>
      </w:r>
      <w:r>
        <w:rPr>
          <w:szCs w:val="24"/>
        </w:rPr>
        <w:t xml:space="preserve">Musone e del suo affluente Aspio e del fiume </w:t>
      </w:r>
      <w:r w:rsidRPr="006A71A6">
        <w:rPr>
          <w:szCs w:val="24"/>
        </w:rPr>
        <w:t>Tenna</w:t>
      </w:r>
      <w:r>
        <w:rPr>
          <w:szCs w:val="24"/>
        </w:rPr>
        <w:t xml:space="preserve"> (scadente).</w:t>
      </w:r>
    </w:p>
    <w:p w:rsidR="0093431D" w:rsidRPr="00556E9C" w:rsidRDefault="0093431D" w:rsidP="0093431D">
      <w:pPr>
        <w:pStyle w:val="Corpodeltesto"/>
        <w:numPr>
          <w:ilvl w:val="0"/>
          <w:numId w:val="0"/>
        </w:numPr>
        <w:spacing w:after="120"/>
        <w:rPr>
          <w:szCs w:val="24"/>
        </w:rPr>
      </w:pPr>
      <w:r w:rsidRPr="00556E9C">
        <w:rPr>
          <w:szCs w:val="24"/>
        </w:rPr>
        <w:t xml:space="preserve">La qualità delle </w:t>
      </w:r>
      <w:r w:rsidRPr="00556E9C">
        <w:rPr>
          <w:b/>
          <w:szCs w:val="24"/>
        </w:rPr>
        <w:t>acque sotterranee</w:t>
      </w:r>
      <w:r w:rsidRPr="00556E9C">
        <w:rPr>
          <w:szCs w:val="24"/>
        </w:rPr>
        <w:t xml:space="preserve"> delle Marche viene determinata con la caratterizzazione idrochimica e la classificazione degli  acquiferi. </w:t>
      </w:r>
    </w:p>
    <w:p w:rsidR="0093431D" w:rsidRPr="00556E9C" w:rsidRDefault="0093431D" w:rsidP="0093431D">
      <w:pPr>
        <w:pStyle w:val="Corpodeltesto"/>
        <w:numPr>
          <w:ilvl w:val="0"/>
          <w:numId w:val="0"/>
        </w:numPr>
        <w:spacing w:after="120"/>
        <w:rPr>
          <w:szCs w:val="24"/>
        </w:rPr>
      </w:pPr>
      <w:r w:rsidRPr="00556E9C">
        <w:rPr>
          <w:szCs w:val="24"/>
        </w:rPr>
        <w:t>Nel 2003 si è proceduto alla valutazione della vulnerabilità intrinseca degli acquiferi, è stata attivata la ricognizione delle pressioni esercitate sul territorio ed è stata predisposta una prima individuazione delle zone vulnerabili da nitrati di origine agricola.</w:t>
      </w:r>
    </w:p>
    <w:p w:rsidR="0093431D" w:rsidRDefault="0093431D" w:rsidP="0093431D">
      <w:pPr>
        <w:pStyle w:val="Corpodeltesto"/>
        <w:numPr>
          <w:ilvl w:val="0"/>
          <w:numId w:val="0"/>
        </w:numPr>
        <w:spacing w:after="120"/>
        <w:rPr>
          <w:szCs w:val="24"/>
        </w:rPr>
      </w:pPr>
      <w:r w:rsidRPr="00556E9C">
        <w:rPr>
          <w:szCs w:val="24"/>
        </w:rPr>
        <w:t xml:space="preserve"> Nel 2004 e 2005 è stato avviato il programma di monitoraggio sulle acque sotterranee, ai sensi dell’allegato 1 del D. Leg.vo n. 152/99, monitorando semestralmente 319 punti di campionamento analizzando sette parametri chimico fisici (conducibilità elettrica, cloruri, ferro, manganese, azoto ammonia</w:t>
      </w:r>
      <w:r>
        <w:rPr>
          <w:szCs w:val="24"/>
        </w:rPr>
        <w:t>cale, azoto nitrico e solfati).</w:t>
      </w:r>
    </w:p>
    <w:p w:rsidR="0093431D" w:rsidRPr="00556E9C" w:rsidRDefault="0093431D" w:rsidP="0093431D">
      <w:pPr>
        <w:pStyle w:val="Corpodeltesto"/>
        <w:numPr>
          <w:ilvl w:val="0"/>
          <w:numId w:val="0"/>
        </w:numPr>
        <w:spacing w:after="120"/>
        <w:rPr>
          <w:szCs w:val="24"/>
        </w:rPr>
      </w:pPr>
      <w:r w:rsidRPr="00556E9C">
        <w:rPr>
          <w:szCs w:val="24"/>
        </w:rPr>
        <w:t>Sono stati ricercati anche parametri addizionali che permettono di caratterizzare la possibile origine antropica (azoto nitroso, metalli, organoalogenati, pesticidi, benzene ed IPA).</w:t>
      </w:r>
    </w:p>
    <w:p w:rsidR="0093431D" w:rsidRPr="00556E9C" w:rsidRDefault="0093431D" w:rsidP="0093431D">
      <w:pPr>
        <w:pStyle w:val="Corpodeltesto"/>
        <w:numPr>
          <w:ilvl w:val="0"/>
          <w:numId w:val="0"/>
        </w:numPr>
        <w:spacing w:after="120"/>
        <w:rPr>
          <w:szCs w:val="24"/>
        </w:rPr>
      </w:pPr>
      <w:r w:rsidRPr="00556E9C">
        <w:rPr>
          <w:szCs w:val="24"/>
        </w:rPr>
        <w:t xml:space="preserve">La classificazione delle acque sotterranee rappresentata dall’indicatore SCAS mostra una condizione di stazionarietà. </w:t>
      </w:r>
    </w:p>
    <w:p w:rsidR="0093431D" w:rsidRPr="00556E9C" w:rsidRDefault="0093431D" w:rsidP="0093431D">
      <w:pPr>
        <w:pStyle w:val="Corpodeltesto"/>
        <w:numPr>
          <w:ilvl w:val="0"/>
          <w:numId w:val="0"/>
        </w:numPr>
        <w:spacing w:after="120"/>
        <w:rPr>
          <w:szCs w:val="24"/>
        </w:rPr>
      </w:pPr>
      <w:r w:rsidRPr="00556E9C">
        <w:rPr>
          <w:szCs w:val="24"/>
        </w:rPr>
        <w:t xml:space="preserve">Dall’analisi dei dati relativi al biennio 2004- 2005  le acque di sub alveo dalla zona collinare alla zona costiera presentano una classificazione, determinata principalmente dal parametro azoto nitrico, di classe 3 (sufficiente)e di classe 4 (scadente). </w:t>
      </w:r>
    </w:p>
    <w:p w:rsidR="0093431D" w:rsidRPr="00556E9C" w:rsidRDefault="0093431D" w:rsidP="0093431D">
      <w:pPr>
        <w:pStyle w:val="Corpodeltesto"/>
        <w:numPr>
          <w:ilvl w:val="0"/>
          <w:numId w:val="0"/>
        </w:numPr>
        <w:spacing w:after="120"/>
        <w:rPr>
          <w:szCs w:val="24"/>
        </w:rPr>
      </w:pPr>
      <w:r w:rsidRPr="00556E9C">
        <w:rPr>
          <w:szCs w:val="24"/>
        </w:rPr>
        <w:t xml:space="preserve">Nella fascia montana, caratterizzata dalla dorsale carbonatica, il SCAS, indicatore delle acque sotterranee, presenta generalmente valori di classe 1 (elevata) e di classe 2 (buona).  </w:t>
      </w:r>
    </w:p>
    <w:p w:rsidR="0093431D" w:rsidRPr="00ED3C61" w:rsidRDefault="0093431D" w:rsidP="0093431D">
      <w:pPr>
        <w:pStyle w:val="Corpodeltesto"/>
        <w:numPr>
          <w:ilvl w:val="0"/>
          <w:numId w:val="0"/>
        </w:numPr>
        <w:spacing w:after="120"/>
        <w:rPr>
          <w:szCs w:val="24"/>
        </w:rPr>
      </w:pPr>
      <w:r w:rsidRPr="00ED3C61">
        <w:rPr>
          <w:szCs w:val="24"/>
        </w:rPr>
        <w:t>Nei territori di Pesaro e Urbino il maggiore fattore inquinante è rappresentato dall’elevata concentrazione di nitrati nelle zone collinari e vallive.</w:t>
      </w:r>
    </w:p>
    <w:p w:rsidR="0093431D" w:rsidRPr="00ED3C61" w:rsidRDefault="0093431D" w:rsidP="0093431D">
      <w:pPr>
        <w:pStyle w:val="Corpodeltesto"/>
        <w:numPr>
          <w:ilvl w:val="0"/>
          <w:numId w:val="0"/>
        </w:numPr>
        <w:spacing w:after="120"/>
        <w:rPr>
          <w:szCs w:val="24"/>
        </w:rPr>
      </w:pPr>
      <w:r w:rsidRPr="00ED3C61">
        <w:rPr>
          <w:szCs w:val="24"/>
        </w:rPr>
        <w:t>Nella Provincia di Ancona i parametri caratterizzanti l’indicatore SCAS sono rappresentati dal rilevamento dei nitrati e degli inquinanti inorganici.</w:t>
      </w:r>
    </w:p>
    <w:p w:rsidR="0093431D" w:rsidRPr="00ED3C61" w:rsidRDefault="0093431D" w:rsidP="0093431D">
      <w:pPr>
        <w:pStyle w:val="Corpodeltesto"/>
        <w:numPr>
          <w:ilvl w:val="0"/>
          <w:numId w:val="0"/>
        </w:numPr>
        <w:spacing w:after="120"/>
        <w:rPr>
          <w:szCs w:val="24"/>
        </w:rPr>
      </w:pPr>
      <w:r w:rsidRPr="00ED3C61">
        <w:rPr>
          <w:szCs w:val="24"/>
        </w:rPr>
        <w:t>Nella Provincia di Macerata il fenomeno inquinante più rilevante è rappresentato dalle elevate concentrazioni di composti organo alogenati (prodotto di lavorazione di alcune industrie calzaturiere) nella bassa valle del Chienti; si rileva comunque che la classificazione in terza e quarta classe lungo le pianure alluvionali è determinata dal parametro nitrati.</w:t>
      </w:r>
    </w:p>
    <w:p w:rsidR="0093431D" w:rsidRPr="00ED3C61" w:rsidRDefault="0093431D" w:rsidP="0093431D">
      <w:pPr>
        <w:pStyle w:val="Corpodeltesto"/>
        <w:numPr>
          <w:ilvl w:val="0"/>
          <w:numId w:val="0"/>
        </w:numPr>
        <w:spacing w:after="120"/>
        <w:rPr>
          <w:szCs w:val="24"/>
        </w:rPr>
      </w:pPr>
      <w:r w:rsidRPr="00ED3C61">
        <w:rPr>
          <w:szCs w:val="24"/>
        </w:rPr>
        <w:t xml:space="preserve">In provincia di Ascoli Piceno la qualità delle acque sotterranee è buona nella zona montana mentre nella zona pedemontana e pianeggiante l’inquinamento più diffuso è determinato dalla presenza di nitrati nelle zone a coltura intensiva. </w:t>
      </w:r>
    </w:p>
    <w:p w:rsidR="0093431D" w:rsidRPr="00556E9C" w:rsidRDefault="0093431D" w:rsidP="0093431D">
      <w:pPr>
        <w:pStyle w:val="Corpodeltesto"/>
        <w:numPr>
          <w:ilvl w:val="0"/>
          <w:numId w:val="0"/>
        </w:numPr>
        <w:spacing w:before="240" w:after="120"/>
        <w:rPr>
          <w:szCs w:val="24"/>
          <w:u w:val="single"/>
        </w:rPr>
      </w:pPr>
      <w:r w:rsidRPr="00556E9C">
        <w:rPr>
          <w:szCs w:val="24"/>
          <w:u w:val="single"/>
        </w:rPr>
        <w:t>Il ruolo dell’agricoltura nell’uso/inquinamento delle acque</w:t>
      </w:r>
    </w:p>
    <w:p w:rsidR="0093431D" w:rsidRPr="00556E9C" w:rsidRDefault="0093431D" w:rsidP="0093431D">
      <w:pPr>
        <w:pStyle w:val="Corpodeltesto"/>
        <w:numPr>
          <w:ilvl w:val="0"/>
          <w:numId w:val="0"/>
        </w:numPr>
        <w:spacing w:after="120"/>
        <w:rPr>
          <w:szCs w:val="24"/>
        </w:rPr>
      </w:pPr>
      <w:r w:rsidRPr="00556E9C">
        <w:rPr>
          <w:szCs w:val="24"/>
        </w:rPr>
        <w:t xml:space="preserve">La tutela qualitativa delle acque è l’obiettivo che si pongono diverse misure agroambientali, attraverso la riduzione delle pressioni che l’agricoltura e la zootecnia esercitano sui corpi idrici, sostanzialmente in termini di rilascio di nutrienti (spandimento di effluenti zootecnici) e di sostanze pericolose (utilizzo di fertilizzanti e prodotti fitosanitari) che affluiscono nei copri idrici. </w:t>
      </w:r>
    </w:p>
    <w:p w:rsidR="0093431D" w:rsidRDefault="0093431D" w:rsidP="0093431D">
      <w:pPr>
        <w:pStyle w:val="Corpodeltesto"/>
        <w:numPr>
          <w:ilvl w:val="0"/>
          <w:numId w:val="0"/>
        </w:numPr>
        <w:spacing w:after="120"/>
        <w:rPr>
          <w:szCs w:val="24"/>
        </w:rPr>
      </w:pPr>
      <w:r w:rsidRPr="00ED3C61">
        <w:rPr>
          <w:szCs w:val="24"/>
        </w:rPr>
        <w:lastRenderedPageBreak/>
        <w:t>I nitrati costituiscono il composto chimico maggiormente responsabile della degradazione delle acque sotterranee. Alcune pratiche agricole, legate in particolare allo spandimento e scarico di deiezioni di allevamenti e all’uso dei fertilizzanti, determinano l’inquinamento del suolo e delle acque in misura maggiore laddove si è in presenza di una vulnerabilità intrinseca degli acquiferi (dovuta alle caratteristiche idrogeologiche), e di una bassa capacità protettiva dei suoli.</w:t>
      </w:r>
    </w:p>
    <w:p w:rsidR="0093431D" w:rsidRPr="00ED3C61" w:rsidRDefault="0093431D" w:rsidP="0093431D">
      <w:pPr>
        <w:pStyle w:val="Corpodeltesto"/>
        <w:numPr>
          <w:ilvl w:val="0"/>
          <w:numId w:val="0"/>
        </w:numPr>
        <w:spacing w:after="120"/>
        <w:rPr>
          <w:szCs w:val="24"/>
        </w:rPr>
      </w:pPr>
      <w:r w:rsidRPr="00ED3C61">
        <w:rPr>
          <w:szCs w:val="24"/>
        </w:rPr>
        <w:t>L’analisi di tali caratteristiche intrinseche di vulnerabilità all’inquinamento dei territori, collegata alla disamina delle tipologie di colture che li caratterizzano, permette di individuare le aree a maggior rischio di</w:t>
      </w:r>
      <w:r w:rsidRPr="00556E9C">
        <w:rPr>
          <w:szCs w:val="24"/>
        </w:rPr>
        <w:t xml:space="preserve"> </w:t>
      </w:r>
      <w:r w:rsidRPr="00ED3C61">
        <w:rPr>
          <w:szCs w:val="24"/>
        </w:rPr>
        <w:t>inquinamento da nitrati di origine agricola.</w:t>
      </w:r>
    </w:p>
    <w:p w:rsidR="0093431D" w:rsidRPr="00556E9C" w:rsidRDefault="0093431D" w:rsidP="0093431D">
      <w:pPr>
        <w:pStyle w:val="Corpodeltesto"/>
        <w:numPr>
          <w:ilvl w:val="0"/>
          <w:numId w:val="0"/>
        </w:numPr>
        <w:spacing w:before="240" w:after="120"/>
        <w:rPr>
          <w:szCs w:val="24"/>
          <w:u w:val="single"/>
        </w:rPr>
      </w:pPr>
      <w:bookmarkStart w:id="0" w:name="_Toc107890239"/>
      <w:r w:rsidRPr="00556E9C">
        <w:rPr>
          <w:szCs w:val="24"/>
          <w:u w:val="single"/>
        </w:rPr>
        <w:t>Applicazione della Direttiva 91/676/CEE (Direttiva Nitrati)</w:t>
      </w:r>
      <w:bookmarkEnd w:id="0"/>
    </w:p>
    <w:p w:rsidR="0093431D" w:rsidRDefault="0093431D" w:rsidP="0093431D">
      <w:pPr>
        <w:pStyle w:val="Corpodeltesto"/>
        <w:numPr>
          <w:ilvl w:val="0"/>
          <w:numId w:val="0"/>
        </w:numPr>
        <w:spacing w:after="120"/>
        <w:rPr>
          <w:szCs w:val="24"/>
        </w:rPr>
      </w:pPr>
      <w:smartTag w:uri="urn:schemas-microsoft-com:office:smarttags" w:element="PersonName">
        <w:smartTagPr>
          <w:attr w:name="ProductID" w:val="La Regione Marche"/>
        </w:smartTagPr>
        <w:r w:rsidRPr="00ED3C61">
          <w:rPr>
            <w:szCs w:val="24"/>
          </w:rPr>
          <w:t>La Regione Marche</w:t>
        </w:r>
      </w:smartTag>
      <w:r w:rsidRPr="00ED3C61">
        <w:rPr>
          <w:szCs w:val="24"/>
        </w:rPr>
        <w:t xml:space="preserve"> ha ottemperato alle indicazioni della direttiva 91/676/CEE attraverso la </w:t>
      </w:r>
      <w:r w:rsidRPr="00556E9C">
        <w:rPr>
          <w:szCs w:val="24"/>
        </w:rPr>
        <w:t>prima individuazione delle zone vulnerabili da nitrati di origine agricola</w:t>
      </w:r>
      <w:r w:rsidRPr="00ED3C61">
        <w:rPr>
          <w:szCs w:val="24"/>
        </w:rPr>
        <w:t>, formalizzata con</w:t>
      </w:r>
      <w:r w:rsidRPr="00556E9C">
        <w:rPr>
          <w:szCs w:val="24"/>
        </w:rPr>
        <w:t xml:space="preserve"> Decreto DS n. 10/TAM del 10 settembre 2003, </w:t>
      </w:r>
      <w:r w:rsidRPr="00ED3C61">
        <w:rPr>
          <w:szCs w:val="24"/>
        </w:rPr>
        <w:t>e l’</w:t>
      </w:r>
      <w:r w:rsidRPr="00556E9C">
        <w:rPr>
          <w:szCs w:val="24"/>
        </w:rPr>
        <w:t>approvazione del “Programma d’azione delle zone vulnerabili da nitrati di origine agricola” con DDS n. 121/ARF del 24 settembre 2003 che prevede le norme relative alla gestione della fertilizzazione ed altre pratiche agronomiche nelle aziende agricole comprese le misure obbligatorie e i divieti.</w:t>
      </w:r>
      <w:r w:rsidRPr="00ED3C61">
        <w:rPr>
          <w:szCs w:val="24"/>
        </w:rPr>
        <w:t xml:space="preserve"> </w:t>
      </w:r>
    </w:p>
    <w:p w:rsidR="0093431D" w:rsidRDefault="0093431D" w:rsidP="0093431D">
      <w:pPr>
        <w:pStyle w:val="Corpodeltesto"/>
        <w:numPr>
          <w:ilvl w:val="0"/>
          <w:numId w:val="0"/>
        </w:numPr>
        <w:spacing w:after="120"/>
        <w:rPr>
          <w:szCs w:val="24"/>
        </w:rPr>
      </w:pPr>
      <w:r w:rsidRPr="00ED3C61">
        <w:rPr>
          <w:szCs w:val="24"/>
        </w:rPr>
        <w:t xml:space="preserve">Nel 2006 è stata aperta dalla UE una procedura d’infrazione (n. 2006/2163) a carico dell’Italia sulla direttiva nitrati che ha trattato anche gli atti inerenti </w:t>
      </w:r>
      <w:smartTag w:uri="urn:schemas-microsoft-com:office:smarttags" w:element="PersonName">
        <w:smartTagPr>
          <w:attr w:name="ProductID" w:val="la Regione Marche."/>
        </w:smartTagPr>
        <w:r w:rsidRPr="00ED3C61">
          <w:rPr>
            <w:szCs w:val="24"/>
          </w:rPr>
          <w:t>la Regione Marche.</w:t>
        </w:r>
      </w:smartTag>
      <w:r w:rsidRPr="00ED3C61">
        <w:rPr>
          <w:szCs w:val="24"/>
        </w:rPr>
        <w:t xml:space="preserve"> </w:t>
      </w:r>
    </w:p>
    <w:p w:rsidR="0093431D" w:rsidRPr="00ED3C61" w:rsidRDefault="0093431D" w:rsidP="0093431D">
      <w:pPr>
        <w:pStyle w:val="Corpodeltesto"/>
        <w:numPr>
          <w:ilvl w:val="0"/>
          <w:numId w:val="0"/>
        </w:numPr>
        <w:spacing w:after="120"/>
        <w:rPr>
          <w:szCs w:val="24"/>
        </w:rPr>
      </w:pPr>
      <w:r w:rsidRPr="00ED3C61">
        <w:rPr>
          <w:szCs w:val="24"/>
        </w:rPr>
        <w:t xml:space="preserve">La designazione delle zone vulnerabili da nitrati effettuata nella Regione Marche è stata giudicata coerente con lo studio ERM 2000 commissionato dall’UE e scientificamente valida e pertanto non sono state sollevate osservazioni.  </w:t>
      </w:r>
    </w:p>
    <w:p w:rsidR="0093431D" w:rsidRPr="00556E9C" w:rsidRDefault="0093431D" w:rsidP="0093431D">
      <w:pPr>
        <w:pStyle w:val="Corpodeltesto"/>
        <w:numPr>
          <w:ilvl w:val="0"/>
          <w:numId w:val="0"/>
        </w:numPr>
        <w:spacing w:after="120"/>
        <w:rPr>
          <w:szCs w:val="24"/>
        </w:rPr>
      </w:pPr>
      <w:r w:rsidRPr="00ED3C61">
        <w:rPr>
          <w:szCs w:val="24"/>
        </w:rPr>
        <w:t xml:space="preserve">L’analisi effettuata dalla Regione è stata prudenziale; le zone individuate come vulnerabili da nitrati di origine agricola, vedi la </w:t>
      </w:r>
      <w:r w:rsidRPr="00556E9C">
        <w:rPr>
          <w:szCs w:val="24"/>
        </w:rPr>
        <w:t xml:space="preserve">carta sottostante </w:t>
      </w:r>
      <w:r w:rsidRPr="00556E9C">
        <w:rPr>
          <w:szCs w:val="24"/>
          <w:highlight w:val="lightGray"/>
        </w:rPr>
        <w:t>(Fig.XX),</w:t>
      </w:r>
      <w:r w:rsidRPr="00556E9C">
        <w:rPr>
          <w:szCs w:val="24"/>
        </w:rPr>
        <w:t xml:space="preserve"> rappresentano circa il 12</w:t>
      </w:r>
      <w:r>
        <w:rPr>
          <w:szCs w:val="24"/>
        </w:rPr>
        <w:t>,7</w:t>
      </w:r>
      <w:r w:rsidRPr="00556E9C">
        <w:rPr>
          <w:szCs w:val="24"/>
        </w:rPr>
        <w:t xml:space="preserve"> % del territorio regionale.</w:t>
      </w:r>
    </w:p>
    <w:p w:rsidR="0093431D" w:rsidRPr="00556E9C" w:rsidRDefault="0093431D" w:rsidP="0093431D">
      <w:pPr>
        <w:pStyle w:val="Corpodeltesto"/>
        <w:numPr>
          <w:ilvl w:val="0"/>
          <w:numId w:val="0"/>
        </w:numPr>
        <w:spacing w:after="120"/>
        <w:rPr>
          <w:szCs w:val="24"/>
        </w:rPr>
      </w:pPr>
      <w:r w:rsidRPr="00ED3C61">
        <w:rPr>
          <w:szCs w:val="24"/>
        </w:rPr>
        <w:t xml:space="preserve">Le Zone Vulnerabili da Nitrati di origine agricola (ZVN) </w:t>
      </w:r>
      <w:r w:rsidRPr="00556E9C">
        <w:rPr>
          <w:szCs w:val="24"/>
        </w:rPr>
        <w:t xml:space="preserve">corrispondono prevalentemente ai depositi alluvionali sui fondovalle dei fiumi marchigiani e ad ambienti fluvio-lacustri senza suoli protettivi, alle aree agricole a substrati sabbioso-conglomeratici nell’area costiera picena, a lembi agricoli del territorio del Montefeltro su calcareniti torbiditiche e, infine, a molte fasce di territorio circostanti i corsi d’acqua, in ambienti agricoli e su diversi substrati. </w:t>
      </w:r>
    </w:p>
    <w:p w:rsidR="0093431D" w:rsidRDefault="0093431D" w:rsidP="0093431D">
      <w:pPr>
        <w:pStyle w:val="Corpodeltesto"/>
        <w:numPr>
          <w:ilvl w:val="0"/>
          <w:numId w:val="0"/>
        </w:numPr>
        <w:spacing w:after="120"/>
        <w:rPr>
          <w:szCs w:val="24"/>
        </w:rPr>
      </w:pPr>
      <w:r w:rsidRPr="00556E9C">
        <w:rPr>
          <w:szCs w:val="24"/>
        </w:rPr>
        <w:t>Le aree agricole di pianura marchigiane sono quelle che presentano maggiormente caratteri di vulnerabilità alla contaminazione delle acque profonde e surperficiali da sostanze chimiche: sono generalmente contraddistinte da sistemazioni idraulico-agrarie talvolta inadeguate o estremamente semplificate, avvicendamenti colturali brevi con ridotta presenza di colture foraggere poliennali, aumento della lunghezza dei campi al fine di favorire l’uso delle macchine agricole, ridotto contenuto di sostanza organica nel terreno, sistemi agricoli contraddistinti da sostenute produzioni unitarie e spinta meccanizzazione.</w:t>
      </w:r>
    </w:p>
    <w:p w:rsidR="0093431D" w:rsidRDefault="0093431D" w:rsidP="0093431D">
      <w:pPr>
        <w:pStyle w:val="Corpodeltesto"/>
        <w:numPr>
          <w:ilvl w:val="0"/>
          <w:numId w:val="0"/>
        </w:numPr>
        <w:spacing w:after="120"/>
        <w:rPr>
          <w:szCs w:val="24"/>
        </w:rPr>
      </w:pPr>
      <w:r w:rsidRPr="00556E9C">
        <w:rPr>
          <w:szCs w:val="24"/>
        </w:rPr>
        <w:t>Questo tipo di gestione delle terre è caratterizzato da elevati apporti energetici in quanto prevede lavorazioni profonde e significativo impiego di fertilizzanti e agrofarmaci.</w:t>
      </w:r>
    </w:p>
    <w:p w:rsidR="0093431D" w:rsidRPr="00556E9C" w:rsidRDefault="0093431D" w:rsidP="0093431D">
      <w:pPr>
        <w:pStyle w:val="Corpodeltesto"/>
        <w:numPr>
          <w:ilvl w:val="0"/>
          <w:numId w:val="0"/>
        </w:numPr>
        <w:spacing w:after="120"/>
        <w:rPr>
          <w:szCs w:val="24"/>
        </w:rPr>
      </w:pPr>
      <w:r w:rsidRPr="00556E9C">
        <w:rPr>
          <w:szCs w:val="24"/>
        </w:rPr>
        <w:t>L’utilizzo dei fertilizzanti azotati, di quelli fosfatici e dei prodotti organici di sintesi, anche per le modalità con cui vengono realizzate le lavorazioni principali, che determinano una forte ossidazione della sostanza organica con conseguente riduzione dell’attività microbica del terreno, determina in queste aree diversi livelli di pericolosità e rischi effettivi di inquinamento.</w:t>
      </w:r>
    </w:p>
    <w:p w:rsidR="0093431D" w:rsidRDefault="0093431D" w:rsidP="0093431D">
      <w:pPr>
        <w:pStyle w:val="Corpodeltesto"/>
        <w:numPr>
          <w:ilvl w:val="0"/>
          <w:numId w:val="0"/>
        </w:numPr>
        <w:spacing w:after="120"/>
        <w:rPr>
          <w:szCs w:val="24"/>
        </w:rPr>
      </w:pPr>
      <w:r w:rsidRPr="00556E9C">
        <w:rPr>
          <w:szCs w:val="24"/>
        </w:rPr>
        <w:t>I dati inerenti le coltivazioni prevalenti nelle ZVN  riportati nella tabella e nel grafico seguente mostrano la nettissima prevalenza dei seminativi e in particolare del grano duro che da solo rappresenta i</w:t>
      </w:r>
      <w:r>
        <w:rPr>
          <w:szCs w:val="24"/>
        </w:rPr>
        <w:t>l 46% della SAU nelle aree ZVN.</w:t>
      </w:r>
    </w:p>
    <w:p w:rsidR="0093431D" w:rsidRDefault="0093431D" w:rsidP="0093431D">
      <w:pPr>
        <w:pStyle w:val="Corpodeltesto"/>
        <w:numPr>
          <w:ilvl w:val="0"/>
          <w:numId w:val="0"/>
        </w:numPr>
        <w:spacing w:after="120"/>
        <w:rPr>
          <w:szCs w:val="24"/>
        </w:rPr>
      </w:pPr>
      <w:r w:rsidRPr="00556E9C">
        <w:rPr>
          <w:szCs w:val="24"/>
        </w:rPr>
        <w:lastRenderedPageBreak/>
        <w:t>Occorre comunque tenere presente che i dati PAC utilizzati, essendo precedenti all’applicazione della riforma PAC in Italia, non ne descrivono gli effetti che con ogni probabilità si sono verificati anche per quanto concerne le scelte colturali degli imprenditori agricoli ricadenti nelle aree ZVN.</w:t>
      </w:r>
    </w:p>
    <w:p w:rsidR="0093431D" w:rsidRPr="00556E9C" w:rsidRDefault="0093431D" w:rsidP="0093431D">
      <w:pPr>
        <w:pStyle w:val="Corpodeltesto"/>
        <w:numPr>
          <w:ilvl w:val="0"/>
          <w:numId w:val="0"/>
        </w:numPr>
        <w:spacing w:before="360" w:after="240"/>
        <w:rPr>
          <w:szCs w:val="24"/>
        </w:rPr>
      </w:pPr>
      <w:r w:rsidRPr="00556E9C">
        <w:rPr>
          <w:b/>
          <w:highlight w:val="lightGray"/>
        </w:rPr>
        <w:t xml:space="preserve">Figura XX. </w:t>
      </w:r>
      <w:r>
        <w:rPr>
          <w:b/>
          <w:highlight w:val="lightGray"/>
        </w:rPr>
        <w:t>Coltivazioni praticate nelle aree ZVN delle Marche</w:t>
      </w:r>
    </w:p>
    <w:p w:rsidR="0093431D" w:rsidRPr="003E4A03" w:rsidRDefault="0093431D" w:rsidP="0093431D">
      <w:pPr>
        <w:jc w:val="both"/>
      </w:pPr>
      <w:r>
        <w:rPr>
          <w:noProof/>
        </w:rPr>
        <w:drawing>
          <wp:inline distT="0" distB="0" distL="0" distR="0">
            <wp:extent cx="6115050" cy="341947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6115050" cy="3419475"/>
                    </a:xfrm>
                    <a:prstGeom prst="rect">
                      <a:avLst/>
                    </a:prstGeom>
                    <a:noFill/>
                    <a:ln w="9525">
                      <a:noFill/>
                      <a:miter lim="800000"/>
                      <a:headEnd/>
                      <a:tailEnd/>
                    </a:ln>
                  </pic:spPr>
                </pic:pic>
              </a:graphicData>
            </a:graphic>
          </wp:inline>
        </w:drawing>
      </w:r>
    </w:p>
    <w:p w:rsidR="0093431D" w:rsidRDefault="0093431D" w:rsidP="0093431D">
      <w:pPr>
        <w:pStyle w:val="Fonte"/>
        <w:spacing w:before="240" w:after="360"/>
      </w:pPr>
      <w:r w:rsidRPr="008F6E98">
        <w:t xml:space="preserve">Fonte : elaborazioni </w:t>
      </w:r>
      <w:r>
        <w:t xml:space="preserve">Regione Marche </w:t>
      </w:r>
      <w:r w:rsidRPr="008F6E98">
        <w:t xml:space="preserve">su dati </w:t>
      </w:r>
      <w:r>
        <w:t>AGEA</w:t>
      </w:r>
    </w:p>
    <w:p w:rsidR="0093431D" w:rsidRDefault="0093431D" w:rsidP="0093431D">
      <w:pPr>
        <w:pStyle w:val="Corpodeltesto"/>
        <w:numPr>
          <w:ilvl w:val="0"/>
          <w:numId w:val="0"/>
        </w:numPr>
        <w:spacing w:after="120"/>
        <w:rPr>
          <w:szCs w:val="24"/>
        </w:rPr>
      </w:pPr>
      <w:r w:rsidRPr="00556E9C">
        <w:rPr>
          <w:szCs w:val="24"/>
        </w:rPr>
        <w:t>La quantificazione dei carichi agricoli e zootecnici è stata effettuata su base territoriale;  l’utilizzo dei dati AGEA della PAC e delle anagrafi del bestiame, e quindi la quantificazione delle effettive pressioni agricole in corso di realizzazione da parte del servizio suoli dell’ASSAM (</w:t>
      </w:r>
      <w:r w:rsidRPr="00073CFC">
        <w:rPr>
          <w:szCs w:val="24"/>
        </w:rPr>
        <w:t>Agenzia Servizi Settore Agroalimentare delle Marche),</w:t>
      </w:r>
      <w:r w:rsidRPr="00556E9C">
        <w:rPr>
          <w:szCs w:val="24"/>
        </w:rPr>
        <w:t xml:space="preserve"> permetterà una prima verifica delle aree nel 2007.</w:t>
      </w:r>
    </w:p>
    <w:p w:rsidR="0093431D" w:rsidRPr="00556E9C" w:rsidRDefault="0093431D" w:rsidP="0093431D">
      <w:pPr>
        <w:pStyle w:val="Corpodeltesto"/>
        <w:numPr>
          <w:ilvl w:val="0"/>
          <w:numId w:val="0"/>
        </w:numPr>
        <w:spacing w:after="120"/>
        <w:rPr>
          <w:szCs w:val="24"/>
        </w:rPr>
      </w:pPr>
      <w:r w:rsidRPr="00556E9C">
        <w:rPr>
          <w:szCs w:val="24"/>
        </w:rPr>
        <w:t xml:space="preserve">I dati delle pressioni agricole verranno integrati e valutati con la determinazione delle pressioni extra agricole. </w:t>
      </w:r>
    </w:p>
    <w:p w:rsidR="0093431D" w:rsidRDefault="0093431D" w:rsidP="0093431D">
      <w:pPr>
        <w:widowControl w:val="0"/>
        <w:jc w:val="both"/>
      </w:pPr>
    </w:p>
    <w:p w:rsidR="0093431D" w:rsidRPr="00556E9C" w:rsidRDefault="0093431D" w:rsidP="0093431D">
      <w:pPr>
        <w:pStyle w:val="Corpodeltesto"/>
        <w:numPr>
          <w:ilvl w:val="0"/>
          <w:numId w:val="0"/>
        </w:numPr>
        <w:spacing w:before="360" w:after="240"/>
        <w:rPr>
          <w:szCs w:val="24"/>
        </w:rPr>
      </w:pPr>
      <w:r>
        <w:rPr>
          <w:b/>
          <w:highlight w:val="lightGray"/>
        </w:rPr>
        <w:t>Grafico</w:t>
      </w:r>
      <w:r w:rsidRPr="00556E9C">
        <w:rPr>
          <w:b/>
          <w:highlight w:val="lightGray"/>
        </w:rPr>
        <w:t xml:space="preserve"> XX. </w:t>
      </w:r>
      <w:r>
        <w:rPr>
          <w:b/>
          <w:highlight w:val="lightGray"/>
        </w:rPr>
        <w:t>Ripartizione percentuale delle coltivazioni praticate nelle aree ZVN delle Marche</w:t>
      </w:r>
    </w:p>
    <w:p w:rsidR="0093431D" w:rsidRPr="00556E9C" w:rsidRDefault="0093431D" w:rsidP="0093431D">
      <w:pPr>
        <w:pStyle w:val="Corpodeltesto"/>
        <w:numPr>
          <w:ilvl w:val="0"/>
          <w:numId w:val="0"/>
        </w:numPr>
        <w:spacing w:after="120"/>
        <w:rPr>
          <w:szCs w:val="24"/>
        </w:rPr>
      </w:pPr>
      <w:r>
        <w:rPr>
          <w:noProof/>
        </w:rPr>
        <w:lastRenderedPageBreak/>
        <w:drawing>
          <wp:inline distT="0" distB="0" distL="0" distR="0">
            <wp:extent cx="6115050" cy="3457575"/>
            <wp:effectExtent l="0" t="0"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6115050" cy="3457575"/>
                    </a:xfrm>
                    <a:prstGeom prst="rect">
                      <a:avLst/>
                    </a:prstGeom>
                    <a:noFill/>
                    <a:ln w="9525">
                      <a:noFill/>
                      <a:miter lim="800000"/>
                      <a:headEnd/>
                      <a:tailEnd/>
                    </a:ln>
                  </pic:spPr>
                </pic:pic>
              </a:graphicData>
            </a:graphic>
          </wp:inline>
        </w:drawing>
      </w:r>
      <w:r w:rsidRPr="003E4A03">
        <w:t xml:space="preserve"> </w:t>
      </w:r>
    </w:p>
    <w:p w:rsidR="0093431D" w:rsidRDefault="0093431D" w:rsidP="0093431D">
      <w:pPr>
        <w:pStyle w:val="Fonte"/>
        <w:spacing w:before="240" w:after="360"/>
      </w:pPr>
      <w:r w:rsidRPr="008F6E98">
        <w:t xml:space="preserve">Fonte : elaborazioni </w:t>
      </w:r>
      <w:r>
        <w:t xml:space="preserve">Regione Marche </w:t>
      </w:r>
      <w:r w:rsidRPr="008F6E98">
        <w:t xml:space="preserve">su dati </w:t>
      </w:r>
      <w:r>
        <w:t>AGEA</w:t>
      </w:r>
    </w:p>
    <w:p w:rsidR="0093431D" w:rsidRPr="00073CFC" w:rsidRDefault="0093431D" w:rsidP="0093431D">
      <w:pPr>
        <w:pStyle w:val="Corpodeltesto"/>
        <w:numPr>
          <w:ilvl w:val="0"/>
          <w:numId w:val="0"/>
        </w:numPr>
        <w:spacing w:after="120"/>
        <w:rPr>
          <w:szCs w:val="24"/>
        </w:rPr>
      </w:pPr>
      <w:r w:rsidRPr="00556E9C">
        <w:rPr>
          <w:szCs w:val="24"/>
        </w:rPr>
        <w:t>La rilevazione delle  pressioni di tipo agricolo</w:t>
      </w:r>
      <w:r w:rsidRPr="00073CFC">
        <w:rPr>
          <w:szCs w:val="24"/>
        </w:rPr>
        <w:t>, affidata all’ASSAM nel 2004 risulta in avanzata fase di realizzazione e consentirà, alla fine del progetto triennale, di avere maggiori informazioni sulla vulnerabilità, pericolosità e rischio da contaminazione da nitrati di origine agricola.</w:t>
      </w:r>
    </w:p>
    <w:p w:rsidR="0093431D" w:rsidRDefault="0093431D" w:rsidP="0093431D">
      <w:pPr>
        <w:pStyle w:val="Corpodeltesto"/>
        <w:numPr>
          <w:ilvl w:val="0"/>
          <w:numId w:val="0"/>
        </w:numPr>
        <w:spacing w:after="120"/>
        <w:rPr>
          <w:szCs w:val="24"/>
        </w:rPr>
      </w:pPr>
      <w:r w:rsidRPr="00ED3C61">
        <w:rPr>
          <w:szCs w:val="24"/>
        </w:rPr>
        <w:t xml:space="preserve">E’ stata elaborata una prima </w:t>
      </w:r>
      <w:r w:rsidRPr="00556E9C">
        <w:rPr>
          <w:szCs w:val="24"/>
        </w:rPr>
        <w:t xml:space="preserve">carta del pericolo di contaminazione delle acque </w:t>
      </w:r>
      <w:r w:rsidRPr="00ED3C61">
        <w:rPr>
          <w:szCs w:val="24"/>
        </w:rPr>
        <w:t>legato all’utilizzo dei concimi azotati ed affluenti zootecnici.</w:t>
      </w:r>
    </w:p>
    <w:p w:rsidR="0093431D" w:rsidRDefault="0093431D" w:rsidP="0093431D">
      <w:pPr>
        <w:pStyle w:val="Corpodeltesto"/>
        <w:numPr>
          <w:ilvl w:val="0"/>
          <w:numId w:val="0"/>
        </w:numPr>
        <w:spacing w:after="120"/>
        <w:rPr>
          <w:szCs w:val="24"/>
        </w:rPr>
      </w:pPr>
      <w:r w:rsidRPr="00ED3C61">
        <w:rPr>
          <w:szCs w:val="24"/>
        </w:rPr>
        <w:t>La carta</w:t>
      </w:r>
      <w:r>
        <w:rPr>
          <w:szCs w:val="24"/>
        </w:rPr>
        <w:t>,</w:t>
      </w:r>
      <w:r w:rsidRPr="00ED3C61">
        <w:rPr>
          <w:szCs w:val="24"/>
        </w:rPr>
        <w:t xml:space="preserve"> che utilizza i dati PAC 2004, individua le zone dove, date le colture praticate, è più alto il </w:t>
      </w:r>
      <w:r>
        <w:rPr>
          <w:szCs w:val="24"/>
        </w:rPr>
        <w:t>pericolo</w:t>
      </w:r>
      <w:r w:rsidRPr="00ED3C61">
        <w:rPr>
          <w:szCs w:val="24"/>
        </w:rPr>
        <w:t xml:space="preserve"> di inquinamento da utilizzo di concimi azotati, un’ulteriore elaborazione cons</w:t>
      </w:r>
      <w:r>
        <w:rPr>
          <w:szCs w:val="24"/>
        </w:rPr>
        <w:t xml:space="preserve">entirà una migliore valutazione delle aree utilizzate per lo spandimento degli effluenti zootecnici, la localizzazione degli allevamenti, le aree oggetto di pascolo, </w:t>
      </w:r>
      <w:r w:rsidRPr="00ED3C61">
        <w:rPr>
          <w:szCs w:val="24"/>
        </w:rPr>
        <w:t>i fattori di protezione legati al suolo e al clima per valutare in maniera più completa il reale rischio di inquinamento.</w:t>
      </w:r>
    </w:p>
    <w:p w:rsidR="0093431D" w:rsidRDefault="0093431D" w:rsidP="0093431D">
      <w:pPr>
        <w:pStyle w:val="Corpodeltesto"/>
        <w:numPr>
          <w:ilvl w:val="0"/>
          <w:numId w:val="0"/>
        </w:numPr>
        <w:spacing w:after="120"/>
        <w:rPr>
          <w:szCs w:val="24"/>
        </w:rPr>
      </w:pPr>
      <w:r w:rsidRPr="00ED3C61">
        <w:rPr>
          <w:szCs w:val="24"/>
        </w:rPr>
        <w:t xml:space="preserve">La lettura della carta della pericolosità da nitrati su aree vulnerabili, riportata nella </w:t>
      </w:r>
      <w:r w:rsidRPr="00556E9C">
        <w:rPr>
          <w:szCs w:val="24"/>
          <w:highlight w:val="lightGray"/>
        </w:rPr>
        <w:t>figura XX</w:t>
      </w:r>
      <w:r w:rsidRPr="00ED3C61">
        <w:rPr>
          <w:szCs w:val="24"/>
        </w:rPr>
        <w:t xml:space="preserve">, permette di individuare nell’ambito delle ZVN diversi livelli di </w:t>
      </w:r>
      <w:r>
        <w:rPr>
          <w:szCs w:val="24"/>
        </w:rPr>
        <w:t xml:space="preserve">pericolosità </w:t>
      </w:r>
      <w:r w:rsidRPr="00ED3C61">
        <w:rPr>
          <w:szCs w:val="24"/>
        </w:rPr>
        <w:t xml:space="preserve">evidenziando l’esistenza di aree con una basso livello di </w:t>
      </w:r>
      <w:r>
        <w:rPr>
          <w:szCs w:val="24"/>
        </w:rPr>
        <w:t>pericolosità</w:t>
      </w:r>
      <w:r w:rsidRPr="00ED3C61">
        <w:rPr>
          <w:szCs w:val="24"/>
        </w:rPr>
        <w:t>.</w:t>
      </w:r>
    </w:p>
    <w:p w:rsidR="0093431D" w:rsidRDefault="0093431D" w:rsidP="0093431D">
      <w:pPr>
        <w:pStyle w:val="Corpodeltesto"/>
        <w:numPr>
          <w:ilvl w:val="0"/>
          <w:numId w:val="0"/>
        </w:numPr>
        <w:spacing w:after="120"/>
        <w:rPr>
          <w:szCs w:val="24"/>
        </w:rPr>
      </w:pPr>
      <w:r w:rsidRPr="00556E9C">
        <w:rPr>
          <w:szCs w:val="24"/>
        </w:rPr>
        <w:t>Riguardo ai carichi extra-agricoli il Servizio Tutela Ambientale ha avviato la mappatura e identificazione dei depuratori urbani ed industriali nonché una loro valutazione di conformità. Sono poi stati individuate le acque reflue trattate e le acque reflue collettate degli agglomerati urbani.</w:t>
      </w:r>
    </w:p>
    <w:p w:rsidR="0093431D" w:rsidRDefault="0093431D" w:rsidP="0093431D">
      <w:pPr>
        <w:pStyle w:val="Corpodeltesto"/>
        <w:numPr>
          <w:ilvl w:val="0"/>
          <w:numId w:val="0"/>
        </w:numPr>
        <w:spacing w:after="120"/>
        <w:rPr>
          <w:szCs w:val="24"/>
        </w:rPr>
      </w:pPr>
      <w:r w:rsidRPr="00556E9C">
        <w:rPr>
          <w:szCs w:val="24"/>
        </w:rPr>
        <w:t>A conclusione di questo lavoro sarà possibile individuare delle zone vulnerate da nitrati di origine extra-agricola e quindi valutare l’opportunità di ridefinire le zone vulnerabili da nitrati di origine agricola che in fase di delimitazione hanno cautelativamente ricompreso anche le zone vulnerat</w:t>
      </w:r>
      <w:r>
        <w:rPr>
          <w:szCs w:val="24"/>
        </w:rPr>
        <w:t>e da pressioni extra-agricole.</w:t>
      </w:r>
    </w:p>
    <w:p w:rsidR="0093431D" w:rsidRDefault="0093431D" w:rsidP="0093431D">
      <w:pPr>
        <w:pStyle w:val="Corpodeltesto"/>
        <w:numPr>
          <w:ilvl w:val="0"/>
          <w:numId w:val="0"/>
        </w:numPr>
        <w:spacing w:after="120"/>
        <w:rPr>
          <w:szCs w:val="24"/>
        </w:rPr>
      </w:pPr>
      <w:r w:rsidRPr="00556E9C">
        <w:rPr>
          <w:szCs w:val="24"/>
        </w:rPr>
        <w:t>Dai primi dati disponibili risultano porzioni di bacini idrografici vulnerati da pressioni extra- agricole dovute a insufficienti collettori fognari o a discontinuo funzionamento di alcuni impianti di depurazione delle acq</w:t>
      </w:r>
      <w:r>
        <w:rPr>
          <w:szCs w:val="24"/>
        </w:rPr>
        <w:t>ue reflue civili ed industriali</w:t>
      </w:r>
      <w:r w:rsidRPr="00556E9C">
        <w:rPr>
          <w:szCs w:val="24"/>
        </w:rPr>
        <w:t>.</w:t>
      </w:r>
    </w:p>
    <w:p w:rsidR="0093431D" w:rsidRDefault="0093431D" w:rsidP="0093431D">
      <w:pPr>
        <w:pStyle w:val="Corpodeltesto"/>
        <w:numPr>
          <w:ilvl w:val="0"/>
          <w:numId w:val="0"/>
        </w:numPr>
        <w:spacing w:after="120"/>
        <w:rPr>
          <w:szCs w:val="24"/>
        </w:rPr>
        <w:sectPr w:rsidR="0093431D" w:rsidSect="00F115DF">
          <w:headerReference w:type="default" r:id="rId10"/>
          <w:pgSz w:w="11906" w:h="16838" w:code="9"/>
          <w:pgMar w:top="1134" w:right="1134" w:bottom="1418" w:left="1134" w:header="720" w:footer="720" w:gutter="0"/>
          <w:cols w:space="720"/>
        </w:sectPr>
      </w:pPr>
    </w:p>
    <w:p w:rsidR="0093431D" w:rsidRPr="00556E9C" w:rsidRDefault="0093431D" w:rsidP="0093431D">
      <w:pPr>
        <w:pStyle w:val="Corpodeltesto"/>
        <w:numPr>
          <w:ilvl w:val="0"/>
          <w:numId w:val="0"/>
        </w:numPr>
        <w:spacing w:after="120"/>
        <w:rPr>
          <w:szCs w:val="24"/>
        </w:rPr>
      </w:pPr>
      <w:r>
        <w:rPr>
          <w:b/>
          <w:highlight w:val="lightGray"/>
        </w:rPr>
        <w:lastRenderedPageBreak/>
        <w:t>Figura</w:t>
      </w:r>
      <w:r w:rsidRPr="00556E9C">
        <w:rPr>
          <w:b/>
          <w:highlight w:val="lightGray"/>
        </w:rPr>
        <w:t xml:space="preserve"> XX. </w:t>
      </w:r>
      <w:r>
        <w:rPr>
          <w:b/>
          <w:highlight w:val="lightGray"/>
        </w:rPr>
        <w:t>Pericolosità da nitrati su aree vulnerabili da nitrati delle Marche</w:t>
      </w:r>
    </w:p>
    <w:p w:rsidR="0093431D" w:rsidRDefault="0093431D" w:rsidP="0093431D">
      <w:pPr>
        <w:widowControl w:val="0"/>
        <w:jc w:val="both"/>
        <w:rPr>
          <w:szCs w:val="24"/>
        </w:rPr>
      </w:pPr>
      <w:r>
        <w:rPr>
          <w:noProof/>
          <w:szCs w:val="24"/>
        </w:rPr>
        <w:drawing>
          <wp:inline distT="0" distB="0" distL="0" distR="0">
            <wp:extent cx="7886700" cy="5581650"/>
            <wp:effectExtent l="19050" t="0" r="0" b="0"/>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a:stretch>
                      <a:fillRect/>
                    </a:stretch>
                  </pic:blipFill>
                  <pic:spPr bwMode="auto">
                    <a:xfrm>
                      <a:off x="0" y="0"/>
                      <a:ext cx="7886700" cy="5581650"/>
                    </a:xfrm>
                    <a:prstGeom prst="rect">
                      <a:avLst/>
                    </a:prstGeom>
                    <a:noFill/>
                    <a:ln w="9525">
                      <a:noFill/>
                      <a:miter lim="800000"/>
                      <a:headEnd/>
                      <a:tailEnd/>
                    </a:ln>
                  </pic:spPr>
                </pic:pic>
              </a:graphicData>
            </a:graphic>
          </wp:inline>
        </w:drawing>
      </w:r>
    </w:p>
    <w:p w:rsidR="0093431D" w:rsidRDefault="0093431D" w:rsidP="0093431D">
      <w:pPr>
        <w:widowControl w:val="0"/>
        <w:jc w:val="both"/>
        <w:rPr>
          <w:szCs w:val="24"/>
        </w:rPr>
        <w:sectPr w:rsidR="0093431D" w:rsidSect="00F115DF">
          <w:pgSz w:w="16838" w:h="11906" w:orient="landscape" w:code="9"/>
          <w:pgMar w:top="1134" w:right="1134" w:bottom="1134" w:left="1418" w:header="720" w:footer="720" w:gutter="0"/>
          <w:cols w:space="720"/>
        </w:sectPr>
      </w:pPr>
    </w:p>
    <w:p w:rsidR="0093431D" w:rsidRDefault="0093431D" w:rsidP="0093431D">
      <w:pPr>
        <w:pStyle w:val="Corpodeltesto"/>
        <w:numPr>
          <w:ilvl w:val="0"/>
          <w:numId w:val="0"/>
        </w:numPr>
        <w:spacing w:after="120"/>
        <w:rPr>
          <w:szCs w:val="24"/>
        </w:rPr>
      </w:pPr>
      <w:r w:rsidRPr="00661A5A">
        <w:rPr>
          <w:szCs w:val="24"/>
        </w:rPr>
        <w:lastRenderedPageBreak/>
        <w:t xml:space="preserve">Una prima valutazione del lavoro in essere, in particolare la lettura della </w:t>
      </w:r>
      <w:r w:rsidRPr="00556E9C">
        <w:rPr>
          <w:szCs w:val="24"/>
          <w:highlight w:val="lightGray"/>
        </w:rPr>
        <w:t>carta XX</w:t>
      </w:r>
      <w:r w:rsidRPr="00661A5A">
        <w:rPr>
          <w:szCs w:val="24"/>
        </w:rPr>
        <w:t xml:space="preserve"> delle ZVN integrata dai dati sul pericolo di contaminazione connessi alle colture praticate, consente di prevedere che, una volta quantificate le pressioni agricole effettive, le aree ZVN delle Marche potrebbero subire delle variazioni rispetto a quelle a oggi individuate, e che tale processo continuerà nel tempo</w:t>
      </w:r>
      <w:r>
        <w:rPr>
          <w:szCs w:val="24"/>
        </w:rPr>
        <w:t>.</w:t>
      </w:r>
    </w:p>
    <w:p w:rsidR="0093431D" w:rsidRPr="00661A5A" w:rsidRDefault="0093431D" w:rsidP="0093431D">
      <w:pPr>
        <w:pStyle w:val="Corpodeltesto"/>
        <w:numPr>
          <w:ilvl w:val="0"/>
          <w:numId w:val="0"/>
        </w:numPr>
        <w:spacing w:after="120"/>
        <w:rPr>
          <w:szCs w:val="24"/>
        </w:rPr>
      </w:pPr>
      <w:r>
        <w:rPr>
          <w:szCs w:val="24"/>
        </w:rPr>
        <w:t>L</w:t>
      </w:r>
      <w:r w:rsidRPr="00661A5A">
        <w:rPr>
          <w:szCs w:val="24"/>
        </w:rPr>
        <w:t>e tecniche agronomiche adottate nella regione infatti sono spesso di tipo estensivo con ridotto consumo di concimi chimici azotati anche laddove sarebbero possibili altre pratiche agricole, la superficie irrigua nelle Marche è molto bassa, circa il 5% (dato nazionale 19 %), così come il carico zootecnico pari a circa 0,3 UBA/ha</w:t>
      </w:r>
      <w:r w:rsidRPr="00556E9C">
        <w:rPr>
          <w:szCs w:val="24"/>
          <w:vertAlign w:val="superscript"/>
        </w:rPr>
        <w:footnoteReference w:id="2"/>
      </w:r>
      <w:r w:rsidRPr="00661A5A">
        <w:rPr>
          <w:szCs w:val="24"/>
        </w:rPr>
        <w:t xml:space="preserve">. </w:t>
      </w:r>
    </w:p>
    <w:p w:rsidR="0093431D" w:rsidRDefault="0093431D" w:rsidP="0093431D">
      <w:pPr>
        <w:pStyle w:val="Corpodeltesto"/>
        <w:numPr>
          <w:ilvl w:val="0"/>
          <w:numId w:val="0"/>
        </w:numPr>
        <w:spacing w:after="120"/>
        <w:rPr>
          <w:szCs w:val="24"/>
        </w:rPr>
      </w:pPr>
      <w:r w:rsidRPr="00661A5A">
        <w:rPr>
          <w:szCs w:val="24"/>
        </w:rPr>
        <w:t>Negli ultimi anni vi è una tendenziale riduzione nell’uso di fertilizzanti chimici (comprendenti quelli azotati) legato all’aumento del prezzo e riduzione delle superfici coltivate a favore di coltur</w:t>
      </w:r>
      <w:r>
        <w:rPr>
          <w:szCs w:val="24"/>
        </w:rPr>
        <w:t>e a minore esigenza energetica.</w:t>
      </w:r>
    </w:p>
    <w:p w:rsidR="0093431D" w:rsidRPr="00661A5A" w:rsidRDefault="0093431D" w:rsidP="0093431D">
      <w:pPr>
        <w:pStyle w:val="Corpodeltesto"/>
        <w:numPr>
          <w:ilvl w:val="0"/>
          <w:numId w:val="0"/>
        </w:numPr>
        <w:spacing w:after="120"/>
        <w:rPr>
          <w:szCs w:val="24"/>
        </w:rPr>
      </w:pPr>
      <w:r w:rsidRPr="00661A5A">
        <w:rPr>
          <w:szCs w:val="24"/>
        </w:rPr>
        <w:t xml:space="preserve">Tali caratteristiche sono destinate ad accentuarsi con l’introduzione della nuova PAC </w:t>
      </w:r>
      <w:r>
        <w:rPr>
          <w:szCs w:val="24"/>
        </w:rPr>
        <w:t>che comporta da un lato la riduzione dei prezzi di mercato di molti produzioni seminative, dall’altro l’introduzione del regime di condizionalità</w:t>
      </w:r>
      <w:r w:rsidRPr="00661A5A">
        <w:rPr>
          <w:szCs w:val="24"/>
        </w:rPr>
        <w:t xml:space="preserve"> che comprende</w:t>
      </w:r>
      <w:r>
        <w:rPr>
          <w:szCs w:val="24"/>
        </w:rPr>
        <w:t xml:space="preserve"> anche</w:t>
      </w:r>
      <w:r w:rsidRPr="00661A5A">
        <w:rPr>
          <w:szCs w:val="24"/>
        </w:rPr>
        <w:t xml:space="preserve"> l’attuazione della direttiva nitrati.</w:t>
      </w:r>
    </w:p>
    <w:p w:rsidR="0093431D" w:rsidRDefault="0093431D" w:rsidP="0093431D">
      <w:pPr>
        <w:pStyle w:val="Corpodeltesto"/>
        <w:numPr>
          <w:ilvl w:val="0"/>
          <w:numId w:val="0"/>
        </w:numPr>
        <w:spacing w:after="120"/>
        <w:rPr>
          <w:szCs w:val="24"/>
        </w:rPr>
      </w:pPr>
      <w:r w:rsidRPr="00661A5A">
        <w:rPr>
          <w:szCs w:val="24"/>
        </w:rPr>
        <w:t>Per quanto concerne gli allevamenti occorre considerare, oltre alla scarsa consistenza complessiva del settore zootecnico a livello regionale, anche la sua localizzazione prevalente nelle aree interne dove non si evidenziano, in generale, problemi in relazio</w:t>
      </w:r>
      <w:r>
        <w:rPr>
          <w:szCs w:val="24"/>
        </w:rPr>
        <w:t>ne all’inquinamento da nitrati.</w:t>
      </w:r>
    </w:p>
    <w:p w:rsidR="0093431D" w:rsidRPr="00661A5A" w:rsidRDefault="0093431D" w:rsidP="0093431D">
      <w:pPr>
        <w:pStyle w:val="Corpodeltesto"/>
        <w:numPr>
          <w:ilvl w:val="0"/>
          <w:numId w:val="0"/>
        </w:numPr>
        <w:spacing w:after="120"/>
        <w:rPr>
          <w:szCs w:val="24"/>
        </w:rPr>
      </w:pPr>
      <w:r w:rsidRPr="00661A5A">
        <w:rPr>
          <w:szCs w:val="24"/>
        </w:rPr>
        <w:t>Altro elemento da considerare infine è l’effetto della riforma della PAC sulle scelte colturali degli agricoltori marchigiani: le prime stime disponibili indicano un forte calo dei seminativi, in particolare del grano duro, a favore delle colture foraggiere e dei prati-pascoli</w:t>
      </w:r>
      <w:r w:rsidRPr="00556E9C">
        <w:rPr>
          <w:szCs w:val="24"/>
          <w:vertAlign w:val="superscript"/>
        </w:rPr>
        <w:footnoteReference w:id="3"/>
      </w:r>
      <w:r w:rsidRPr="00556E9C">
        <w:rPr>
          <w:szCs w:val="24"/>
        </w:rPr>
        <w:t xml:space="preserve"> </w:t>
      </w:r>
      <w:r w:rsidRPr="00661A5A">
        <w:rPr>
          <w:szCs w:val="24"/>
        </w:rPr>
        <w:t>con evidenti ricadute positive sul problema nitrati.</w:t>
      </w:r>
    </w:p>
    <w:p w:rsidR="0093431D" w:rsidRDefault="0093431D" w:rsidP="0093431D">
      <w:pPr>
        <w:pStyle w:val="Corpodeltesto"/>
        <w:numPr>
          <w:ilvl w:val="0"/>
          <w:numId w:val="0"/>
        </w:numPr>
        <w:spacing w:after="120"/>
        <w:rPr>
          <w:szCs w:val="24"/>
        </w:rPr>
      </w:pPr>
      <w:r w:rsidRPr="00661A5A">
        <w:rPr>
          <w:szCs w:val="24"/>
        </w:rPr>
        <w:t xml:space="preserve">Le </w:t>
      </w:r>
      <w:r w:rsidRPr="00556E9C">
        <w:rPr>
          <w:szCs w:val="24"/>
        </w:rPr>
        <w:t xml:space="preserve">azioni di </w:t>
      </w:r>
      <w:r w:rsidRPr="00556E9C">
        <w:rPr>
          <w:b/>
          <w:szCs w:val="24"/>
        </w:rPr>
        <w:t>monitoraggio</w:t>
      </w:r>
      <w:r w:rsidRPr="00661A5A">
        <w:rPr>
          <w:szCs w:val="24"/>
        </w:rPr>
        <w:t xml:space="preserve"> realizzate negli ultimi anni hanno interessato le acque superficiali e quelle sotterranee.</w:t>
      </w:r>
    </w:p>
    <w:p w:rsidR="0093431D" w:rsidRPr="00661A5A" w:rsidRDefault="0093431D" w:rsidP="0093431D">
      <w:pPr>
        <w:pStyle w:val="Corpodeltesto"/>
        <w:numPr>
          <w:ilvl w:val="0"/>
          <w:numId w:val="0"/>
        </w:numPr>
        <w:spacing w:after="120"/>
        <w:rPr>
          <w:szCs w:val="24"/>
        </w:rPr>
      </w:pPr>
      <w:r w:rsidRPr="00661A5A">
        <w:rPr>
          <w:szCs w:val="24"/>
        </w:rPr>
        <w:t>Dall’analisi dei dati relativi al campionamento delle acque superficiali negli anni 2003, 2004, 2005 e nei primi nove mesi dell’anno 2006 emerge un sostanziale mantenimento delle caratteristiche qualitative delle acque per il parametro nitrati nel periodo considerato; valutazione effettuata in funzione del calcolo del valore medio, del 90° percentile e del valore massimo dei dodici campionamenti annuali.</w:t>
      </w:r>
    </w:p>
    <w:p w:rsidR="0093431D" w:rsidRPr="00661A5A" w:rsidRDefault="0093431D" w:rsidP="0093431D">
      <w:pPr>
        <w:pStyle w:val="Corpodeltesto"/>
        <w:numPr>
          <w:ilvl w:val="0"/>
          <w:numId w:val="0"/>
        </w:numPr>
        <w:spacing w:after="120"/>
        <w:rPr>
          <w:szCs w:val="24"/>
        </w:rPr>
      </w:pPr>
      <w:r w:rsidRPr="00661A5A">
        <w:rPr>
          <w:szCs w:val="24"/>
        </w:rPr>
        <w:t>In tutti i corsi d’acqua il valore medio dei nitrati, nel periodo considerato, si mantiene al di sotto di 40 mg/l.</w:t>
      </w:r>
    </w:p>
    <w:p w:rsidR="0093431D" w:rsidRPr="00661A5A" w:rsidRDefault="0093431D" w:rsidP="0093431D">
      <w:pPr>
        <w:pStyle w:val="Corpodeltesto"/>
        <w:numPr>
          <w:ilvl w:val="0"/>
          <w:numId w:val="0"/>
        </w:numPr>
        <w:spacing w:after="120"/>
        <w:rPr>
          <w:szCs w:val="24"/>
        </w:rPr>
      </w:pPr>
      <w:r>
        <w:rPr>
          <w:szCs w:val="24"/>
        </w:rPr>
        <w:t>Sono riportati i</w:t>
      </w:r>
      <w:r w:rsidRPr="00661A5A">
        <w:rPr>
          <w:szCs w:val="24"/>
        </w:rPr>
        <w:t xml:space="preserve"> corsi d’acqua in cui </w:t>
      </w:r>
      <w:r>
        <w:rPr>
          <w:szCs w:val="24"/>
        </w:rPr>
        <w:t xml:space="preserve">si </w:t>
      </w:r>
      <w:r w:rsidRPr="00661A5A">
        <w:rPr>
          <w:szCs w:val="24"/>
        </w:rPr>
        <w:t xml:space="preserve">è registrato un aumento del valore medio e del 90° percentile negli ultimi due anni e un mantenimento dei valori al di sopra di 25 mg/l nel periodo 2003 - 2006. </w:t>
      </w:r>
    </w:p>
    <w:p w:rsidR="0093431D" w:rsidRPr="00661A5A" w:rsidRDefault="0093431D" w:rsidP="0093431D">
      <w:pPr>
        <w:pStyle w:val="Corpodeltesto"/>
        <w:numPr>
          <w:ilvl w:val="0"/>
          <w:numId w:val="0"/>
        </w:numPr>
        <w:spacing w:after="120"/>
        <w:rPr>
          <w:szCs w:val="24"/>
        </w:rPr>
      </w:pPr>
      <w:r w:rsidRPr="00661A5A">
        <w:rPr>
          <w:szCs w:val="24"/>
        </w:rPr>
        <w:t>Valori superiori ai 25 mg/l del 90° percentile e dei valori massimi si riscontrano alle foci del Metauro, del Potenza e  dell’Aso, nel tratto montano del Cesano, e nell’ultimo anno alle foci del Foglia e del Tenna.</w:t>
      </w:r>
    </w:p>
    <w:p w:rsidR="0093431D" w:rsidRPr="00556E9C" w:rsidRDefault="0093431D" w:rsidP="0093431D">
      <w:pPr>
        <w:pStyle w:val="Corpodeltesto"/>
        <w:numPr>
          <w:ilvl w:val="0"/>
          <w:numId w:val="0"/>
        </w:numPr>
        <w:spacing w:after="120"/>
        <w:rPr>
          <w:szCs w:val="24"/>
        </w:rPr>
      </w:pPr>
      <w:r w:rsidRPr="00661A5A">
        <w:rPr>
          <w:szCs w:val="24"/>
        </w:rPr>
        <w:t>Il mantenimento di valori superiori ai 25 mg/l del 90</w:t>
      </w:r>
      <w:r>
        <w:rPr>
          <w:szCs w:val="24"/>
        </w:rPr>
        <w:t>°</w:t>
      </w:r>
      <w:r w:rsidRPr="00661A5A">
        <w:rPr>
          <w:szCs w:val="24"/>
        </w:rPr>
        <w:t xml:space="preserve"> percentile e dei valori massimi si riscontrano sul </w:t>
      </w:r>
      <w:r w:rsidRPr="00556E9C">
        <w:rPr>
          <w:szCs w:val="24"/>
        </w:rPr>
        <w:t>Misa e il suo affluente Nevola, nella parte terminale del Cesano, del Musone e del suo affluente Aspio, sul Fiastra, affluente del Chienti, e sui corpi idrici minori (rilevanti) Tavollo</w:t>
      </w:r>
      <w:r>
        <w:rPr>
          <w:szCs w:val="24"/>
        </w:rPr>
        <w:t xml:space="preserve"> , Arzilla, Ete Vivo e Tesino. </w:t>
      </w:r>
    </w:p>
    <w:p w:rsidR="0093431D" w:rsidRPr="00556E9C" w:rsidRDefault="0093431D" w:rsidP="0093431D">
      <w:pPr>
        <w:pStyle w:val="Corpodeltesto"/>
        <w:numPr>
          <w:ilvl w:val="0"/>
          <w:numId w:val="0"/>
        </w:numPr>
        <w:spacing w:after="120"/>
        <w:rPr>
          <w:szCs w:val="24"/>
        </w:rPr>
      </w:pPr>
      <w:r w:rsidRPr="00556E9C">
        <w:rPr>
          <w:szCs w:val="24"/>
        </w:rPr>
        <w:t xml:space="preserve">Nella seguente tabella sono riportate le stazioni di monitoraggio delle acque superficiali che mostrano un superamento della soglia di 25 mg/l nel periodo 2003-06 dei valori medi, o </w:t>
      </w:r>
      <w:r w:rsidRPr="00661A5A">
        <w:rPr>
          <w:szCs w:val="24"/>
        </w:rPr>
        <w:t>del 90</w:t>
      </w:r>
      <w:r>
        <w:rPr>
          <w:szCs w:val="24"/>
        </w:rPr>
        <w:t>°</w:t>
      </w:r>
      <w:r w:rsidRPr="00661A5A">
        <w:rPr>
          <w:szCs w:val="24"/>
        </w:rPr>
        <w:t xml:space="preserve"> </w:t>
      </w:r>
      <w:r w:rsidRPr="00661A5A">
        <w:rPr>
          <w:szCs w:val="24"/>
        </w:rPr>
        <w:lastRenderedPageBreak/>
        <w:t xml:space="preserve">percentile </w:t>
      </w:r>
      <w:r>
        <w:rPr>
          <w:szCs w:val="24"/>
        </w:rPr>
        <w:t>o</w:t>
      </w:r>
      <w:r w:rsidRPr="00661A5A">
        <w:rPr>
          <w:szCs w:val="24"/>
        </w:rPr>
        <w:t xml:space="preserve"> dei valori massimi</w:t>
      </w:r>
      <w:r w:rsidRPr="00556E9C">
        <w:rPr>
          <w:szCs w:val="24"/>
        </w:rPr>
        <w:t xml:space="preserve">; per le stazioni comprese o prossime alle zone vulnerabili da nitrati di origine agricola, individuate nell’anno 2003, e nelle aree protette (SIC – ZPS) sono riportate le sigle ZVN e AP. </w:t>
      </w:r>
    </w:p>
    <w:p w:rsidR="0093431D" w:rsidRPr="00556E9C" w:rsidRDefault="0093431D" w:rsidP="0093431D">
      <w:pPr>
        <w:pStyle w:val="Corpodeltesto"/>
        <w:numPr>
          <w:ilvl w:val="0"/>
          <w:numId w:val="0"/>
        </w:numPr>
        <w:spacing w:before="360" w:after="120"/>
        <w:rPr>
          <w:b/>
          <w:highlight w:val="lightGray"/>
        </w:rPr>
      </w:pPr>
      <w:r w:rsidRPr="00556E9C">
        <w:rPr>
          <w:b/>
          <w:highlight w:val="lightGray"/>
        </w:rPr>
        <w:t>Tabella XXX: stazioni di campionamento con superamento della soglia di 25 mg/L.</w:t>
      </w:r>
    </w:p>
    <w:p w:rsidR="0093431D" w:rsidRDefault="0093431D" w:rsidP="0093431D">
      <w:pPr>
        <w:jc w:val="both"/>
      </w:pPr>
    </w:p>
    <w:tbl>
      <w:tblPr>
        <w:tblW w:w="4945" w:type="pct"/>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716"/>
        <w:gridCol w:w="2050"/>
        <w:gridCol w:w="2035"/>
        <w:gridCol w:w="2056"/>
        <w:gridCol w:w="1068"/>
        <w:gridCol w:w="821"/>
      </w:tblGrid>
      <w:tr w:rsidR="0093431D" w:rsidRPr="00EE55F3" w:rsidTr="00BA1F65">
        <w:trPr>
          <w:trHeight w:val="477"/>
          <w:jc w:val="center"/>
        </w:trPr>
        <w:tc>
          <w:tcPr>
            <w:tcW w:w="880" w:type="pct"/>
            <w:vAlign w:val="center"/>
          </w:tcPr>
          <w:p w:rsidR="0093431D" w:rsidRPr="00EE55F3" w:rsidRDefault="0093431D" w:rsidP="00BA1F65">
            <w:pPr>
              <w:jc w:val="center"/>
              <w:rPr>
                <w:b/>
                <w:sz w:val="20"/>
              </w:rPr>
            </w:pPr>
            <w:r w:rsidRPr="00EE55F3">
              <w:rPr>
                <w:b/>
                <w:sz w:val="20"/>
              </w:rPr>
              <w:t>Bacino idrografico</w:t>
            </w:r>
          </w:p>
        </w:tc>
        <w:tc>
          <w:tcPr>
            <w:tcW w:w="1052" w:type="pct"/>
            <w:vAlign w:val="center"/>
          </w:tcPr>
          <w:p w:rsidR="0093431D" w:rsidRPr="00EE55F3" w:rsidRDefault="0093431D" w:rsidP="00BA1F65">
            <w:pPr>
              <w:jc w:val="center"/>
              <w:rPr>
                <w:b/>
                <w:sz w:val="20"/>
              </w:rPr>
            </w:pPr>
            <w:r w:rsidRPr="00EE55F3">
              <w:rPr>
                <w:b/>
                <w:sz w:val="20"/>
              </w:rPr>
              <w:t>Media</w:t>
            </w:r>
          </w:p>
        </w:tc>
        <w:tc>
          <w:tcPr>
            <w:tcW w:w="1044" w:type="pct"/>
            <w:vAlign w:val="center"/>
          </w:tcPr>
          <w:p w:rsidR="0093431D" w:rsidRPr="00EE55F3" w:rsidRDefault="0093431D" w:rsidP="00BA1F65">
            <w:pPr>
              <w:jc w:val="center"/>
              <w:rPr>
                <w:b/>
                <w:sz w:val="20"/>
              </w:rPr>
            </w:pPr>
            <w:r w:rsidRPr="00EE55F3">
              <w:rPr>
                <w:b/>
                <w:sz w:val="20"/>
              </w:rPr>
              <w:t>90° Percentile</w:t>
            </w:r>
          </w:p>
        </w:tc>
        <w:tc>
          <w:tcPr>
            <w:tcW w:w="1055" w:type="pct"/>
            <w:vAlign w:val="center"/>
          </w:tcPr>
          <w:p w:rsidR="0093431D" w:rsidRPr="00EE55F3" w:rsidRDefault="0093431D" w:rsidP="00BA1F65">
            <w:pPr>
              <w:ind w:left="73"/>
              <w:jc w:val="center"/>
              <w:rPr>
                <w:b/>
                <w:sz w:val="20"/>
              </w:rPr>
            </w:pPr>
            <w:r w:rsidRPr="00EE55F3">
              <w:rPr>
                <w:b/>
                <w:sz w:val="20"/>
              </w:rPr>
              <w:t>Valore massimo</w:t>
            </w:r>
          </w:p>
        </w:tc>
        <w:tc>
          <w:tcPr>
            <w:tcW w:w="548" w:type="pct"/>
            <w:vAlign w:val="center"/>
          </w:tcPr>
          <w:p w:rsidR="0093431D" w:rsidRPr="00EE55F3" w:rsidRDefault="0093431D" w:rsidP="00BA1F65">
            <w:pPr>
              <w:jc w:val="center"/>
              <w:rPr>
                <w:b/>
                <w:sz w:val="20"/>
              </w:rPr>
            </w:pPr>
            <w:r w:rsidRPr="00EE55F3">
              <w:rPr>
                <w:b/>
                <w:sz w:val="20"/>
              </w:rPr>
              <w:t>Area Protetta</w:t>
            </w:r>
          </w:p>
        </w:tc>
        <w:tc>
          <w:tcPr>
            <w:tcW w:w="421" w:type="pct"/>
            <w:vAlign w:val="center"/>
          </w:tcPr>
          <w:p w:rsidR="0093431D" w:rsidRPr="00EE55F3" w:rsidRDefault="0093431D" w:rsidP="00BA1F65">
            <w:pPr>
              <w:jc w:val="center"/>
              <w:rPr>
                <w:b/>
                <w:sz w:val="20"/>
              </w:rPr>
            </w:pPr>
            <w:r w:rsidRPr="00EE55F3">
              <w:rPr>
                <w:b/>
                <w:sz w:val="20"/>
              </w:rPr>
              <w:t>Area</w:t>
            </w:r>
          </w:p>
          <w:p w:rsidR="0093431D" w:rsidRPr="00EE55F3" w:rsidRDefault="0093431D" w:rsidP="00BA1F65">
            <w:pPr>
              <w:jc w:val="center"/>
              <w:rPr>
                <w:b/>
                <w:sz w:val="20"/>
              </w:rPr>
            </w:pPr>
          </w:p>
          <w:p w:rsidR="0093431D" w:rsidRPr="00EE55F3" w:rsidRDefault="0093431D" w:rsidP="00BA1F65">
            <w:pPr>
              <w:jc w:val="center"/>
              <w:rPr>
                <w:b/>
                <w:sz w:val="20"/>
              </w:rPr>
            </w:pPr>
            <w:r w:rsidRPr="00EE55F3">
              <w:rPr>
                <w:b/>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Tavollo</w:t>
            </w:r>
          </w:p>
        </w:tc>
        <w:tc>
          <w:tcPr>
            <w:tcW w:w="1052" w:type="pct"/>
            <w:vAlign w:val="center"/>
          </w:tcPr>
          <w:p w:rsidR="0093431D" w:rsidRPr="00EE55F3" w:rsidRDefault="0093431D" w:rsidP="00BA1F65">
            <w:pPr>
              <w:jc w:val="right"/>
              <w:rPr>
                <w:sz w:val="20"/>
              </w:rPr>
            </w:pPr>
            <w:r w:rsidRPr="00EE55F3">
              <w:rPr>
                <w:sz w:val="20"/>
              </w:rPr>
              <w:t>1/TA 2003_04_05_06</w:t>
            </w:r>
          </w:p>
        </w:tc>
        <w:tc>
          <w:tcPr>
            <w:tcW w:w="1044" w:type="pct"/>
            <w:vAlign w:val="center"/>
          </w:tcPr>
          <w:p w:rsidR="0093431D" w:rsidRPr="00EE55F3" w:rsidRDefault="0093431D" w:rsidP="00BA1F65">
            <w:pPr>
              <w:jc w:val="right"/>
              <w:rPr>
                <w:sz w:val="20"/>
              </w:rPr>
            </w:pPr>
            <w:r w:rsidRPr="00EE55F3">
              <w:rPr>
                <w:sz w:val="20"/>
              </w:rPr>
              <w:t>1/TA 2003_04_05_06</w:t>
            </w:r>
          </w:p>
        </w:tc>
        <w:tc>
          <w:tcPr>
            <w:tcW w:w="1055" w:type="pct"/>
            <w:vAlign w:val="center"/>
          </w:tcPr>
          <w:p w:rsidR="0093431D" w:rsidRPr="00EE55F3" w:rsidRDefault="0093431D" w:rsidP="00BA1F65">
            <w:pPr>
              <w:jc w:val="right"/>
              <w:rPr>
                <w:sz w:val="20"/>
              </w:rPr>
            </w:pPr>
            <w:r w:rsidRPr="00EE55F3">
              <w:rPr>
                <w:sz w:val="20"/>
              </w:rPr>
              <w:t>1/TA 2003_04_05_06</w:t>
            </w:r>
          </w:p>
        </w:tc>
        <w:tc>
          <w:tcPr>
            <w:tcW w:w="548" w:type="pct"/>
            <w:vAlign w:val="center"/>
          </w:tcPr>
          <w:p w:rsidR="0093431D" w:rsidRPr="00EE55F3" w:rsidRDefault="0093431D" w:rsidP="00BA1F65">
            <w:pPr>
              <w:jc w:val="center"/>
              <w:rPr>
                <w:sz w:val="20"/>
              </w:rPr>
            </w:pPr>
            <w:r w:rsidRPr="00EE55F3">
              <w:rPr>
                <w:sz w:val="20"/>
              </w:rPr>
              <w:t>AP</w:t>
            </w: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52"/>
          <w:jc w:val="center"/>
        </w:trPr>
        <w:tc>
          <w:tcPr>
            <w:tcW w:w="880" w:type="pct"/>
            <w:vAlign w:val="center"/>
          </w:tcPr>
          <w:p w:rsidR="0093431D" w:rsidRPr="00EE55F3" w:rsidRDefault="0093431D" w:rsidP="00BA1F65">
            <w:pPr>
              <w:rPr>
                <w:b/>
                <w:sz w:val="20"/>
              </w:rPr>
            </w:pPr>
            <w:r w:rsidRPr="00EE55F3">
              <w:rPr>
                <w:b/>
                <w:sz w:val="20"/>
              </w:rPr>
              <w:t>Foglia</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11/FO 2006</w:t>
            </w:r>
          </w:p>
        </w:tc>
        <w:tc>
          <w:tcPr>
            <w:tcW w:w="1055" w:type="pct"/>
            <w:vAlign w:val="center"/>
          </w:tcPr>
          <w:p w:rsidR="0093431D" w:rsidRPr="00EE55F3" w:rsidRDefault="0093431D" w:rsidP="00BA1F65">
            <w:pPr>
              <w:jc w:val="right"/>
              <w:rPr>
                <w:sz w:val="20"/>
              </w:rPr>
            </w:pPr>
            <w:r w:rsidRPr="00EE55F3">
              <w:rPr>
                <w:sz w:val="20"/>
              </w:rPr>
              <w:t>11/FO 2006</w:t>
            </w:r>
          </w:p>
        </w:tc>
        <w:tc>
          <w:tcPr>
            <w:tcW w:w="548" w:type="pct"/>
            <w:vAlign w:val="center"/>
          </w:tcPr>
          <w:p w:rsidR="0093431D" w:rsidRPr="00EE55F3" w:rsidRDefault="0093431D" w:rsidP="00BA1F65">
            <w:pPr>
              <w:jc w:val="center"/>
              <w:rPr>
                <w:sz w:val="20"/>
              </w:rPr>
            </w:pPr>
            <w:r w:rsidRPr="00EE55F3">
              <w:rPr>
                <w:sz w:val="20"/>
              </w:rPr>
              <w:t>AP</w:t>
            </w: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Arzilla</w:t>
            </w:r>
          </w:p>
        </w:tc>
        <w:tc>
          <w:tcPr>
            <w:tcW w:w="1052" w:type="pct"/>
            <w:vAlign w:val="center"/>
          </w:tcPr>
          <w:p w:rsidR="0093431D" w:rsidRPr="00EE55F3" w:rsidRDefault="0093431D" w:rsidP="00BA1F65">
            <w:pPr>
              <w:jc w:val="right"/>
              <w:rPr>
                <w:sz w:val="20"/>
              </w:rPr>
            </w:pPr>
            <w:r w:rsidRPr="00EE55F3">
              <w:rPr>
                <w:sz w:val="20"/>
              </w:rPr>
              <w:t>1/AR 2005_06</w:t>
            </w:r>
          </w:p>
        </w:tc>
        <w:tc>
          <w:tcPr>
            <w:tcW w:w="1044" w:type="pct"/>
            <w:vAlign w:val="center"/>
          </w:tcPr>
          <w:p w:rsidR="0093431D" w:rsidRPr="00EE55F3" w:rsidRDefault="0093431D" w:rsidP="00BA1F65">
            <w:pPr>
              <w:jc w:val="right"/>
              <w:rPr>
                <w:sz w:val="20"/>
              </w:rPr>
            </w:pPr>
            <w:r w:rsidRPr="00EE55F3">
              <w:rPr>
                <w:sz w:val="20"/>
              </w:rPr>
              <w:t>1/AR 2003_04_05_06</w:t>
            </w:r>
          </w:p>
        </w:tc>
        <w:tc>
          <w:tcPr>
            <w:tcW w:w="1055" w:type="pct"/>
            <w:vAlign w:val="center"/>
          </w:tcPr>
          <w:p w:rsidR="0093431D" w:rsidRPr="00EE55F3" w:rsidRDefault="0093431D" w:rsidP="00BA1F65">
            <w:pPr>
              <w:jc w:val="right"/>
              <w:rPr>
                <w:sz w:val="20"/>
              </w:rPr>
            </w:pPr>
            <w:r w:rsidRPr="00EE55F3">
              <w:rPr>
                <w:sz w:val="20"/>
              </w:rPr>
              <w:t>1/AR 2003_04_05_06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Metauro</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20/ME 2005</w:t>
            </w:r>
          </w:p>
        </w:tc>
        <w:tc>
          <w:tcPr>
            <w:tcW w:w="548" w:type="pct"/>
            <w:vAlign w:val="center"/>
          </w:tcPr>
          <w:p w:rsidR="0093431D" w:rsidRPr="00EE55F3" w:rsidRDefault="0093431D" w:rsidP="00BA1F65">
            <w:pPr>
              <w:jc w:val="center"/>
              <w:rPr>
                <w:sz w:val="20"/>
              </w:rPr>
            </w:pPr>
            <w:r w:rsidRPr="00EE55F3">
              <w:rPr>
                <w:sz w:val="20"/>
              </w:rPr>
              <w:t>AP</w:t>
            </w: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r w:rsidRPr="00EE55F3">
              <w:rPr>
                <w:sz w:val="20"/>
              </w:rPr>
              <w:t>21/ME 2005</w:t>
            </w:r>
          </w:p>
        </w:tc>
        <w:tc>
          <w:tcPr>
            <w:tcW w:w="1044" w:type="pct"/>
            <w:vAlign w:val="center"/>
          </w:tcPr>
          <w:p w:rsidR="0093431D" w:rsidRPr="00EE55F3" w:rsidRDefault="0093431D" w:rsidP="00BA1F65">
            <w:pPr>
              <w:jc w:val="right"/>
              <w:rPr>
                <w:sz w:val="20"/>
              </w:rPr>
            </w:pPr>
            <w:r w:rsidRPr="00EE55F3">
              <w:rPr>
                <w:sz w:val="20"/>
              </w:rPr>
              <w:t>21/ME 2003_05</w:t>
            </w:r>
          </w:p>
        </w:tc>
        <w:tc>
          <w:tcPr>
            <w:tcW w:w="1055" w:type="pct"/>
            <w:vAlign w:val="center"/>
          </w:tcPr>
          <w:p w:rsidR="0093431D" w:rsidRPr="00EE55F3" w:rsidRDefault="0093431D" w:rsidP="00BA1F65">
            <w:pPr>
              <w:jc w:val="right"/>
              <w:rPr>
                <w:sz w:val="20"/>
              </w:rPr>
            </w:pPr>
            <w:r w:rsidRPr="00EE55F3">
              <w:rPr>
                <w:sz w:val="20"/>
              </w:rPr>
              <w:t>21/ME 2003_05</w:t>
            </w:r>
          </w:p>
        </w:tc>
        <w:tc>
          <w:tcPr>
            <w:tcW w:w="548" w:type="pct"/>
            <w:vAlign w:val="center"/>
          </w:tcPr>
          <w:p w:rsidR="0093431D" w:rsidRPr="00EE55F3" w:rsidRDefault="0093431D" w:rsidP="00BA1F65">
            <w:pPr>
              <w:jc w:val="center"/>
              <w:rPr>
                <w:sz w:val="20"/>
              </w:rPr>
            </w:pPr>
            <w:r w:rsidRPr="00EE55F3">
              <w:rPr>
                <w:sz w:val="20"/>
              </w:rPr>
              <w:t>AP</w:t>
            </w:r>
          </w:p>
        </w:tc>
        <w:tc>
          <w:tcPr>
            <w:tcW w:w="421" w:type="pct"/>
            <w:vAlign w:val="center"/>
          </w:tcPr>
          <w:p w:rsidR="0093431D" w:rsidRPr="00EE55F3" w:rsidRDefault="0093431D" w:rsidP="00BA1F65">
            <w:pPr>
              <w:jc w:val="center"/>
              <w:rPr>
                <w:sz w:val="20"/>
              </w:rPr>
            </w:pPr>
            <w:r w:rsidRPr="00EE55F3">
              <w:rPr>
                <w:sz w:val="20"/>
              </w:rPr>
              <w:t>ZNV</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Cesano</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3/CE 2005</w:t>
            </w:r>
          </w:p>
        </w:tc>
        <w:tc>
          <w:tcPr>
            <w:tcW w:w="1055" w:type="pct"/>
            <w:vAlign w:val="center"/>
          </w:tcPr>
          <w:p w:rsidR="0093431D" w:rsidRPr="00EE55F3" w:rsidRDefault="0093431D" w:rsidP="00BA1F65">
            <w:pPr>
              <w:jc w:val="right"/>
              <w:rPr>
                <w:sz w:val="20"/>
              </w:rPr>
            </w:pPr>
            <w:r w:rsidRPr="00EE55F3">
              <w:rPr>
                <w:sz w:val="20"/>
              </w:rPr>
              <w:t>3/CE 2005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r w:rsidRPr="00EE55F3">
              <w:rPr>
                <w:sz w:val="20"/>
              </w:rPr>
              <w:t>5/CE 2003_04_05_06</w:t>
            </w:r>
          </w:p>
        </w:tc>
        <w:tc>
          <w:tcPr>
            <w:tcW w:w="1044" w:type="pct"/>
            <w:vAlign w:val="center"/>
          </w:tcPr>
          <w:p w:rsidR="0093431D" w:rsidRPr="00EE55F3" w:rsidRDefault="0093431D" w:rsidP="00BA1F65">
            <w:pPr>
              <w:jc w:val="right"/>
              <w:rPr>
                <w:sz w:val="20"/>
              </w:rPr>
            </w:pPr>
            <w:r w:rsidRPr="00EE55F3">
              <w:rPr>
                <w:sz w:val="20"/>
              </w:rPr>
              <w:t xml:space="preserve">5/CE 2003_04_05_06 </w:t>
            </w:r>
          </w:p>
        </w:tc>
        <w:tc>
          <w:tcPr>
            <w:tcW w:w="1055" w:type="pct"/>
            <w:vAlign w:val="center"/>
          </w:tcPr>
          <w:p w:rsidR="0093431D" w:rsidRPr="00EE55F3" w:rsidRDefault="0093431D" w:rsidP="00BA1F65">
            <w:pPr>
              <w:jc w:val="right"/>
              <w:rPr>
                <w:sz w:val="20"/>
              </w:rPr>
            </w:pPr>
            <w:r w:rsidRPr="00EE55F3">
              <w:rPr>
                <w:sz w:val="20"/>
              </w:rPr>
              <w:t>5/CE 2003_04_05_06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52"/>
          <w:jc w:val="center"/>
        </w:trPr>
        <w:tc>
          <w:tcPr>
            <w:tcW w:w="880" w:type="pct"/>
            <w:vAlign w:val="center"/>
          </w:tcPr>
          <w:p w:rsidR="0093431D" w:rsidRPr="00EE55F3" w:rsidRDefault="0093431D" w:rsidP="00BA1F65">
            <w:pPr>
              <w:rPr>
                <w:b/>
                <w:sz w:val="20"/>
              </w:rPr>
            </w:pPr>
            <w:r w:rsidRPr="00EE55F3">
              <w:rPr>
                <w:b/>
                <w:sz w:val="20"/>
              </w:rPr>
              <w:t>Misa</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4/MI 2004_05</w:t>
            </w:r>
          </w:p>
        </w:tc>
        <w:tc>
          <w:tcPr>
            <w:tcW w:w="1055" w:type="pct"/>
            <w:vAlign w:val="center"/>
          </w:tcPr>
          <w:p w:rsidR="0093431D" w:rsidRPr="00EE55F3" w:rsidRDefault="0093431D" w:rsidP="00BA1F65">
            <w:pPr>
              <w:jc w:val="right"/>
              <w:rPr>
                <w:sz w:val="20"/>
              </w:rPr>
            </w:pPr>
            <w:r w:rsidRPr="00EE55F3">
              <w:rPr>
                <w:sz w:val="20"/>
              </w:rPr>
              <w:t>4/MI 2003_04_05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7/MI 2004_05</w:t>
            </w:r>
          </w:p>
        </w:tc>
        <w:tc>
          <w:tcPr>
            <w:tcW w:w="1055" w:type="pct"/>
            <w:vAlign w:val="center"/>
          </w:tcPr>
          <w:p w:rsidR="0093431D" w:rsidRPr="00EE55F3" w:rsidRDefault="0093431D" w:rsidP="00BA1F65">
            <w:pPr>
              <w:jc w:val="right"/>
              <w:rPr>
                <w:sz w:val="20"/>
              </w:rPr>
            </w:pPr>
            <w:r w:rsidRPr="00EE55F3">
              <w:rPr>
                <w:sz w:val="20"/>
              </w:rPr>
              <w:t>7/MI 2003_04_05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477"/>
          <w:jc w:val="center"/>
        </w:trPr>
        <w:tc>
          <w:tcPr>
            <w:tcW w:w="880" w:type="pct"/>
            <w:vAlign w:val="center"/>
          </w:tcPr>
          <w:p w:rsidR="0093431D" w:rsidRPr="00EE55F3" w:rsidRDefault="0093431D" w:rsidP="00BA1F65">
            <w:pPr>
              <w:rPr>
                <w:b/>
                <w:sz w:val="20"/>
              </w:rPr>
            </w:pPr>
            <w:r w:rsidRPr="00EE55F3">
              <w:rPr>
                <w:b/>
                <w:sz w:val="20"/>
              </w:rPr>
              <w:t>Misa/</w:t>
            </w:r>
          </w:p>
          <w:p w:rsidR="0093431D" w:rsidRPr="00EE55F3" w:rsidRDefault="0093431D" w:rsidP="00BA1F65">
            <w:pPr>
              <w:rPr>
                <w:b/>
                <w:sz w:val="20"/>
              </w:rPr>
            </w:pPr>
            <w:r w:rsidRPr="00EE55F3">
              <w:rPr>
                <w:b/>
                <w:sz w:val="20"/>
              </w:rPr>
              <w:t>Nevola</w:t>
            </w:r>
          </w:p>
        </w:tc>
        <w:tc>
          <w:tcPr>
            <w:tcW w:w="1052" w:type="pct"/>
            <w:vAlign w:val="center"/>
          </w:tcPr>
          <w:p w:rsidR="0093431D" w:rsidRPr="00EE55F3" w:rsidRDefault="0093431D" w:rsidP="00BA1F65">
            <w:pPr>
              <w:jc w:val="right"/>
              <w:rPr>
                <w:sz w:val="20"/>
              </w:rPr>
            </w:pPr>
            <w:r w:rsidRPr="00EE55F3">
              <w:rPr>
                <w:sz w:val="20"/>
              </w:rPr>
              <w:t>5/NE 2005</w:t>
            </w:r>
          </w:p>
        </w:tc>
        <w:tc>
          <w:tcPr>
            <w:tcW w:w="1044" w:type="pct"/>
            <w:vAlign w:val="center"/>
          </w:tcPr>
          <w:p w:rsidR="0093431D" w:rsidRPr="00EE55F3" w:rsidRDefault="0093431D" w:rsidP="00BA1F65">
            <w:pPr>
              <w:jc w:val="right"/>
              <w:rPr>
                <w:sz w:val="20"/>
              </w:rPr>
            </w:pPr>
            <w:r w:rsidRPr="00EE55F3">
              <w:rPr>
                <w:sz w:val="20"/>
              </w:rPr>
              <w:t>5/NE 2004_05</w:t>
            </w:r>
          </w:p>
        </w:tc>
        <w:tc>
          <w:tcPr>
            <w:tcW w:w="1055" w:type="pct"/>
            <w:vAlign w:val="center"/>
          </w:tcPr>
          <w:p w:rsidR="0093431D" w:rsidRPr="00EE55F3" w:rsidRDefault="0093431D" w:rsidP="00BA1F65">
            <w:pPr>
              <w:jc w:val="right"/>
              <w:rPr>
                <w:sz w:val="20"/>
              </w:rPr>
            </w:pPr>
            <w:r w:rsidRPr="00EE55F3">
              <w:rPr>
                <w:sz w:val="20"/>
              </w:rPr>
              <w:t>5/NE 2003_04_05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Esino</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4GI 2003</w:t>
            </w:r>
          </w:p>
        </w:tc>
        <w:tc>
          <w:tcPr>
            <w:tcW w:w="1055" w:type="pct"/>
            <w:vAlign w:val="center"/>
          </w:tcPr>
          <w:p w:rsidR="0093431D" w:rsidRPr="00EE55F3" w:rsidRDefault="0093431D" w:rsidP="00BA1F65">
            <w:pPr>
              <w:jc w:val="right"/>
              <w:rPr>
                <w:sz w:val="20"/>
              </w:rPr>
            </w:pPr>
            <w:r w:rsidRPr="00EE55F3">
              <w:rPr>
                <w:sz w:val="20"/>
              </w:rPr>
              <w:t>4GI 2003</w:t>
            </w:r>
          </w:p>
        </w:tc>
        <w:tc>
          <w:tcPr>
            <w:tcW w:w="548" w:type="pct"/>
            <w:vAlign w:val="center"/>
          </w:tcPr>
          <w:p w:rsidR="0093431D" w:rsidRPr="00EE55F3" w:rsidRDefault="0093431D" w:rsidP="00BA1F65">
            <w:pPr>
              <w:jc w:val="center"/>
              <w:rPr>
                <w:sz w:val="20"/>
              </w:rPr>
            </w:pPr>
            <w:r w:rsidRPr="00EE55F3">
              <w:rPr>
                <w:sz w:val="20"/>
              </w:rPr>
              <w:t>AP</w:t>
            </w:r>
          </w:p>
        </w:tc>
        <w:tc>
          <w:tcPr>
            <w:tcW w:w="421" w:type="pct"/>
            <w:vAlign w:val="center"/>
          </w:tcPr>
          <w:p w:rsidR="0093431D" w:rsidRPr="00EE55F3" w:rsidRDefault="0093431D" w:rsidP="00BA1F65">
            <w:pPr>
              <w:jc w:val="center"/>
              <w:rPr>
                <w:sz w:val="20"/>
              </w:rPr>
            </w:pPr>
          </w:p>
        </w:tc>
      </w:tr>
      <w:tr w:rsidR="0093431D" w:rsidRPr="00EE55F3" w:rsidTr="00BA1F65">
        <w:trPr>
          <w:trHeight w:val="252"/>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7/GI 2003</w:t>
            </w:r>
          </w:p>
        </w:tc>
        <w:tc>
          <w:tcPr>
            <w:tcW w:w="1055" w:type="pct"/>
            <w:vAlign w:val="center"/>
          </w:tcPr>
          <w:p w:rsidR="0093431D" w:rsidRPr="00EE55F3" w:rsidRDefault="0093431D" w:rsidP="00BA1F65">
            <w:pPr>
              <w:jc w:val="right"/>
              <w:rPr>
                <w:sz w:val="20"/>
              </w:rPr>
            </w:pPr>
            <w:r w:rsidRPr="00EE55F3">
              <w:rPr>
                <w:sz w:val="20"/>
              </w:rPr>
              <w:t>7/GI 2003_04</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5/ES 2005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16/ES 2003_04</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Musone</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4/MU 2006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10/MU 2003_04_05</w:t>
            </w:r>
          </w:p>
        </w:tc>
        <w:tc>
          <w:tcPr>
            <w:tcW w:w="1055" w:type="pct"/>
            <w:vAlign w:val="center"/>
          </w:tcPr>
          <w:p w:rsidR="0093431D" w:rsidRPr="00EE55F3" w:rsidRDefault="0093431D" w:rsidP="00BA1F65">
            <w:pPr>
              <w:jc w:val="right"/>
              <w:rPr>
                <w:sz w:val="20"/>
              </w:rPr>
            </w:pPr>
            <w:r w:rsidRPr="00EE55F3">
              <w:rPr>
                <w:sz w:val="20"/>
              </w:rPr>
              <w:t>10/MU 2003_04_05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r w:rsidRPr="00EE55F3">
              <w:rPr>
                <w:sz w:val="20"/>
              </w:rPr>
              <w:t>14/MU 2005</w:t>
            </w:r>
          </w:p>
        </w:tc>
        <w:tc>
          <w:tcPr>
            <w:tcW w:w="1044" w:type="pct"/>
            <w:vAlign w:val="center"/>
          </w:tcPr>
          <w:p w:rsidR="0093431D" w:rsidRPr="00EE55F3" w:rsidRDefault="0093431D" w:rsidP="00BA1F65">
            <w:pPr>
              <w:jc w:val="right"/>
              <w:rPr>
                <w:sz w:val="20"/>
              </w:rPr>
            </w:pPr>
            <w:r w:rsidRPr="00EE55F3">
              <w:rPr>
                <w:sz w:val="20"/>
              </w:rPr>
              <w:t>14/MU 2003_04_05</w:t>
            </w:r>
          </w:p>
        </w:tc>
        <w:tc>
          <w:tcPr>
            <w:tcW w:w="1055" w:type="pct"/>
            <w:vAlign w:val="center"/>
          </w:tcPr>
          <w:p w:rsidR="0093431D" w:rsidRPr="00EE55F3" w:rsidRDefault="0093431D" w:rsidP="00BA1F65">
            <w:pPr>
              <w:jc w:val="right"/>
              <w:rPr>
                <w:sz w:val="20"/>
              </w:rPr>
            </w:pPr>
            <w:r w:rsidRPr="00EE55F3">
              <w:rPr>
                <w:sz w:val="20"/>
              </w:rPr>
              <w:t>14/MU 2003_04_05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52"/>
          <w:jc w:val="center"/>
        </w:trPr>
        <w:tc>
          <w:tcPr>
            <w:tcW w:w="880" w:type="pct"/>
            <w:vAlign w:val="center"/>
          </w:tcPr>
          <w:p w:rsidR="0093431D" w:rsidRPr="00EE55F3" w:rsidRDefault="0093431D" w:rsidP="00BA1F65">
            <w:pPr>
              <w:rPr>
                <w:b/>
                <w:sz w:val="20"/>
              </w:rPr>
            </w:pPr>
            <w:r w:rsidRPr="00EE55F3">
              <w:rPr>
                <w:b/>
                <w:sz w:val="20"/>
              </w:rPr>
              <w:t>Musone/Aspio</w:t>
            </w:r>
          </w:p>
        </w:tc>
        <w:tc>
          <w:tcPr>
            <w:tcW w:w="1052" w:type="pct"/>
            <w:vAlign w:val="center"/>
          </w:tcPr>
          <w:p w:rsidR="0093431D" w:rsidRPr="00EE55F3" w:rsidRDefault="0093431D" w:rsidP="00BA1F65">
            <w:pPr>
              <w:jc w:val="right"/>
              <w:rPr>
                <w:sz w:val="20"/>
              </w:rPr>
            </w:pPr>
            <w:r w:rsidRPr="00EE55F3">
              <w:rPr>
                <w:sz w:val="20"/>
              </w:rPr>
              <w:t>06/AS 2005</w:t>
            </w:r>
          </w:p>
        </w:tc>
        <w:tc>
          <w:tcPr>
            <w:tcW w:w="1044" w:type="pct"/>
            <w:vAlign w:val="center"/>
          </w:tcPr>
          <w:p w:rsidR="0093431D" w:rsidRPr="00EE55F3" w:rsidRDefault="0093431D" w:rsidP="00BA1F65">
            <w:pPr>
              <w:tabs>
                <w:tab w:val="right" w:pos="2281"/>
              </w:tabs>
              <w:jc w:val="right"/>
              <w:rPr>
                <w:sz w:val="20"/>
              </w:rPr>
            </w:pPr>
            <w:r w:rsidRPr="00EE55F3">
              <w:rPr>
                <w:sz w:val="20"/>
              </w:rPr>
              <w:t>06/AS 2003_04_05</w:t>
            </w:r>
          </w:p>
        </w:tc>
        <w:tc>
          <w:tcPr>
            <w:tcW w:w="1055" w:type="pct"/>
            <w:vAlign w:val="center"/>
          </w:tcPr>
          <w:p w:rsidR="0093431D" w:rsidRPr="00EE55F3" w:rsidRDefault="0093431D" w:rsidP="00BA1F65">
            <w:pPr>
              <w:jc w:val="right"/>
              <w:rPr>
                <w:sz w:val="20"/>
              </w:rPr>
            </w:pPr>
            <w:r w:rsidRPr="00EE55F3">
              <w:rPr>
                <w:sz w:val="20"/>
              </w:rPr>
              <w:t>06/AS 2003_04_05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Potenza</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9/PO 2004_05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11/PO 2005</w:t>
            </w:r>
          </w:p>
        </w:tc>
        <w:tc>
          <w:tcPr>
            <w:tcW w:w="1055" w:type="pct"/>
            <w:vAlign w:val="center"/>
          </w:tcPr>
          <w:p w:rsidR="0093431D" w:rsidRPr="00EE55F3" w:rsidRDefault="0093431D" w:rsidP="00BA1F65">
            <w:pPr>
              <w:jc w:val="right"/>
              <w:rPr>
                <w:sz w:val="20"/>
              </w:rPr>
            </w:pPr>
            <w:r w:rsidRPr="00EE55F3">
              <w:rPr>
                <w:sz w:val="20"/>
              </w:rPr>
              <w:t>11/PO 2004_05_06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12/PO 2005</w:t>
            </w:r>
          </w:p>
        </w:tc>
        <w:tc>
          <w:tcPr>
            <w:tcW w:w="1055" w:type="pct"/>
            <w:vAlign w:val="center"/>
          </w:tcPr>
          <w:p w:rsidR="0093431D" w:rsidRPr="00EE55F3" w:rsidRDefault="0093431D" w:rsidP="00BA1F65">
            <w:pPr>
              <w:jc w:val="right"/>
              <w:rPr>
                <w:sz w:val="20"/>
              </w:rPr>
            </w:pPr>
            <w:r w:rsidRPr="00EE55F3">
              <w:rPr>
                <w:sz w:val="20"/>
              </w:rPr>
              <w:t>12/PO 2005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Chienti/Fiastrone</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20CH/2006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Chienti/Fiastra</w:t>
            </w:r>
          </w:p>
        </w:tc>
        <w:tc>
          <w:tcPr>
            <w:tcW w:w="1052" w:type="pct"/>
            <w:vAlign w:val="center"/>
          </w:tcPr>
          <w:p w:rsidR="0093431D" w:rsidRPr="00EE55F3" w:rsidRDefault="0093431D" w:rsidP="00BA1F65">
            <w:pPr>
              <w:jc w:val="right"/>
              <w:rPr>
                <w:sz w:val="20"/>
              </w:rPr>
            </w:pPr>
            <w:r w:rsidRPr="00EE55F3">
              <w:rPr>
                <w:sz w:val="20"/>
              </w:rPr>
              <w:t>25/CH2003_04_05_06</w:t>
            </w:r>
          </w:p>
        </w:tc>
        <w:tc>
          <w:tcPr>
            <w:tcW w:w="1044" w:type="pct"/>
            <w:vAlign w:val="center"/>
          </w:tcPr>
          <w:p w:rsidR="0093431D" w:rsidRPr="00EE55F3" w:rsidRDefault="0093431D" w:rsidP="00BA1F65">
            <w:pPr>
              <w:jc w:val="right"/>
              <w:rPr>
                <w:sz w:val="20"/>
              </w:rPr>
            </w:pPr>
            <w:r w:rsidRPr="00EE55F3">
              <w:rPr>
                <w:sz w:val="20"/>
              </w:rPr>
              <w:t>25/CH 2003_04_05_06</w:t>
            </w:r>
          </w:p>
        </w:tc>
        <w:tc>
          <w:tcPr>
            <w:tcW w:w="1055" w:type="pct"/>
            <w:vAlign w:val="center"/>
          </w:tcPr>
          <w:p w:rsidR="0093431D" w:rsidRPr="00EE55F3" w:rsidRDefault="0093431D" w:rsidP="00BA1F65">
            <w:pPr>
              <w:jc w:val="right"/>
              <w:rPr>
                <w:sz w:val="20"/>
              </w:rPr>
            </w:pPr>
            <w:r w:rsidRPr="00EE55F3">
              <w:rPr>
                <w:sz w:val="20"/>
              </w:rPr>
              <w:t>25/CH 2003_04_05_06</w:t>
            </w:r>
          </w:p>
        </w:tc>
        <w:tc>
          <w:tcPr>
            <w:tcW w:w="548" w:type="pct"/>
            <w:vAlign w:val="center"/>
          </w:tcPr>
          <w:p w:rsidR="0093431D" w:rsidRPr="00EE55F3" w:rsidRDefault="0093431D" w:rsidP="00BA1F65">
            <w:pPr>
              <w:jc w:val="center"/>
              <w:rPr>
                <w:sz w:val="20"/>
              </w:rPr>
            </w:pPr>
            <w:r w:rsidRPr="00EE55F3">
              <w:rPr>
                <w:sz w:val="20"/>
              </w:rPr>
              <w:t>AP</w:t>
            </w: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52"/>
          <w:jc w:val="center"/>
        </w:trPr>
        <w:tc>
          <w:tcPr>
            <w:tcW w:w="880" w:type="pct"/>
            <w:vAlign w:val="center"/>
          </w:tcPr>
          <w:p w:rsidR="0093431D" w:rsidRPr="00EE55F3" w:rsidRDefault="0093431D" w:rsidP="00BA1F65">
            <w:pPr>
              <w:rPr>
                <w:b/>
                <w:sz w:val="20"/>
              </w:rPr>
            </w:pPr>
            <w:r w:rsidRPr="00EE55F3">
              <w:rPr>
                <w:b/>
                <w:sz w:val="20"/>
              </w:rPr>
              <w:t>Tenna</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p>
        </w:tc>
        <w:tc>
          <w:tcPr>
            <w:tcW w:w="1055" w:type="pct"/>
            <w:vAlign w:val="center"/>
          </w:tcPr>
          <w:p w:rsidR="0093431D" w:rsidRPr="00EE55F3" w:rsidRDefault="0093431D" w:rsidP="00BA1F65">
            <w:pPr>
              <w:jc w:val="right"/>
              <w:rPr>
                <w:sz w:val="20"/>
              </w:rPr>
            </w:pPr>
            <w:r w:rsidRPr="00EE55F3">
              <w:rPr>
                <w:sz w:val="20"/>
              </w:rPr>
              <w:t>6/TN 2006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Ete Vivo</w:t>
            </w:r>
          </w:p>
        </w:tc>
        <w:tc>
          <w:tcPr>
            <w:tcW w:w="1052" w:type="pct"/>
            <w:vAlign w:val="center"/>
          </w:tcPr>
          <w:p w:rsidR="0093431D" w:rsidRPr="00EE55F3" w:rsidRDefault="0093431D" w:rsidP="00BA1F65">
            <w:pPr>
              <w:jc w:val="right"/>
              <w:rPr>
                <w:sz w:val="20"/>
              </w:rPr>
            </w:pPr>
            <w:r w:rsidRPr="00EE55F3">
              <w:rPr>
                <w:sz w:val="20"/>
              </w:rPr>
              <w:t>2/EV 2004_05_06</w:t>
            </w:r>
          </w:p>
        </w:tc>
        <w:tc>
          <w:tcPr>
            <w:tcW w:w="1044" w:type="pct"/>
            <w:vAlign w:val="center"/>
          </w:tcPr>
          <w:p w:rsidR="0093431D" w:rsidRPr="00EE55F3" w:rsidRDefault="0093431D" w:rsidP="00BA1F65">
            <w:pPr>
              <w:jc w:val="right"/>
              <w:rPr>
                <w:sz w:val="20"/>
              </w:rPr>
            </w:pPr>
            <w:r w:rsidRPr="00EE55F3">
              <w:rPr>
                <w:sz w:val="20"/>
              </w:rPr>
              <w:t>2/EV 2003_04_05_06</w:t>
            </w:r>
          </w:p>
        </w:tc>
        <w:tc>
          <w:tcPr>
            <w:tcW w:w="1055" w:type="pct"/>
            <w:vAlign w:val="center"/>
          </w:tcPr>
          <w:p w:rsidR="0093431D" w:rsidRPr="00EE55F3" w:rsidRDefault="0093431D" w:rsidP="00BA1F65">
            <w:pPr>
              <w:jc w:val="right"/>
              <w:rPr>
                <w:sz w:val="20"/>
              </w:rPr>
            </w:pPr>
            <w:r w:rsidRPr="00EE55F3">
              <w:rPr>
                <w:sz w:val="20"/>
              </w:rPr>
              <w:t>2/EV 2003_04_05_06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r w:rsidRPr="00EE55F3">
              <w:rPr>
                <w:b/>
                <w:sz w:val="20"/>
              </w:rPr>
              <w:t>Aso</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5/AS 2005</w:t>
            </w:r>
          </w:p>
        </w:tc>
        <w:tc>
          <w:tcPr>
            <w:tcW w:w="1055" w:type="pct"/>
            <w:vAlign w:val="center"/>
          </w:tcPr>
          <w:p w:rsidR="0093431D" w:rsidRPr="00EE55F3" w:rsidRDefault="0093431D" w:rsidP="00BA1F65">
            <w:pPr>
              <w:jc w:val="right"/>
              <w:rPr>
                <w:sz w:val="20"/>
              </w:rPr>
            </w:pPr>
            <w:r w:rsidRPr="00EE55F3">
              <w:rPr>
                <w:sz w:val="20"/>
              </w:rPr>
              <w:t>5/AS 2005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38"/>
          <w:jc w:val="center"/>
        </w:trPr>
        <w:tc>
          <w:tcPr>
            <w:tcW w:w="880" w:type="pct"/>
            <w:vAlign w:val="center"/>
          </w:tcPr>
          <w:p w:rsidR="0093431D" w:rsidRPr="00EE55F3" w:rsidRDefault="0093431D" w:rsidP="00BA1F65">
            <w:pPr>
              <w:rPr>
                <w:b/>
                <w:sz w:val="20"/>
              </w:rPr>
            </w:pP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6/AS 2005</w:t>
            </w:r>
          </w:p>
        </w:tc>
        <w:tc>
          <w:tcPr>
            <w:tcW w:w="1055" w:type="pct"/>
            <w:vAlign w:val="center"/>
          </w:tcPr>
          <w:p w:rsidR="0093431D" w:rsidRPr="00EE55F3" w:rsidRDefault="0093431D" w:rsidP="00BA1F65">
            <w:pPr>
              <w:jc w:val="right"/>
              <w:rPr>
                <w:sz w:val="20"/>
              </w:rPr>
            </w:pPr>
            <w:r w:rsidRPr="00EE55F3">
              <w:rPr>
                <w:sz w:val="20"/>
              </w:rPr>
              <w:t>6/AS 2005</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r w:rsidR="0093431D" w:rsidRPr="00EE55F3" w:rsidTr="00BA1F65">
        <w:trPr>
          <w:trHeight w:val="252"/>
          <w:jc w:val="center"/>
        </w:trPr>
        <w:tc>
          <w:tcPr>
            <w:tcW w:w="880" w:type="pct"/>
            <w:vAlign w:val="center"/>
          </w:tcPr>
          <w:p w:rsidR="0093431D" w:rsidRPr="00EE55F3" w:rsidRDefault="0093431D" w:rsidP="00BA1F65">
            <w:pPr>
              <w:rPr>
                <w:b/>
                <w:sz w:val="20"/>
              </w:rPr>
            </w:pPr>
            <w:r w:rsidRPr="00EE55F3">
              <w:rPr>
                <w:b/>
                <w:sz w:val="20"/>
              </w:rPr>
              <w:t>Tesino</w:t>
            </w:r>
          </w:p>
        </w:tc>
        <w:tc>
          <w:tcPr>
            <w:tcW w:w="1052" w:type="pct"/>
            <w:vAlign w:val="center"/>
          </w:tcPr>
          <w:p w:rsidR="0093431D" w:rsidRPr="00EE55F3" w:rsidRDefault="0093431D" w:rsidP="00BA1F65">
            <w:pPr>
              <w:jc w:val="right"/>
              <w:rPr>
                <w:sz w:val="20"/>
              </w:rPr>
            </w:pPr>
          </w:p>
        </w:tc>
        <w:tc>
          <w:tcPr>
            <w:tcW w:w="1044" w:type="pct"/>
            <w:vAlign w:val="center"/>
          </w:tcPr>
          <w:p w:rsidR="0093431D" w:rsidRPr="00EE55F3" w:rsidRDefault="0093431D" w:rsidP="00BA1F65">
            <w:pPr>
              <w:jc w:val="right"/>
              <w:rPr>
                <w:sz w:val="20"/>
              </w:rPr>
            </w:pPr>
            <w:r w:rsidRPr="00EE55F3">
              <w:rPr>
                <w:sz w:val="20"/>
              </w:rPr>
              <w:t>4/TS 2003_04_05_06</w:t>
            </w:r>
          </w:p>
        </w:tc>
        <w:tc>
          <w:tcPr>
            <w:tcW w:w="1055" w:type="pct"/>
            <w:vAlign w:val="center"/>
          </w:tcPr>
          <w:p w:rsidR="0093431D" w:rsidRPr="00EE55F3" w:rsidRDefault="0093431D" w:rsidP="00BA1F65">
            <w:pPr>
              <w:jc w:val="right"/>
              <w:rPr>
                <w:sz w:val="20"/>
              </w:rPr>
            </w:pPr>
            <w:r w:rsidRPr="00EE55F3">
              <w:rPr>
                <w:sz w:val="20"/>
              </w:rPr>
              <w:t>4/TS 2003_04_05_06</w:t>
            </w:r>
          </w:p>
        </w:tc>
        <w:tc>
          <w:tcPr>
            <w:tcW w:w="548" w:type="pct"/>
            <w:vAlign w:val="center"/>
          </w:tcPr>
          <w:p w:rsidR="0093431D" w:rsidRPr="00EE55F3" w:rsidRDefault="0093431D" w:rsidP="00BA1F65">
            <w:pPr>
              <w:jc w:val="center"/>
              <w:rPr>
                <w:sz w:val="20"/>
              </w:rPr>
            </w:pPr>
          </w:p>
        </w:tc>
        <w:tc>
          <w:tcPr>
            <w:tcW w:w="421" w:type="pct"/>
            <w:vAlign w:val="center"/>
          </w:tcPr>
          <w:p w:rsidR="0093431D" w:rsidRPr="00EE55F3" w:rsidRDefault="0093431D" w:rsidP="00BA1F65">
            <w:pPr>
              <w:jc w:val="center"/>
              <w:rPr>
                <w:sz w:val="20"/>
              </w:rPr>
            </w:pPr>
            <w:r w:rsidRPr="00EE55F3">
              <w:rPr>
                <w:sz w:val="20"/>
              </w:rPr>
              <w:t>ZVN</w:t>
            </w:r>
          </w:p>
        </w:tc>
      </w:tr>
    </w:tbl>
    <w:p w:rsidR="0093431D" w:rsidRDefault="0093431D" w:rsidP="0093431D">
      <w:pPr>
        <w:pStyle w:val="Fonte"/>
        <w:spacing w:before="240" w:after="360"/>
      </w:pPr>
      <w:r w:rsidRPr="008F6E98">
        <w:t xml:space="preserve">Fonte : </w:t>
      </w:r>
      <w:r>
        <w:t>Dati</w:t>
      </w:r>
      <w:r w:rsidRPr="008F6E98">
        <w:t xml:space="preserve"> </w:t>
      </w:r>
      <w:r>
        <w:t>Regione Marche</w:t>
      </w:r>
    </w:p>
    <w:p w:rsidR="0093431D" w:rsidRPr="00E24438" w:rsidRDefault="0093431D" w:rsidP="0093431D">
      <w:pPr>
        <w:pStyle w:val="Corpodeltesto"/>
        <w:numPr>
          <w:ilvl w:val="0"/>
          <w:numId w:val="0"/>
        </w:numPr>
        <w:spacing w:after="120"/>
        <w:rPr>
          <w:szCs w:val="24"/>
        </w:rPr>
      </w:pPr>
      <w:r w:rsidRPr="00E24438">
        <w:rPr>
          <w:szCs w:val="24"/>
        </w:rPr>
        <w:t>La valutazione dell’incidenza sui corpi idrici superficiali è influenzata dagli apporti determinati dallo scarico delle acque reflue urbane e dalla portata degli stessi corpi idrici; la quantificazione dei specifici contributi è necessaria per valutare l’incidenza della pressione agricola sulla qualità delle acque superficiali.</w:t>
      </w:r>
    </w:p>
    <w:p w:rsidR="0093431D" w:rsidRPr="0004378D" w:rsidRDefault="0093431D" w:rsidP="0093431D">
      <w:pPr>
        <w:pStyle w:val="Corpodeltesto"/>
        <w:numPr>
          <w:ilvl w:val="0"/>
          <w:numId w:val="0"/>
        </w:numPr>
        <w:spacing w:after="120"/>
        <w:rPr>
          <w:szCs w:val="24"/>
        </w:rPr>
      </w:pPr>
      <w:r w:rsidRPr="0004378D">
        <w:rPr>
          <w:szCs w:val="24"/>
        </w:rPr>
        <w:t xml:space="preserve">Per questo </w:t>
      </w:r>
      <w:smartTag w:uri="urn:schemas-microsoft-com:office:smarttags" w:element="PersonName">
        <w:smartTagPr>
          <w:attr w:name="ProductID" w:val="La Regione"/>
        </w:smartTagPr>
        <w:r w:rsidRPr="0004378D">
          <w:rPr>
            <w:szCs w:val="24"/>
          </w:rPr>
          <w:t>la Regione</w:t>
        </w:r>
      </w:smartTag>
      <w:r w:rsidRPr="0004378D">
        <w:rPr>
          <w:szCs w:val="24"/>
        </w:rPr>
        <w:t xml:space="preserve"> sta aggiornando le informazioni sulle infrastrutture di collettamento e di depurazione delle acque reflue urbane ponendo attenzione agli impianti di ridotta capacità e alle reti fognarie non servite dal trattamento depurativo finale.</w:t>
      </w:r>
    </w:p>
    <w:p w:rsidR="0093431D" w:rsidRDefault="0093431D" w:rsidP="0093431D">
      <w:pPr>
        <w:jc w:val="both"/>
      </w:pPr>
    </w:p>
    <w:p w:rsidR="0093431D" w:rsidRPr="00E24438" w:rsidRDefault="0093431D" w:rsidP="0093431D">
      <w:pPr>
        <w:pStyle w:val="Corpodeltesto"/>
        <w:numPr>
          <w:ilvl w:val="0"/>
          <w:numId w:val="0"/>
        </w:numPr>
        <w:spacing w:before="360" w:after="120"/>
        <w:rPr>
          <w:b/>
          <w:highlight w:val="lightGray"/>
        </w:rPr>
      </w:pPr>
      <w:r w:rsidRPr="00E24438">
        <w:rPr>
          <w:b/>
          <w:highlight w:val="lightGray"/>
        </w:rPr>
        <w:t>Figura: XYZ – Zone vulnerabili da nitrati di origine agricola, aree SIC e ZPS, stazioni di monitoraggio acque superficiali.</w:t>
      </w:r>
    </w:p>
    <w:p w:rsidR="0093431D" w:rsidRDefault="0093431D" w:rsidP="0093431D">
      <w:pPr>
        <w:jc w:val="both"/>
      </w:pPr>
    </w:p>
    <w:p w:rsidR="0093431D" w:rsidRPr="00ED28EB" w:rsidRDefault="0093431D" w:rsidP="0093431D">
      <w:pPr>
        <w:jc w:val="both"/>
      </w:pPr>
      <w:r>
        <w:rPr>
          <w:noProof/>
        </w:rPr>
        <w:drawing>
          <wp:inline distT="0" distB="0" distL="0" distR="0">
            <wp:extent cx="6115050" cy="5762625"/>
            <wp:effectExtent l="19050" t="19050" r="19050" b="28575"/>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srcRect/>
                    <a:stretch>
                      <a:fillRect/>
                    </a:stretch>
                  </pic:blipFill>
                  <pic:spPr bwMode="auto">
                    <a:xfrm>
                      <a:off x="0" y="0"/>
                      <a:ext cx="6115050" cy="5762625"/>
                    </a:xfrm>
                    <a:prstGeom prst="rect">
                      <a:avLst/>
                    </a:prstGeom>
                    <a:noFill/>
                    <a:ln w="9525" cmpd="sng">
                      <a:solidFill>
                        <a:srgbClr val="000000"/>
                      </a:solidFill>
                      <a:miter lim="800000"/>
                      <a:headEnd/>
                      <a:tailEnd/>
                    </a:ln>
                    <a:effectLst/>
                  </pic:spPr>
                </pic:pic>
              </a:graphicData>
            </a:graphic>
          </wp:inline>
        </w:drawing>
      </w:r>
    </w:p>
    <w:p w:rsidR="0093431D" w:rsidRDefault="0093431D" w:rsidP="0093431D">
      <w:pPr>
        <w:pStyle w:val="Fonte"/>
        <w:spacing w:before="240" w:after="360"/>
      </w:pPr>
      <w:r w:rsidRPr="008F6E98">
        <w:t xml:space="preserve">Fonte : </w:t>
      </w:r>
      <w:r>
        <w:t>Dati</w:t>
      </w:r>
      <w:r w:rsidRPr="008F6E98">
        <w:t xml:space="preserve"> </w:t>
      </w:r>
      <w:r>
        <w:t>Regione Marche</w:t>
      </w:r>
    </w:p>
    <w:p w:rsidR="0093431D" w:rsidRDefault="0093431D" w:rsidP="0093431D">
      <w:pPr>
        <w:pStyle w:val="Corpodeltesto"/>
        <w:numPr>
          <w:ilvl w:val="0"/>
          <w:numId w:val="0"/>
        </w:numPr>
        <w:spacing w:after="120"/>
        <w:rPr>
          <w:szCs w:val="24"/>
        </w:rPr>
      </w:pPr>
      <w:r w:rsidRPr="0004378D">
        <w:rPr>
          <w:szCs w:val="24"/>
        </w:rPr>
        <w:t>Nel secondo rapporto sullo stato dell’ambiente la depurazione delle acque reflue urbane è rappresentata da una percentuale di acque raccolte e collettate pari al 66%; i dati riporta</w:t>
      </w:r>
      <w:r>
        <w:rPr>
          <w:szCs w:val="24"/>
        </w:rPr>
        <w:t>ti sono relativi all’anno 2003.</w:t>
      </w:r>
    </w:p>
    <w:p w:rsidR="0093431D" w:rsidRPr="0004378D" w:rsidRDefault="0093431D" w:rsidP="0093431D">
      <w:pPr>
        <w:pStyle w:val="Corpodeltesto"/>
        <w:numPr>
          <w:ilvl w:val="0"/>
          <w:numId w:val="0"/>
        </w:numPr>
        <w:spacing w:after="120"/>
        <w:rPr>
          <w:szCs w:val="24"/>
        </w:rPr>
      </w:pPr>
      <w:r w:rsidRPr="0004378D">
        <w:rPr>
          <w:szCs w:val="24"/>
        </w:rPr>
        <w:t>Dalla stima effettuata sui dati della ricognizione del sistema depurativo, attualmente in corso, fanno prevedere che i sistemi di collettamento presenti sul territorio regionale raggiungano valori percentuali intorno al 90%.</w:t>
      </w:r>
    </w:p>
    <w:p w:rsidR="0093431D" w:rsidRPr="0004378D" w:rsidRDefault="0093431D" w:rsidP="0093431D">
      <w:pPr>
        <w:pStyle w:val="Corpodeltesto"/>
        <w:numPr>
          <w:ilvl w:val="0"/>
          <w:numId w:val="0"/>
        </w:numPr>
        <w:spacing w:after="120"/>
        <w:rPr>
          <w:szCs w:val="24"/>
        </w:rPr>
      </w:pPr>
      <w:r w:rsidRPr="0004378D">
        <w:rPr>
          <w:szCs w:val="24"/>
        </w:rPr>
        <w:t xml:space="preserve">Sulla capacità di trattamento, la stima dei dati aggiornati evidenzia una percentuale di circa l’85% contro la percentuale del 79% riportata nel secondo rapporto sullo stato dell’ambiente della Regione. </w:t>
      </w:r>
    </w:p>
    <w:p w:rsidR="0093431D" w:rsidRPr="0004378D" w:rsidRDefault="0093431D" w:rsidP="0093431D">
      <w:pPr>
        <w:pStyle w:val="Corpodeltesto"/>
        <w:numPr>
          <w:ilvl w:val="0"/>
          <w:numId w:val="0"/>
        </w:numPr>
        <w:spacing w:after="120"/>
        <w:rPr>
          <w:szCs w:val="24"/>
        </w:rPr>
      </w:pPr>
      <w:r w:rsidRPr="0004378D">
        <w:rPr>
          <w:szCs w:val="24"/>
        </w:rPr>
        <w:t xml:space="preserve">Le difformità riscontrate sullo scarico delle acque reflue urbane nei corpi idrici superficiali sono da relazionare, principalmente ai parametri BOD5 (carico organico) e azoto ammoniacale (carico trofico). </w:t>
      </w:r>
    </w:p>
    <w:p w:rsidR="0093431D" w:rsidRPr="00E24438" w:rsidRDefault="0093431D" w:rsidP="0093431D">
      <w:pPr>
        <w:pStyle w:val="Corpodeltesto"/>
        <w:numPr>
          <w:ilvl w:val="0"/>
          <w:numId w:val="0"/>
        </w:numPr>
        <w:spacing w:after="120"/>
        <w:rPr>
          <w:szCs w:val="24"/>
        </w:rPr>
      </w:pPr>
      <w:r w:rsidRPr="0004378D">
        <w:rPr>
          <w:szCs w:val="24"/>
        </w:rPr>
        <w:lastRenderedPageBreak/>
        <w:t xml:space="preserve">I fanghi di depurazione vengono quasi completamente smaltiti in discarica; quantità molto ridotte </w:t>
      </w:r>
      <w:r w:rsidRPr="00E24438">
        <w:rPr>
          <w:szCs w:val="24"/>
        </w:rPr>
        <w:t>sono avviate al riutilizzo in agricoltura nelle province di Ancona e Macerata.</w:t>
      </w:r>
    </w:p>
    <w:p w:rsidR="0093431D" w:rsidRPr="00E24438" w:rsidRDefault="0093431D" w:rsidP="0093431D">
      <w:pPr>
        <w:pStyle w:val="Corpodeltesto"/>
        <w:numPr>
          <w:ilvl w:val="0"/>
          <w:numId w:val="0"/>
        </w:numPr>
        <w:spacing w:after="120"/>
        <w:rPr>
          <w:szCs w:val="24"/>
        </w:rPr>
      </w:pPr>
      <w:r w:rsidRPr="00E24438">
        <w:rPr>
          <w:szCs w:val="24"/>
        </w:rPr>
        <w:t xml:space="preserve">Il monitoraggio delle </w:t>
      </w:r>
      <w:r w:rsidRPr="00E24438">
        <w:rPr>
          <w:b/>
          <w:szCs w:val="24"/>
        </w:rPr>
        <w:t>acque sotterranee</w:t>
      </w:r>
      <w:r w:rsidRPr="00E24438">
        <w:rPr>
          <w:szCs w:val="24"/>
        </w:rPr>
        <w:t>, con la rete individuata ai sensi dell’allegato 1, punto 4 del D. Leg.vo 152/99, consente di avere i valori dei nitrati nel periodo 2003-2006.</w:t>
      </w:r>
    </w:p>
    <w:p w:rsidR="0093431D" w:rsidRDefault="0093431D" w:rsidP="0093431D">
      <w:pPr>
        <w:pStyle w:val="Corpodeltesto"/>
        <w:numPr>
          <w:ilvl w:val="0"/>
          <w:numId w:val="0"/>
        </w:numPr>
        <w:spacing w:after="120"/>
        <w:rPr>
          <w:szCs w:val="24"/>
        </w:rPr>
      </w:pPr>
      <w:r w:rsidRPr="00E24438">
        <w:rPr>
          <w:szCs w:val="24"/>
        </w:rPr>
        <w:t>Nella seguente tabella, suddivisa per bacino idrografico, sono indicate le zone (montana, collinare o fondovalle) dove sono stati rilevati valori dei nitrati superiori a 40 ml/l (soglia di attenzione) e ricadenti nelle Zone Vulnerabili da Nitrati di origine agricola già individuate.</w:t>
      </w:r>
    </w:p>
    <w:p w:rsidR="0093431D" w:rsidRPr="00E24438" w:rsidRDefault="0093431D" w:rsidP="0093431D">
      <w:pPr>
        <w:pStyle w:val="Corpodeltesto"/>
        <w:numPr>
          <w:ilvl w:val="0"/>
          <w:numId w:val="0"/>
        </w:numPr>
        <w:spacing w:before="360" w:after="120"/>
        <w:rPr>
          <w:b/>
          <w:highlight w:val="lightGray"/>
        </w:rPr>
      </w:pPr>
      <w:r w:rsidRPr="00E24438">
        <w:rPr>
          <w:b/>
          <w:highlight w:val="lightGray"/>
        </w:rPr>
        <w:t>Tabella XXX: zone con punti di campionamento che rilevano almeno un superamento del valore di nitrati pari a 40 mg/L nel periodo 2003 - 2006</w:t>
      </w:r>
    </w:p>
    <w:p w:rsidR="0093431D" w:rsidRDefault="0093431D" w:rsidP="0093431D">
      <w:pPr>
        <w:pStyle w:val="Fonte"/>
        <w:spacing w:before="360" w:after="360"/>
      </w:pPr>
      <w:r w:rsidRPr="008F6E98">
        <w:t xml:space="preserve">Fonte : </w:t>
      </w:r>
      <w:r>
        <w:t>Dati</w:t>
      </w:r>
      <w:r w:rsidRPr="008F6E98">
        <w:t xml:space="preserve"> </w:t>
      </w:r>
      <w:r>
        <w:t>Regione Marche</w:t>
      </w:r>
    </w:p>
    <w:tbl>
      <w:tblPr>
        <w:tblpPr w:leftFromText="141" w:rightFromText="141" w:vertAnchor="page" w:horzAnchor="margin" w:tblpX="108" w:tblpY="5739"/>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43"/>
        <w:gridCol w:w="1926"/>
        <w:gridCol w:w="2132"/>
        <w:gridCol w:w="2132"/>
        <w:gridCol w:w="1142"/>
        <w:gridCol w:w="871"/>
      </w:tblGrid>
      <w:tr w:rsidR="0093431D" w:rsidRPr="00EE55F3" w:rsidTr="00BA1F65">
        <w:trPr>
          <w:trHeight w:val="477"/>
        </w:trPr>
        <w:tc>
          <w:tcPr>
            <w:tcW w:w="791" w:type="pct"/>
          </w:tcPr>
          <w:p w:rsidR="0093431D" w:rsidRPr="00EE55F3" w:rsidRDefault="0093431D" w:rsidP="00BA1F65">
            <w:pPr>
              <w:jc w:val="center"/>
              <w:rPr>
                <w:b/>
                <w:sz w:val="20"/>
              </w:rPr>
            </w:pPr>
            <w:r w:rsidRPr="00EE55F3">
              <w:rPr>
                <w:b/>
                <w:sz w:val="20"/>
              </w:rPr>
              <w:t>Bacino idrografico</w:t>
            </w:r>
          </w:p>
        </w:tc>
        <w:tc>
          <w:tcPr>
            <w:tcW w:w="988" w:type="pct"/>
          </w:tcPr>
          <w:p w:rsidR="0093431D" w:rsidRPr="00EE55F3" w:rsidRDefault="0093431D" w:rsidP="00BA1F65">
            <w:pPr>
              <w:jc w:val="center"/>
              <w:rPr>
                <w:b/>
                <w:sz w:val="20"/>
              </w:rPr>
            </w:pPr>
            <w:r w:rsidRPr="00EE55F3">
              <w:rPr>
                <w:b/>
                <w:sz w:val="20"/>
              </w:rPr>
              <w:t>Anno 2003</w:t>
            </w:r>
          </w:p>
        </w:tc>
        <w:tc>
          <w:tcPr>
            <w:tcW w:w="1094" w:type="pct"/>
          </w:tcPr>
          <w:p w:rsidR="0093431D" w:rsidRPr="00EE55F3" w:rsidRDefault="0093431D" w:rsidP="00BA1F65">
            <w:pPr>
              <w:jc w:val="center"/>
              <w:rPr>
                <w:b/>
                <w:sz w:val="20"/>
              </w:rPr>
            </w:pPr>
            <w:r w:rsidRPr="00EE55F3">
              <w:rPr>
                <w:b/>
                <w:sz w:val="20"/>
              </w:rPr>
              <w:t>Anno 2004</w:t>
            </w:r>
          </w:p>
        </w:tc>
        <w:tc>
          <w:tcPr>
            <w:tcW w:w="1094" w:type="pct"/>
          </w:tcPr>
          <w:p w:rsidR="0093431D" w:rsidRPr="00EE55F3" w:rsidRDefault="0093431D" w:rsidP="00BA1F65">
            <w:pPr>
              <w:ind w:left="73"/>
              <w:jc w:val="center"/>
              <w:rPr>
                <w:b/>
                <w:sz w:val="20"/>
              </w:rPr>
            </w:pPr>
            <w:r w:rsidRPr="00EE55F3">
              <w:rPr>
                <w:b/>
                <w:sz w:val="20"/>
              </w:rPr>
              <w:t>Anno 2005</w:t>
            </w:r>
          </w:p>
        </w:tc>
        <w:tc>
          <w:tcPr>
            <w:tcW w:w="586" w:type="pct"/>
          </w:tcPr>
          <w:p w:rsidR="0093431D" w:rsidRPr="00EE55F3" w:rsidRDefault="0093431D" w:rsidP="00BA1F65">
            <w:pPr>
              <w:jc w:val="center"/>
              <w:rPr>
                <w:b/>
                <w:sz w:val="20"/>
              </w:rPr>
            </w:pPr>
            <w:r w:rsidRPr="00EE55F3">
              <w:rPr>
                <w:b/>
                <w:sz w:val="20"/>
              </w:rPr>
              <w:t>Anno 2006</w:t>
            </w:r>
          </w:p>
        </w:tc>
        <w:tc>
          <w:tcPr>
            <w:tcW w:w="448" w:type="pct"/>
          </w:tcPr>
          <w:p w:rsidR="0093431D" w:rsidRPr="00EE55F3" w:rsidRDefault="0093431D" w:rsidP="00BA1F65">
            <w:pPr>
              <w:jc w:val="center"/>
              <w:rPr>
                <w:b/>
                <w:sz w:val="20"/>
              </w:rPr>
            </w:pPr>
            <w:r w:rsidRPr="00EE55F3">
              <w:rPr>
                <w:b/>
                <w:sz w:val="20"/>
              </w:rPr>
              <w:t>Area</w:t>
            </w:r>
          </w:p>
          <w:p w:rsidR="0093431D" w:rsidRPr="00EE55F3" w:rsidRDefault="0093431D" w:rsidP="00BA1F65">
            <w:pPr>
              <w:jc w:val="center"/>
              <w:rPr>
                <w:b/>
                <w:sz w:val="20"/>
              </w:rPr>
            </w:pPr>
          </w:p>
          <w:p w:rsidR="0093431D" w:rsidRPr="00EE55F3" w:rsidRDefault="0093431D" w:rsidP="00BA1F65">
            <w:pPr>
              <w:jc w:val="center"/>
              <w:rPr>
                <w:b/>
                <w:sz w:val="20"/>
              </w:rPr>
            </w:pPr>
            <w:r w:rsidRPr="00EE55F3">
              <w:rPr>
                <w:b/>
                <w:sz w:val="20"/>
              </w:rPr>
              <w:t>ZVN</w:t>
            </w:r>
          </w:p>
        </w:tc>
      </w:tr>
      <w:tr w:rsidR="0093431D" w:rsidRPr="00EE55F3" w:rsidTr="00BA1F65">
        <w:trPr>
          <w:trHeight w:val="252"/>
        </w:trPr>
        <w:tc>
          <w:tcPr>
            <w:tcW w:w="791" w:type="pct"/>
          </w:tcPr>
          <w:p w:rsidR="0093431D" w:rsidRPr="00EE55F3" w:rsidRDefault="0093431D" w:rsidP="00BA1F65">
            <w:pPr>
              <w:rPr>
                <w:b/>
                <w:sz w:val="20"/>
              </w:rPr>
            </w:pPr>
            <w:r w:rsidRPr="00EE55F3">
              <w:rPr>
                <w:b/>
                <w:sz w:val="20"/>
              </w:rPr>
              <w:t>Foglia</w:t>
            </w:r>
          </w:p>
        </w:tc>
        <w:tc>
          <w:tcPr>
            <w:tcW w:w="988" w:type="pct"/>
          </w:tcPr>
          <w:p w:rsidR="0093431D" w:rsidRPr="00EE55F3" w:rsidRDefault="0093431D" w:rsidP="00BA1F65">
            <w:pPr>
              <w:jc w:val="right"/>
              <w:rPr>
                <w:sz w:val="20"/>
              </w:rPr>
            </w:pPr>
            <w:r w:rsidRPr="00EE55F3">
              <w:rPr>
                <w:sz w:val="20"/>
              </w:rPr>
              <w:t>collinare</w:t>
            </w:r>
          </w:p>
        </w:tc>
        <w:tc>
          <w:tcPr>
            <w:tcW w:w="1094" w:type="pct"/>
          </w:tcPr>
          <w:p w:rsidR="0093431D" w:rsidRPr="00EE55F3" w:rsidRDefault="0093431D" w:rsidP="00BA1F65">
            <w:pPr>
              <w:jc w:val="right"/>
              <w:rPr>
                <w:sz w:val="20"/>
              </w:rPr>
            </w:pPr>
            <w:r w:rsidRPr="00EE55F3">
              <w:rPr>
                <w:sz w:val="20"/>
              </w:rPr>
              <w:t xml:space="preserve">collinare </w:t>
            </w:r>
          </w:p>
        </w:tc>
        <w:tc>
          <w:tcPr>
            <w:tcW w:w="1094" w:type="pct"/>
          </w:tcPr>
          <w:p w:rsidR="0093431D" w:rsidRPr="00EE55F3" w:rsidRDefault="0093431D" w:rsidP="00BA1F65">
            <w:pPr>
              <w:jc w:val="right"/>
              <w:rPr>
                <w:sz w:val="20"/>
              </w:rPr>
            </w:pPr>
            <w:r w:rsidRPr="00EE55F3">
              <w:rPr>
                <w:sz w:val="20"/>
              </w:rPr>
              <w:t xml:space="preserve">collinare </w:t>
            </w:r>
          </w:p>
        </w:tc>
        <w:tc>
          <w:tcPr>
            <w:tcW w:w="586" w:type="pct"/>
          </w:tcPr>
          <w:p w:rsidR="0093431D" w:rsidRPr="00EE55F3" w:rsidRDefault="0093431D" w:rsidP="00BA1F65">
            <w:pPr>
              <w:jc w:val="center"/>
              <w:rPr>
                <w:sz w:val="20"/>
              </w:rPr>
            </w:pPr>
            <w:r w:rsidRPr="00EE55F3">
              <w:rPr>
                <w:sz w:val="20"/>
              </w:rPr>
              <w:t>collinare</w:t>
            </w:r>
          </w:p>
        </w:tc>
        <w:tc>
          <w:tcPr>
            <w:tcW w:w="448" w:type="pct"/>
          </w:tcPr>
          <w:p w:rsidR="0093431D" w:rsidRPr="00EE55F3" w:rsidRDefault="0093431D" w:rsidP="00BA1F65">
            <w:pPr>
              <w:jc w:val="center"/>
              <w:rPr>
                <w:sz w:val="20"/>
              </w:rPr>
            </w:pPr>
          </w:p>
        </w:tc>
      </w:tr>
      <w:tr w:rsidR="0093431D" w:rsidRPr="00EE55F3" w:rsidTr="00BA1F65">
        <w:trPr>
          <w:trHeight w:val="238"/>
        </w:trPr>
        <w:tc>
          <w:tcPr>
            <w:tcW w:w="791" w:type="pct"/>
          </w:tcPr>
          <w:p w:rsidR="0093431D" w:rsidRPr="00EE55F3" w:rsidRDefault="0093431D" w:rsidP="00BA1F65">
            <w:pPr>
              <w:rPr>
                <w:b/>
                <w:sz w:val="20"/>
              </w:rPr>
            </w:pP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 xml:space="preserve">fondovalle </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Metauro</w:t>
            </w:r>
          </w:p>
        </w:tc>
        <w:tc>
          <w:tcPr>
            <w:tcW w:w="988" w:type="pct"/>
          </w:tcPr>
          <w:p w:rsidR="0093431D" w:rsidRPr="00EE55F3" w:rsidRDefault="0093431D" w:rsidP="00BA1F65">
            <w:pPr>
              <w:jc w:val="right"/>
              <w:rPr>
                <w:sz w:val="20"/>
              </w:rPr>
            </w:pPr>
            <w:r w:rsidRPr="00EE55F3">
              <w:rPr>
                <w:sz w:val="20"/>
              </w:rPr>
              <w:t>collinare</w:t>
            </w:r>
          </w:p>
        </w:tc>
        <w:tc>
          <w:tcPr>
            <w:tcW w:w="1094" w:type="pct"/>
          </w:tcPr>
          <w:p w:rsidR="0093431D" w:rsidRPr="00EE55F3" w:rsidRDefault="0093431D" w:rsidP="00BA1F65">
            <w:pPr>
              <w:jc w:val="right"/>
              <w:rPr>
                <w:sz w:val="20"/>
              </w:rPr>
            </w:pPr>
            <w:r w:rsidRPr="00EE55F3">
              <w:rPr>
                <w:sz w:val="20"/>
              </w:rPr>
              <w:t>collinare</w:t>
            </w:r>
          </w:p>
        </w:tc>
        <w:tc>
          <w:tcPr>
            <w:tcW w:w="1094" w:type="pct"/>
          </w:tcPr>
          <w:p w:rsidR="0093431D" w:rsidRPr="00EE55F3" w:rsidRDefault="0093431D" w:rsidP="00BA1F65">
            <w:pPr>
              <w:jc w:val="right"/>
              <w:rPr>
                <w:sz w:val="20"/>
              </w:rPr>
            </w:pPr>
            <w:r w:rsidRPr="00EE55F3">
              <w:rPr>
                <w:sz w:val="20"/>
              </w:rPr>
              <w:t>collinare</w:t>
            </w:r>
          </w:p>
        </w:tc>
        <w:tc>
          <w:tcPr>
            <w:tcW w:w="586" w:type="pct"/>
          </w:tcPr>
          <w:p w:rsidR="0093431D" w:rsidRPr="00EE55F3" w:rsidRDefault="0093431D" w:rsidP="00BA1F65">
            <w:pPr>
              <w:jc w:val="center"/>
              <w:rPr>
                <w:sz w:val="20"/>
              </w:rPr>
            </w:pPr>
            <w:r w:rsidRPr="00EE55F3">
              <w:rPr>
                <w:sz w:val="20"/>
              </w:rPr>
              <w:t>collinare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ZNV</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Cesano</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 xml:space="preserve">collinare </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52"/>
        </w:trPr>
        <w:tc>
          <w:tcPr>
            <w:tcW w:w="791" w:type="pct"/>
          </w:tcPr>
          <w:p w:rsidR="0093431D" w:rsidRPr="00EE55F3" w:rsidRDefault="0093431D" w:rsidP="00BA1F65">
            <w:pPr>
              <w:rPr>
                <w:b/>
                <w:sz w:val="20"/>
              </w:rPr>
            </w:pPr>
            <w:r w:rsidRPr="00EE55F3">
              <w:rPr>
                <w:b/>
                <w:sz w:val="20"/>
              </w:rPr>
              <w:t>Misa</w:t>
            </w: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Misa/Nevola</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collinare</w:t>
            </w:r>
          </w:p>
        </w:tc>
        <w:tc>
          <w:tcPr>
            <w:tcW w:w="1094" w:type="pct"/>
          </w:tcPr>
          <w:p w:rsidR="0093431D" w:rsidRPr="00EE55F3" w:rsidRDefault="0093431D" w:rsidP="00BA1F65">
            <w:pPr>
              <w:jc w:val="right"/>
              <w:rPr>
                <w:sz w:val="20"/>
              </w:rPr>
            </w:pPr>
            <w:r w:rsidRPr="00EE55F3">
              <w:rPr>
                <w:sz w:val="20"/>
              </w:rPr>
              <w:t>collinare</w:t>
            </w:r>
          </w:p>
        </w:tc>
        <w:tc>
          <w:tcPr>
            <w:tcW w:w="586" w:type="pct"/>
          </w:tcPr>
          <w:p w:rsidR="0093431D" w:rsidRPr="00EE55F3" w:rsidRDefault="0093431D" w:rsidP="00BA1F65">
            <w:pPr>
              <w:jc w:val="center"/>
              <w:rPr>
                <w:sz w:val="20"/>
              </w:rPr>
            </w:pPr>
            <w:r w:rsidRPr="00EE55F3">
              <w:rPr>
                <w:sz w:val="20"/>
              </w:rPr>
              <w:t>collinare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190"/>
        </w:trPr>
        <w:tc>
          <w:tcPr>
            <w:tcW w:w="791" w:type="pct"/>
          </w:tcPr>
          <w:p w:rsidR="0093431D" w:rsidRPr="00EE55F3" w:rsidRDefault="0093431D" w:rsidP="00BA1F65">
            <w:pPr>
              <w:rPr>
                <w:b/>
                <w:sz w:val="20"/>
              </w:rPr>
            </w:pP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Esino</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Musone</w:t>
            </w: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52"/>
        </w:trPr>
        <w:tc>
          <w:tcPr>
            <w:tcW w:w="791" w:type="pct"/>
          </w:tcPr>
          <w:p w:rsidR="0093431D" w:rsidRPr="00EE55F3" w:rsidRDefault="0093431D" w:rsidP="00BA1F65">
            <w:pPr>
              <w:rPr>
                <w:b/>
                <w:sz w:val="20"/>
              </w:rPr>
            </w:pPr>
            <w:r w:rsidRPr="00EE55F3">
              <w:rPr>
                <w:b/>
                <w:sz w:val="20"/>
              </w:rPr>
              <w:t>Musone/Aspio</w:t>
            </w: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Potenza</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collinare</w:t>
            </w:r>
          </w:p>
        </w:tc>
        <w:tc>
          <w:tcPr>
            <w:tcW w:w="1094" w:type="pct"/>
          </w:tcPr>
          <w:p w:rsidR="0093431D" w:rsidRPr="00EE55F3" w:rsidRDefault="0093431D" w:rsidP="00BA1F65">
            <w:pPr>
              <w:jc w:val="right"/>
              <w:rPr>
                <w:sz w:val="20"/>
              </w:rPr>
            </w:pPr>
            <w:r w:rsidRPr="00EE55F3">
              <w:rPr>
                <w:sz w:val="20"/>
              </w:rPr>
              <w:t>collinare</w:t>
            </w:r>
          </w:p>
        </w:tc>
        <w:tc>
          <w:tcPr>
            <w:tcW w:w="586" w:type="pct"/>
          </w:tcPr>
          <w:p w:rsidR="0093431D" w:rsidRPr="00EE55F3" w:rsidRDefault="0093431D" w:rsidP="00BA1F65">
            <w:pPr>
              <w:jc w:val="center"/>
              <w:rPr>
                <w:sz w:val="20"/>
              </w:rPr>
            </w:pPr>
            <w:r w:rsidRPr="00EE55F3">
              <w:rPr>
                <w:sz w:val="20"/>
              </w:rPr>
              <w:t>collinare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Chienti</w:t>
            </w: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52"/>
        </w:trPr>
        <w:tc>
          <w:tcPr>
            <w:tcW w:w="791" w:type="pct"/>
          </w:tcPr>
          <w:p w:rsidR="0093431D" w:rsidRPr="00EE55F3" w:rsidRDefault="0093431D" w:rsidP="00BA1F65">
            <w:pPr>
              <w:rPr>
                <w:b/>
                <w:sz w:val="20"/>
              </w:rPr>
            </w:pPr>
            <w:r w:rsidRPr="00EE55F3">
              <w:rPr>
                <w:b/>
                <w:sz w:val="20"/>
              </w:rPr>
              <w:t>Tenna</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Ete Vivo</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r w:rsidRPr="00EE55F3">
              <w:rPr>
                <w:sz w:val="20"/>
              </w:rPr>
              <w:t>fondovalle</w:t>
            </w: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Aso</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38"/>
        </w:trPr>
        <w:tc>
          <w:tcPr>
            <w:tcW w:w="791" w:type="pct"/>
          </w:tcPr>
          <w:p w:rsidR="0093431D" w:rsidRPr="00EE55F3" w:rsidRDefault="0093431D" w:rsidP="00BA1F65">
            <w:pPr>
              <w:rPr>
                <w:b/>
                <w:sz w:val="20"/>
              </w:rPr>
            </w:pPr>
            <w:r w:rsidRPr="00EE55F3">
              <w:rPr>
                <w:b/>
                <w:sz w:val="20"/>
              </w:rPr>
              <w:t>Tesino</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r w:rsidR="0093431D" w:rsidRPr="00EE55F3" w:rsidTr="00BA1F65">
        <w:trPr>
          <w:trHeight w:val="252"/>
        </w:trPr>
        <w:tc>
          <w:tcPr>
            <w:tcW w:w="791" w:type="pct"/>
          </w:tcPr>
          <w:p w:rsidR="0093431D" w:rsidRPr="00EE55F3" w:rsidRDefault="0093431D" w:rsidP="00BA1F65">
            <w:pPr>
              <w:rPr>
                <w:b/>
                <w:sz w:val="20"/>
              </w:rPr>
            </w:pPr>
            <w:r w:rsidRPr="00EE55F3">
              <w:rPr>
                <w:b/>
                <w:sz w:val="20"/>
              </w:rPr>
              <w:t>Tronto</w:t>
            </w:r>
          </w:p>
        </w:tc>
        <w:tc>
          <w:tcPr>
            <w:tcW w:w="988" w:type="pct"/>
          </w:tcPr>
          <w:p w:rsidR="0093431D" w:rsidRPr="00EE55F3" w:rsidRDefault="0093431D" w:rsidP="00BA1F65">
            <w:pPr>
              <w:jc w:val="right"/>
              <w:rPr>
                <w:sz w:val="20"/>
              </w:rPr>
            </w:pPr>
          </w:p>
        </w:tc>
        <w:tc>
          <w:tcPr>
            <w:tcW w:w="1094" w:type="pct"/>
          </w:tcPr>
          <w:p w:rsidR="0093431D" w:rsidRPr="00EE55F3" w:rsidRDefault="0093431D" w:rsidP="00BA1F65">
            <w:pPr>
              <w:jc w:val="right"/>
              <w:rPr>
                <w:sz w:val="20"/>
              </w:rPr>
            </w:pPr>
            <w:r w:rsidRPr="00EE55F3">
              <w:rPr>
                <w:sz w:val="20"/>
              </w:rPr>
              <w:t xml:space="preserve">collinare </w:t>
            </w:r>
          </w:p>
        </w:tc>
        <w:tc>
          <w:tcPr>
            <w:tcW w:w="1094" w:type="pct"/>
          </w:tcPr>
          <w:p w:rsidR="0093431D" w:rsidRPr="00EE55F3" w:rsidRDefault="0093431D" w:rsidP="00BA1F65">
            <w:pPr>
              <w:jc w:val="right"/>
              <w:rPr>
                <w:sz w:val="20"/>
              </w:rPr>
            </w:pPr>
            <w:r w:rsidRPr="00EE55F3">
              <w:rPr>
                <w:sz w:val="20"/>
              </w:rPr>
              <w:t xml:space="preserve">collinare </w:t>
            </w: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p>
        </w:tc>
      </w:tr>
      <w:tr w:rsidR="0093431D" w:rsidRPr="00EE55F3" w:rsidTr="00BA1F65">
        <w:trPr>
          <w:trHeight w:val="252"/>
        </w:trPr>
        <w:tc>
          <w:tcPr>
            <w:tcW w:w="791" w:type="pct"/>
          </w:tcPr>
          <w:p w:rsidR="0093431D" w:rsidRPr="00EE55F3" w:rsidRDefault="0093431D" w:rsidP="00BA1F65">
            <w:pPr>
              <w:rPr>
                <w:b/>
                <w:sz w:val="20"/>
              </w:rPr>
            </w:pPr>
          </w:p>
        </w:tc>
        <w:tc>
          <w:tcPr>
            <w:tcW w:w="988"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r w:rsidRPr="00EE55F3">
              <w:rPr>
                <w:sz w:val="20"/>
              </w:rPr>
              <w:t>fondovalle</w:t>
            </w:r>
          </w:p>
        </w:tc>
        <w:tc>
          <w:tcPr>
            <w:tcW w:w="1094" w:type="pct"/>
          </w:tcPr>
          <w:p w:rsidR="0093431D" w:rsidRPr="00EE55F3" w:rsidRDefault="0093431D" w:rsidP="00BA1F65">
            <w:pPr>
              <w:jc w:val="right"/>
              <w:rPr>
                <w:sz w:val="20"/>
              </w:rPr>
            </w:pPr>
          </w:p>
        </w:tc>
        <w:tc>
          <w:tcPr>
            <w:tcW w:w="586" w:type="pct"/>
          </w:tcPr>
          <w:p w:rsidR="0093431D" w:rsidRPr="00EE55F3" w:rsidRDefault="0093431D" w:rsidP="00BA1F65">
            <w:pPr>
              <w:jc w:val="center"/>
              <w:rPr>
                <w:sz w:val="20"/>
              </w:rPr>
            </w:pPr>
          </w:p>
        </w:tc>
        <w:tc>
          <w:tcPr>
            <w:tcW w:w="448" w:type="pct"/>
          </w:tcPr>
          <w:p w:rsidR="0093431D" w:rsidRPr="00EE55F3" w:rsidRDefault="0093431D" w:rsidP="00BA1F65">
            <w:pPr>
              <w:jc w:val="center"/>
              <w:rPr>
                <w:sz w:val="20"/>
              </w:rPr>
            </w:pPr>
            <w:r w:rsidRPr="00EE55F3">
              <w:rPr>
                <w:sz w:val="20"/>
              </w:rPr>
              <w:t>ZVN</w:t>
            </w:r>
          </w:p>
        </w:tc>
      </w:tr>
    </w:tbl>
    <w:p w:rsidR="0093431D" w:rsidRPr="00E24438" w:rsidRDefault="0093431D" w:rsidP="0093431D">
      <w:pPr>
        <w:pStyle w:val="Corpodeltesto"/>
        <w:numPr>
          <w:ilvl w:val="0"/>
          <w:numId w:val="0"/>
        </w:numPr>
        <w:spacing w:after="120"/>
        <w:rPr>
          <w:szCs w:val="24"/>
        </w:rPr>
      </w:pPr>
      <w:r w:rsidRPr="00E24438">
        <w:rPr>
          <w:szCs w:val="24"/>
        </w:rPr>
        <w:t>Nel corrente anno verranno predisposti i programmi d’aggiornamento ed avviati i monitoraggi sulle acque sotterranee finalizzati alla vulnerazione degli acquiferi da nitrati di origine agricola.</w:t>
      </w:r>
    </w:p>
    <w:p w:rsidR="0093431D" w:rsidRDefault="0093431D" w:rsidP="0093431D">
      <w:pPr>
        <w:pStyle w:val="Corpodeltesto"/>
        <w:numPr>
          <w:ilvl w:val="0"/>
          <w:numId w:val="0"/>
        </w:numPr>
        <w:spacing w:after="120"/>
        <w:rPr>
          <w:szCs w:val="24"/>
        </w:rPr>
      </w:pPr>
      <w:r w:rsidRPr="0008265C">
        <w:rPr>
          <w:szCs w:val="24"/>
        </w:rPr>
        <w:t xml:space="preserve">Il </w:t>
      </w:r>
      <w:r w:rsidRPr="00E24438">
        <w:rPr>
          <w:szCs w:val="24"/>
        </w:rPr>
        <w:t>programma d’azione</w:t>
      </w:r>
      <w:r w:rsidRPr="0008265C">
        <w:rPr>
          <w:szCs w:val="24"/>
        </w:rPr>
        <w:t xml:space="preserve"> della ZVN di origine agricola della </w:t>
      </w:r>
      <w:smartTag w:uri="urn:schemas-microsoft-com:office:smarttags" w:element="PersonName">
        <w:smartTagPr>
          <w:attr w:name="ProductID" w:val="Regione Marche"/>
        </w:smartTagPr>
        <w:r w:rsidRPr="0008265C">
          <w:rPr>
            <w:szCs w:val="24"/>
          </w:rPr>
          <w:t>Regione Marche</w:t>
        </w:r>
      </w:smartTag>
      <w:r w:rsidRPr="0008265C">
        <w:rPr>
          <w:szCs w:val="24"/>
        </w:rPr>
        <w:t xml:space="preserve">, definito nel </w:t>
      </w:r>
      <w:smartTag w:uri="urn:schemas-microsoft-com:office:smarttags" w:element="metricconverter">
        <w:smartTagPr>
          <w:attr w:name="ProductID" w:val="2003, in"/>
        </w:smartTagPr>
        <w:r w:rsidRPr="0008265C">
          <w:rPr>
            <w:szCs w:val="24"/>
          </w:rPr>
          <w:t>2003, in</w:t>
        </w:r>
      </w:smartTag>
      <w:r w:rsidRPr="0008265C">
        <w:rPr>
          <w:szCs w:val="24"/>
        </w:rPr>
        <w:t xml:space="preserve"> assenza, come noto, di linee guida nazionali poi approvate con D.M. del 7 aprile 2006 (GURI n. 109 del 12/5/06), è stato oggetto di osservazioni tecniche per non conformità con </w:t>
      </w:r>
      <w:r>
        <w:rPr>
          <w:szCs w:val="24"/>
        </w:rPr>
        <w:t>l’allegato III della direttiva.</w:t>
      </w:r>
    </w:p>
    <w:p w:rsidR="0093431D" w:rsidRPr="0008265C" w:rsidRDefault="0093431D" w:rsidP="0093431D">
      <w:pPr>
        <w:pStyle w:val="Corpodeltesto"/>
        <w:numPr>
          <w:ilvl w:val="0"/>
          <w:numId w:val="0"/>
        </w:numPr>
        <w:spacing w:after="120"/>
        <w:rPr>
          <w:szCs w:val="24"/>
        </w:rPr>
      </w:pPr>
      <w:r w:rsidRPr="0008265C">
        <w:rPr>
          <w:szCs w:val="24"/>
        </w:rPr>
        <w:t xml:space="preserve">Le osservazioni formulate dalla UE sono state risolte con l’adeguamento al D.M. del 7 aprile 2006 ed in parte motivate in rapporto alle specifiche condizioni pedoclimatiche regionali. </w:t>
      </w:r>
    </w:p>
    <w:p w:rsidR="0093431D" w:rsidRPr="00717785" w:rsidRDefault="0093431D" w:rsidP="0093431D">
      <w:pPr>
        <w:autoSpaceDE w:val="0"/>
        <w:autoSpaceDN w:val="0"/>
        <w:adjustRightInd w:val="0"/>
        <w:jc w:val="both"/>
        <w:rPr>
          <w:szCs w:val="24"/>
        </w:rPr>
      </w:pPr>
      <w:r w:rsidRPr="00717785">
        <w:rPr>
          <w:szCs w:val="24"/>
        </w:rPr>
        <w:t>La Regione Marche, con DGR 1448 del 3/12/2007, ha approvato definitivamente il “Programma d’azione della ZVN di origine agricola della Regione Marche” adeguato alle osservazioni comunitarie ed al decreto ministeriale sopra citato. Gli impegni applicabili a livello di azienda agricola stabiliti nel programma sono stai recepiti dalla Delibera n.1886 del 22 dicembre 2008 che definisce gli impegni obbligatori per il regime di condizionalità 2008 nelle Marche.</w:t>
      </w:r>
    </w:p>
    <w:p w:rsidR="0093431D" w:rsidRPr="00717785" w:rsidRDefault="0093431D" w:rsidP="0093431D">
      <w:pPr>
        <w:autoSpaceDE w:val="0"/>
        <w:autoSpaceDN w:val="0"/>
        <w:adjustRightInd w:val="0"/>
        <w:jc w:val="both"/>
        <w:rPr>
          <w:szCs w:val="24"/>
        </w:rPr>
      </w:pPr>
      <w:r w:rsidRPr="00717785">
        <w:rPr>
          <w:szCs w:val="24"/>
        </w:rPr>
        <w:lastRenderedPageBreak/>
        <w:t xml:space="preserve">Ai sensi della direttiva 2000/60/CE e del Decreto Legislativo 3 aprile 2006 n. 152 </w:t>
      </w:r>
      <w:smartTag w:uri="urn:schemas-microsoft-com:office:smarttags" w:element="PersonName">
        <w:smartTagPr>
          <w:attr w:name="ProductID" w:val="La Regione Marche"/>
        </w:smartTagPr>
        <w:smartTag w:uri="urn:schemas-microsoft-com:office:smarttags" w:element="PersonName">
          <w:smartTagPr>
            <w:attr w:name="ProductID" w:val="La Regione"/>
          </w:smartTagPr>
          <w:r w:rsidRPr="00717785">
            <w:rPr>
              <w:szCs w:val="24"/>
            </w:rPr>
            <w:t>la Regione</w:t>
          </w:r>
        </w:smartTag>
        <w:r w:rsidRPr="00717785">
          <w:rPr>
            <w:szCs w:val="24"/>
          </w:rPr>
          <w:t xml:space="preserve"> Marche</w:t>
        </w:r>
      </w:smartTag>
      <w:r w:rsidRPr="00717785">
        <w:rPr>
          <w:szCs w:val="24"/>
        </w:rPr>
        <w:t xml:space="preserve"> con Delibera di Giunta Regionale n. 1875 del 22/12/2008  ha approvato il Piano di Tutela delle Acque, piano che in seguito a Valutazione Ambientale Strategica (VAS) e Valutazione di Incidenza (VI) ha conseguito il giudizio di compatibilità ambientale positivo.</w:t>
      </w:r>
    </w:p>
    <w:p w:rsidR="0093431D" w:rsidRPr="00717785" w:rsidRDefault="0093431D" w:rsidP="0093431D">
      <w:pPr>
        <w:autoSpaceDE w:val="0"/>
        <w:autoSpaceDN w:val="0"/>
        <w:adjustRightInd w:val="0"/>
        <w:jc w:val="both"/>
        <w:rPr>
          <w:szCs w:val="24"/>
        </w:rPr>
      </w:pPr>
      <w:r w:rsidRPr="00717785">
        <w:rPr>
          <w:szCs w:val="24"/>
        </w:rPr>
        <w:t xml:space="preserve">Il Piano si pone degli obiettivi di tutela qualitativa e quantitativa delle risorse idriche. </w:t>
      </w:r>
    </w:p>
    <w:p w:rsidR="0093431D" w:rsidRPr="00717785" w:rsidRDefault="0093431D" w:rsidP="0093431D">
      <w:pPr>
        <w:autoSpaceDE w:val="0"/>
        <w:autoSpaceDN w:val="0"/>
        <w:adjustRightInd w:val="0"/>
        <w:jc w:val="both"/>
        <w:rPr>
          <w:szCs w:val="24"/>
        </w:rPr>
      </w:pPr>
      <w:r w:rsidRPr="00717785">
        <w:rPr>
          <w:szCs w:val="24"/>
        </w:rPr>
        <w:t>Per le acque superficiali interne, vengono ripresi gli obiettivi sanciti dalla normativa (D.Lgs. 152/06, art. 77 commi 1 e 3) che, al fine di assicurare entro il 22 dicembre 2015 il raggiungimento dell'obiettivo di qualità ambientale corrispondente allo stato di "buono", entro il 31 dicembre 2008 prevedono che ogni corpo idrico superficiale classificato o tratto di esso deve conseguire almeno i requisiti dello stato di "sufficiente", di cui all'Allegato 1 alla parte terza del sopra citato decreto.</w:t>
      </w:r>
    </w:p>
    <w:p w:rsidR="0093431D" w:rsidRPr="00717785" w:rsidRDefault="0093431D" w:rsidP="0093431D">
      <w:pPr>
        <w:autoSpaceDE w:val="0"/>
        <w:autoSpaceDN w:val="0"/>
        <w:adjustRightInd w:val="0"/>
        <w:jc w:val="both"/>
        <w:rPr>
          <w:szCs w:val="24"/>
        </w:rPr>
      </w:pPr>
      <w:r w:rsidRPr="00717785">
        <w:rPr>
          <w:szCs w:val="24"/>
        </w:rPr>
        <w:t xml:space="preserve">Per le acque superficiali marino costiere, il PTA riprende l’art. 77 comma 3 del D.lgs. 152/06, il quale stabilisce che l’obiettivo di qualità “buono”, deve essere raggiunto entro il 22 dicembre 2015, e che nel frattempo, entro il 31 dicembre 2008, sia raggiunto lo stato di qualità “sufficiente”. </w:t>
      </w:r>
    </w:p>
    <w:p w:rsidR="0093431D" w:rsidRPr="00717785" w:rsidRDefault="0093431D" w:rsidP="0093431D">
      <w:pPr>
        <w:autoSpaceDE w:val="0"/>
        <w:autoSpaceDN w:val="0"/>
        <w:adjustRightInd w:val="0"/>
        <w:jc w:val="both"/>
        <w:rPr>
          <w:szCs w:val="24"/>
        </w:rPr>
      </w:pPr>
      <w:r w:rsidRPr="00717785">
        <w:rPr>
          <w:szCs w:val="24"/>
        </w:rPr>
        <w:t>I dati presenti nelle parti A e B del Piano, mostrano che, per i 15 transetti di mare individuati, non sono state registrate negli anni considerati classi di qualità scadente: pertanto l’obiettivo intermedio posto dalla normativa risulta raggiunto.</w:t>
      </w:r>
    </w:p>
    <w:p w:rsidR="0093431D" w:rsidRPr="00717785" w:rsidRDefault="0093431D" w:rsidP="0093431D">
      <w:pPr>
        <w:autoSpaceDE w:val="0"/>
        <w:autoSpaceDN w:val="0"/>
        <w:adjustRightInd w:val="0"/>
        <w:jc w:val="both"/>
        <w:rPr>
          <w:szCs w:val="24"/>
        </w:rPr>
      </w:pPr>
      <w:r w:rsidRPr="00717785">
        <w:rPr>
          <w:szCs w:val="24"/>
        </w:rPr>
        <w:t>Per le acque sotterranee gli obiettivi di qualità ambientale, da conseguire entro il 22/12/2015, sono i seguenti:</w:t>
      </w:r>
    </w:p>
    <w:p w:rsidR="0093431D" w:rsidRPr="00717785" w:rsidRDefault="0093431D" w:rsidP="0093431D">
      <w:pPr>
        <w:autoSpaceDE w:val="0"/>
        <w:autoSpaceDN w:val="0"/>
        <w:adjustRightInd w:val="0"/>
        <w:jc w:val="both"/>
        <w:rPr>
          <w:szCs w:val="24"/>
        </w:rPr>
      </w:pPr>
      <w:r w:rsidRPr="00717785">
        <w:rPr>
          <w:szCs w:val="24"/>
        </w:rPr>
        <w:t>a) mantenere o raggiungere l’obiettivo di qualità ambientale corrispondente allo stato di “buono”;</w:t>
      </w:r>
    </w:p>
    <w:p w:rsidR="0093431D" w:rsidRPr="00717785" w:rsidRDefault="0093431D" w:rsidP="0093431D">
      <w:pPr>
        <w:autoSpaceDE w:val="0"/>
        <w:autoSpaceDN w:val="0"/>
        <w:adjustRightInd w:val="0"/>
        <w:jc w:val="both"/>
        <w:rPr>
          <w:szCs w:val="24"/>
        </w:rPr>
      </w:pPr>
      <w:r w:rsidRPr="00717785">
        <w:rPr>
          <w:szCs w:val="24"/>
        </w:rPr>
        <w:t>b) mantenere, ove già esistente, lo stato di qualità ambientale “elevato”.</w:t>
      </w:r>
    </w:p>
    <w:p w:rsidR="0093431D" w:rsidRPr="00717785" w:rsidRDefault="0093431D" w:rsidP="0093431D">
      <w:pPr>
        <w:pStyle w:val="Corpodeltesto"/>
        <w:numPr>
          <w:ilvl w:val="0"/>
          <w:numId w:val="0"/>
        </w:numPr>
        <w:spacing w:after="120"/>
        <w:rPr>
          <w:szCs w:val="24"/>
        </w:rPr>
      </w:pPr>
      <w:r w:rsidRPr="00717785">
        <w:rPr>
          <w:szCs w:val="24"/>
        </w:rPr>
        <w:t>Lo stato qualitativo delle acque sotterranee mostra una sostanziale differenza in termini di classi di qualità tra la fascia montana e quella costiera. L’applicazione del PTA dovrebbe portare ad un sostanziale miglioramento della qualità delle acque sotterranee nella fascia basso collinare – costiera e al mantenimento delle classi di qualità delle acque sotterranee della fascia montana (prevalentemente “elevato” e “buono”).</w:t>
      </w:r>
    </w:p>
    <w:p w:rsidR="0093431D" w:rsidRDefault="0093431D" w:rsidP="0093431D">
      <w:pPr>
        <w:pStyle w:val="Corpodeltesto"/>
        <w:numPr>
          <w:ilvl w:val="0"/>
          <w:numId w:val="0"/>
        </w:numPr>
        <w:spacing w:after="120"/>
        <w:rPr>
          <w:szCs w:val="24"/>
        </w:rPr>
      </w:pPr>
      <w:r w:rsidRPr="00E24438">
        <w:rPr>
          <w:szCs w:val="24"/>
        </w:rPr>
        <w:t xml:space="preserve">Il Programma d’azione del </w:t>
      </w:r>
      <w:smartTag w:uri="urn:schemas-microsoft-com:office:smarttags" w:element="metricconverter">
        <w:smartTagPr>
          <w:attr w:name="ProductID" w:val="2003 ha"/>
        </w:smartTagPr>
        <w:r w:rsidRPr="00E24438">
          <w:rPr>
            <w:szCs w:val="24"/>
          </w:rPr>
          <w:t>2003 ha</w:t>
        </w:r>
      </w:smartTag>
      <w:r w:rsidRPr="00E24438">
        <w:rPr>
          <w:szCs w:val="24"/>
        </w:rPr>
        <w:t xml:space="preserve"> visto una prima fase di informazione e divulgazione, prima verso i tecnici delle organizzazioni professionali agrico</w:t>
      </w:r>
      <w:r>
        <w:rPr>
          <w:szCs w:val="24"/>
        </w:rPr>
        <w:t>le e poi verso gli agricoltori.</w:t>
      </w:r>
    </w:p>
    <w:p w:rsidR="0093431D" w:rsidRDefault="0093431D" w:rsidP="0093431D">
      <w:pPr>
        <w:pStyle w:val="Corpodeltesto"/>
        <w:numPr>
          <w:ilvl w:val="0"/>
          <w:numId w:val="0"/>
        </w:numPr>
        <w:spacing w:after="120"/>
        <w:rPr>
          <w:szCs w:val="24"/>
        </w:rPr>
      </w:pPr>
      <w:r w:rsidRPr="00E24438">
        <w:rPr>
          <w:szCs w:val="24"/>
        </w:rPr>
        <w:t xml:space="preserve">Dal 2005, nell’ambito </w:t>
      </w:r>
      <w:smartTag w:uri="urn:schemas-microsoft-com:office:smarttags" w:element="PersonName">
        <w:r w:rsidRPr="00E24438">
          <w:rPr>
            <w:szCs w:val="24"/>
          </w:rPr>
          <w:t>del re</w:t>
        </w:r>
      </w:smartTag>
      <w:r w:rsidRPr="00E24438">
        <w:rPr>
          <w:szCs w:val="24"/>
        </w:rPr>
        <w:t>gime di condizionalità che è stato introdotto con il disaccoppiamento della Politica Agricola Comune, gli agricoltori/allevatori sono stati ulteriormente informati che la mancata osservazione dell’atto A4, relativo alla direttiva nitrati, può essere sanzionato da AGEA mediante detrazione li</w:t>
      </w:r>
      <w:r>
        <w:rPr>
          <w:szCs w:val="24"/>
        </w:rPr>
        <w:t>neare del premio PAC spettante.</w:t>
      </w:r>
    </w:p>
    <w:p w:rsidR="0093431D" w:rsidRDefault="0093431D" w:rsidP="0093431D">
      <w:pPr>
        <w:pStyle w:val="Corpodeltesto"/>
        <w:numPr>
          <w:ilvl w:val="0"/>
          <w:numId w:val="0"/>
        </w:numPr>
        <w:spacing w:after="120"/>
        <w:rPr>
          <w:szCs w:val="24"/>
        </w:rPr>
      </w:pPr>
      <w:r w:rsidRPr="00E24438">
        <w:rPr>
          <w:szCs w:val="24"/>
        </w:rPr>
        <w:t xml:space="preserve">Con </w:t>
      </w:r>
      <w:smartTag w:uri="urn:schemas-microsoft-com:office:smarttags" w:element="PersonName">
        <w:smartTagPr>
          <w:attr w:name="ProductID" w:val="la DGR"/>
        </w:smartTagPr>
        <w:r w:rsidRPr="00E24438">
          <w:rPr>
            <w:szCs w:val="24"/>
          </w:rPr>
          <w:t>la DGR</w:t>
        </w:r>
      </w:smartTag>
      <w:r w:rsidRPr="00E24438">
        <w:rPr>
          <w:szCs w:val="24"/>
        </w:rPr>
        <w:t xml:space="preserve"> n. 159 del 20 febbraio 2006 (BURM n. 25 del 2/3/2006) relativa all’applicazione </w:t>
      </w:r>
      <w:smartTag w:uri="urn:schemas-microsoft-com:office:smarttags" w:element="PersonName">
        <w:r w:rsidRPr="00E24438">
          <w:rPr>
            <w:szCs w:val="24"/>
          </w:rPr>
          <w:t>del re</w:t>
        </w:r>
      </w:smartTag>
      <w:r w:rsidRPr="00E24438">
        <w:rPr>
          <w:szCs w:val="24"/>
        </w:rPr>
        <w:t xml:space="preserve">gime di condizionalità della PAC nella Regione Marche per l’anno 2007 è stato introdotto l’obbligo di tenuta e compilazione del “Registro trattamenti e fertilizzazioni effettuati” che ha consentito di rilevare e controllare la fertilizzazione nelle zone vulnerabili da nitrati (ZVN) stante l’obbligo di non superare </w:t>
      </w:r>
      <w:smartTag w:uri="urn:schemas-microsoft-com:office:smarttags" w:element="metricconverter">
        <w:smartTagPr>
          <w:attr w:name="ProductID" w:val="170 kg"/>
        </w:smartTagPr>
        <w:r w:rsidRPr="00E24438">
          <w:rPr>
            <w:szCs w:val="24"/>
          </w:rPr>
          <w:t>170 kg</w:t>
        </w:r>
      </w:smartTag>
      <w:r w:rsidRPr="00E24438">
        <w:rPr>
          <w:szCs w:val="24"/>
        </w:rPr>
        <w:t xml:space="preserve"> di azo</w:t>
      </w:r>
      <w:r>
        <w:rPr>
          <w:szCs w:val="24"/>
        </w:rPr>
        <w:t>to/ha/anno come media aziendale</w:t>
      </w:r>
      <w:r w:rsidRPr="00E24438">
        <w:rPr>
          <w:szCs w:val="24"/>
        </w:rPr>
        <w:t>.</w:t>
      </w:r>
    </w:p>
    <w:p w:rsidR="0093431D" w:rsidRDefault="0093431D" w:rsidP="0093431D">
      <w:pPr>
        <w:pStyle w:val="Corpodeltesto"/>
        <w:numPr>
          <w:ilvl w:val="0"/>
          <w:numId w:val="0"/>
        </w:numPr>
        <w:spacing w:after="120"/>
        <w:rPr>
          <w:szCs w:val="24"/>
        </w:rPr>
      </w:pPr>
      <w:r w:rsidRPr="00E24438">
        <w:rPr>
          <w:szCs w:val="24"/>
        </w:rPr>
        <w:t xml:space="preserve">Gli allevatori sono stati quindi informati sulla necessità di adeguare, ove necessario, le proprie strutture di stoccaggio degli effluenti zootecnici alle nuove norme e a tale scopo </w:t>
      </w:r>
      <w:smartTag w:uri="urn:schemas-microsoft-com:office:smarttags" w:element="PersonName">
        <w:smartTagPr>
          <w:attr w:name="ProductID" w:val="la Misura"/>
        </w:smartTagPr>
        <w:r w:rsidRPr="00E24438">
          <w:rPr>
            <w:szCs w:val="24"/>
          </w:rPr>
          <w:t>la Misura</w:t>
        </w:r>
      </w:smartTag>
      <w:r w:rsidRPr="00E24438">
        <w:rPr>
          <w:szCs w:val="24"/>
        </w:rPr>
        <w:t xml:space="preserve"> “A” del PSR-Marche 2000-</w:t>
      </w:r>
      <w:smartTag w:uri="urn:schemas-microsoft-com:office:smarttags" w:element="metricconverter">
        <w:smartTagPr>
          <w:attr w:name="ProductID" w:val="2006 ha"/>
        </w:smartTagPr>
        <w:r w:rsidRPr="00E24438">
          <w:rPr>
            <w:szCs w:val="24"/>
          </w:rPr>
          <w:t>2006 ha</w:t>
        </w:r>
      </w:smartTag>
      <w:r w:rsidRPr="00E24438">
        <w:rPr>
          <w:szCs w:val="24"/>
        </w:rPr>
        <w:t xml:space="preserve"> previsto priorità per detti miglioramenti aziendali; uno specifico bando regionale emanato ai sensi degli articoli 3 e 9 della L.R. 27/2003 ha operato in tal senso.</w:t>
      </w:r>
    </w:p>
    <w:p w:rsidR="0093431D" w:rsidRDefault="0093431D" w:rsidP="0093431D">
      <w:pPr>
        <w:pStyle w:val="Corpodeltesto"/>
        <w:numPr>
          <w:ilvl w:val="0"/>
          <w:numId w:val="0"/>
        </w:numPr>
        <w:spacing w:after="120"/>
        <w:rPr>
          <w:szCs w:val="24"/>
        </w:rPr>
      </w:pPr>
      <w:r w:rsidRPr="00E24438">
        <w:rPr>
          <w:szCs w:val="24"/>
        </w:rPr>
        <w:t>Detti canali di finanziamento sono stati anche utilizzati per l’acquisto di attrezzatura per lo spandimento dei liquami secondo l’indicazione di privilegiare l’iniezione diretta nei terreni anz</w:t>
      </w:r>
      <w:r>
        <w:rPr>
          <w:szCs w:val="24"/>
        </w:rPr>
        <w:t>iché lo spandimento a pressione</w:t>
      </w:r>
      <w:r w:rsidRPr="00E24438">
        <w:rPr>
          <w:szCs w:val="24"/>
        </w:rPr>
        <w:t>.</w:t>
      </w:r>
    </w:p>
    <w:p w:rsidR="0093431D" w:rsidRDefault="0093431D" w:rsidP="0093431D">
      <w:pPr>
        <w:pStyle w:val="Corpodeltesto"/>
        <w:numPr>
          <w:ilvl w:val="0"/>
          <w:numId w:val="0"/>
        </w:numPr>
        <w:spacing w:after="120"/>
        <w:rPr>
          <w:szCs w:val="24"/>
        </w:rPr>
      </w:pPr>
      <w:r w:rsidRPr="00E24438">
        <w:rPr>
          <w:szCs w:val="24"/>
        </w:rPr>
        <w:t xml:space="preserve">Gli allevatori hanno quindi continuato ad effettuare comunicazione ai Comuni prima degli spandimenti degli effluenti e ad organizzare la loro situazione aziendale per ottimizzare l’utilizzo dei liquami e dei letami </w:t>
      </w:r>
      <w:r>
        <w:rPr>
          <w:szCs w:val="24"/>
        </w:rPr>
        <w:t>così come è stato loro indicato</w:t>
      </w:r>
      <w:r w:rsidRPr="00E24438">
        <w:rPr>
          <w:szCs w:val="24"/>
        </w:rPr>
        <w:t>.</w:t>
      </w:r>
    </w:p>
    <w:p w:rsidR="0093431D" w:rsidRDefault="0093431D" w:rsidP="0093431D">
      <w:pPr>
        <w:pStyle w:val="Corpodeltesto"/>
        <w:numPr>
          <w:ilvl w:val="0"/>
          <w:numId w:val="0"/>
        </w:numPr>
        <w:spacing w:after="120"/>
        <w:rPr>
          <w:szCs w:val="24"/>
        </w:rPr>
      </w:pPr>
      <w:r w:rsidRPr="00E24438">
        <w:rPr>
          <w:szCs w:val="24"/>
        </w:rPr>
        <w:t xml:space="preserve">Le specifiche azioni di informazione e assistenza tecnica verso gli allevatori sono state compiute dai servizi tecnici regionali, dal Servizio Suoli dell’ASSAM, dal Servizio Veterinario, dal Servizio </w:t>
      </w:r>
      <w:r w:rsidRPr="00E24438">
        <w:rPr>
          <w:szCs w:val="24"/>
        </w:rPr>
        <w:lastRenderedPageBreak/>
        <w:t>Ambiente e dalle organizzazioni professionali agricole mediante mirati programmi di assistenza tecnica finan</w:t>
      </w:r>
      <w:r>
        <w:rPr>
          <w:szCs w:val="24"/>
        </w:rPr>
        <w:t>ziati ai sensi della L.R. 37/99</w:t>
      </w:r>
      <w:r w:rsidRPr="00E24438">
        <w:rPr>
          <w:szCs w:val="24"/>
        </w:rPr>
        <w:t>.</w:t>
      </w:r>
    </w:p>
    <w:p w:rsidR="0093431D" w:rsidRDefault="0093431D" w:rsidP="0093431D">
      <w:pPr>
        <w:pStyle w:val="Corpodeltesto"/>
        <w:numPr>
          <w:ilvl w:val="0"/>
          <w:numId w:val="0"/>
        </w:numPr>
        <w:spacing w:after="120"/>
        <w:rPr>
          <w:szCs w:val="24"/>
        </w:rPr>
      </w:pPr>
      <w:r w:rsidRPr="00E24438">
        <w:rPr>
          <w:szCs w:val="24"/>
        </w:rPr>
        <w:t>Con i Servizi Ambiente e Veterinario è stata rinforzata la collaborazione al fine di meglio rispondere come istituzioni pubbliche alle incombenze recati agli allevatori</w:t>
      </w:r>
      <w:r>
        <w:rPr>
          <w:szCs w:val="24"/>
        </w:rPr>
        <w:t>.</w:t>
      </w:r>
    </w:p>
    <w:p w:rsidR="0093431D" w:rsidRPr="00E24438" w:rsidRDefault="0093431D" w:rsidP="0093431D">
      <w:pPr>
        <w:pStyle w:val="Corpodeltesto"/>
        <w:numPr>
          <w:ilvl w:val="0"/>
          <w:numId w:val="0"/>
        </w:numPr>
        <w:spacing w:after="120"/>
        <w:rPr>
          <w:szCs w:val="24"/>
        </w:rPr>
      </w:pPr>
      <w:r>
        <w:rPr>
          <w:szCs w:val="24"/>
        </w:rPr>
        <w:t>A</w:t>
      </w:r>
      <w:r w:rsidRPr="00E24438">
        <w:rPr>
          <w:szCs w:val="24"/>
        </w:rPr>
        <w:t xml:space="preserve">nche l’ARPAM ed il Corpo Forestale dello Stato sono stati in qualche modo coinvolti per l’azione preventiva di informazione cui è seguita comunque l’azione repressiva verso situazione di non conformità alla corretta applicazione della direttiva nitrati.  </w:t>
      </w:r>
    </w:p>
    <w:p w:rsidR="0093431D" w:rsidRPr="00E24438" w:rsidRDefault="0093431D" w:rsidP="0093431D">
      <w:pPr>
        <w:pStyle w:val="Corpodeltesto"/>
        <w:numPr>
          <w:ilvl w:val="0"/>
          <w:numId w:val="0"/>
        </w:numPr>
        <w:spacing w:after="120"/>
        <w:rPr>
          <w:szCs w:val="24"/>
        </w:rPr>
      </w:pPr>
      <w:r w:rsidRPr="00E24438">
        <w:rPr>
          <w:szCs w:val="24"/>
        </w:rPr>
        <w:t>L’implementazione delle attività, funzionali alla verifica e all’aggiornamento dell’attuale individuazione delle ZVN, è rappresentata da un ulteriore monitoraggio conoscitivo delle acque sotterranee, dall’individuazione territoriale delle pressioni agricole, dalla conoscenza della caratterizzazione quantitativa dei corpi idrici e dall’approfondimento degli aspetti idrogeologici, pedologici e dalla correlazione con le variazioni climatiche.</w:t>
      </w:r>
    </w:p>
    <w:p w:rsidR="0093431D" w:rsidRPr="00E24438" w:rsidRDefault="0093431D" w:rsidP="0093431D">
      <w:pPr>
        <w:pStyle w:val="Corpodeltesto"/>
        <w:numPr>
          <w:ilvl w:val="0"/>
          <w:numId w:val="0"/>
        </w:numPr>
        <w:spacing w:after="120"/>
        <w:rPr>
          <w:szCs w:val="24"/>
        </w:rPr>
      </w:pPr>
      <w:r w:rsidRPr="00E24438">
        <w:rPr>
          <w:szCs w:val="24"/>
        </w:rPr>
        <w:t>Ai sensi del Decreto Legislativo 3 aprile 2006 n. 152, si prevede di adottare il Piano di Tutela delle Acque entro l’anno, nel rispetto dei contenuti previsti al comma 4 dell’art. 121 dello stesso decreto.</w:t>
      </w:r>
    </w:p>
    <w:p w:rsidR="0093431D" w:rsidRPr="00E24438" w:rsidRDefault="0093431D" w:rsidP="0093431D">
      <w:pPr>
        <w:pStyle w:val="Corpodeltesto"/>
        <w:numPr>
          <w:ilvl w:val="0"/>
          <w:numId w:val="0"/>
        </w:numPr>
        <w:spacing w:after="120"/>
        <w:rPr>
          <w:szCs w:val="24"/>
        </w:rPr>
      </w:pPr>
      <w:r w:rsidRPr="00E24438">
        <w:rPr>
          <w:szCs w:val="24"/>
        </w:rPr>
        <w:t>Per l’attuazione della direttiva nitrati è anche necessario prevedere aiuti per compensare, almeno in parte, la perdita di reddito all’agricoltore derivante dall’applicazione delle norme obbligatorie e volontarie previste nel programma di azione.</w:t>
      </w:r>
    </w:p>
    <w:p w:rsidR="0093431D" w:rsidRDefault="0093431D" w:rsidP="0093431D">
      <w:pPr>
        <w:pStyle w:val="Corpodeltesto"/>
        <w:rPr>
          <w:bCs/>
        </w:rPr>
      </w:pPr>
    </w:p>
    <w:p w:rsidR="0093431D" w:rsidRDefault="0093431D" w:rsidP="0093431D">
      <w:pPr>
        <w:pStyle w:val="Corpodeltesto"/>
        <w:rPr>
          <w:bCs/>
        </w:rPr>
      </w:pPr>
    </w:p>
    <w:p w:rsidR="0093431D" w:rsidRDefault="0093431D" w:rsidP="0093431D">
      <w:pPr>
        <w:pStyle w:val="Corpodeltesto"/>
        <w:spacing w:after="240"/>
        <w:rPr>
          <w:bCs/>
        </w:rPr>
      </w:pPr>
      <w:r w:rsidRPr="00E24438">
        <w:rPr>
          <w:b/>
          <w:highlight w:val="lightGray"/>
        </w:rPr>
        <w:t xml:space="preserve">Fig. XX </w:t>
      </w:r>
      <w:r>
        <w:rPr>
          <w:b/>
          <w:highlight w:val="lightGray"/>
        </w:rPr>
        <w:t xml:space="preserve">– </w:t>
      </w:r>
      <w:r w:rsidRPr="00E24438">
        <w:rPr>
          <w:b/>
          <w:highlight w:val="lightGray"/>
        </w:rPr>
        <w:t>ZONE VULNERABILI DA NITRATI DI ORIGINE AGRICOLA – Regione Marche Scala 1:250.000</w:t>
      </w:r>
    </w:p>
    <w:p w:rsidR="0093431D" w:rsidRDefault="0093431D" w:rsidP="0093431D">
      <w:pPr>
        <w:pStyle w:val="Corpodeltesto"/>
        <w:rPr>
          <w:bCs/>
        </w:rPr>
      </w:pPr>
    </w:p>
    <w:p w:rsidR="0093431D" w:rsidRPr="00C9278B" w:rsidRDefault="0093431D" w:rsidP="0093431D">
      <w:pPr>
        <w:pStyle w:val="Corpodeltesto"/>
        <w:rPr>
          <w:bCs/>
        </w:rPr>
      </w:pPr>
      <w:r>
        <w:rPr>
          <w:bCs/>
          <w:noProof/>
        </w:rPr>
        <w:lastRenderedPageBreak/>
        <w:drawing>
          <wp:inline distT="0" distB="0" distL="0" distR="0">
            <wp:extent cx="6115050" cy="5705475"/>
            <wp:effectExtent l="19050" t="0" r="0" b="0"/>
            <wp:docPr id="6" name="Immagine 6" descr="Immagin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magine3"/>
                    <pic:cNvPicPr>
                      <a:picLocks noChangeAspect="1" noChangeArrowheads="1"/>
                    </pic:cNvPicPr>
                  </pic:nvPicPr>
                  <pic:blipFill>
                    <a:blip r:embed="rId13"/>
                    <a:srcRect/>
                    <a:stretch>
                      <a:fillRect/>
                    </a:stretch>
                  </pic:blipFill>
                  <pic:spPr bwMode="auto">
                    <a:xfrm>
                      <a:off x="0" y="0"/>
                      <a:ext cx="6115050" cy="5705475"/>
                    </a:xfrm>
                    <a:prstGeom prst="rect">
                      <a:avLst/>
                    </a:prstGeom>
                    <a:noFill/>
                    <a:ln w="9525">
                      <a:noFill/>
                      <a:miter lim="800000"/>
                      <a:headEnd/>
                      <a:tailEnd/>
                    </a:ln>
                  </pic:spPr>
                </pic:pic>
              </a:graphicData>
            </a:graphic>
          </wp:inline>
        </w:drawing>
      </w:r>
    </w:p>
    <w:p w:rsidR="0093431D" w:rsidRDefault="0093431D" w:rsidP="0093431D">
      <w:pPr>
        <w:pStyle w:val="Fonte"/>
        <w:spacing w:before="240" w:after="480"/>
      </w:pPr>
      <w:r w:rsidRPr="008F6E98">
        <w:t xml:space="preserve">Fonte : </w:t>
      </w:r>
      <w:r>
        <w:t>Dati</w:t>
      </w:r>
      <w:r w:rsidRPr="008F6E98">
        <w:t xml:space="preserve"> </w:t>
      </w:r>
      <w:r>
        <w:t>Regione Marche</w:t>
      </w:r>
    </w:p>
    <w:p w:rsidR="0093431D" w:rsidRPr="003D45A2" w:rsidRDefault="0093431D" w:rsidP="0093431D">
      <w:pPr>
        <w:pStyle w:val="Titolo4"/>
      </w:pPr>
      <w:bookmarkStart w:id="1" w:name="_Toc157478369"/>
      <w:r>
        <w:t>C</w:t>
      </w:r>
      <w:r w:rsidRPr="003D45A2">
        <w:t>ambiament</w:t>
      </w:r>
      <w:r>
        <w:t>i</w:t>
      </w:r>
      <w:r w:rsidRPr="003D45A2">
        <w:t xml:space="preserve"> climatic</w:t>
      </w:r>
      <w:bookmarkEnd w:id="1"/>
      <w:r>
        <w:t>i ed emissioni</w:t>
      </w:r>
      <w:r w:rsidRPr="003D45A2">
        <w:t xml:space="preserve"> </w:t>
      </w:r>
    </w:p>
    <w:p w:rsidR="0093431D" w:rsidRPr="00717785" w:rsidRDefault="0093431D" w:rsidP="0093431D">
      <w:pPr>
        <w:spacing w:after="120"/>
        <w:jc w:val="both"/>
        <w:rPr>
          <w:b/>
          <w:szCs w:val="24"/>
          <w:u w:val="single"/>
        </w:rPr>
      </w:pPr>
      <w:bookmarkStart w:id="2" w:name="OLE_LINK1"/>
      <w:r w:rsidRPr="00717785">
        <w:rPr>
          <w:b/>
          <w:szCs w:val="24"/>
          <w:u w:val="single"/>
        </w:rPr>
        <w:t>I cambiamenti climatici</w:t>
      </w:r>
    </w:p>
    <w:p w:rsidR="0093431D" w:rsidRPr="00717785" w:rsidRDefault="0093431D" w:rsidP="0093431D">
      <w:pPr>
        <w:jc w:val="both"/>
        <w:rPr>
          <w:szCs w:val="24"/>
        </w:rPr>
      </w:pPr>
      <w:r w:rsidRPr="00717785">
        <w:rPr>
          <w:szCs w:val="24"/>
        </w:rPr>
        <w:t>Recenti studi e analisi condotti a livello UE</w:t>
      </w:r>
      <w:r w:rsidRPr="00717785">
        <w:rPr>
          <w:rStyle w:val="Rimandonotaapidipagina"/>
          <w:szCs w:val="24"/>
        </w:rPr>
        <w:footnoteReference w:id="4"/>
      </w:r>
      <w:r w:rsidRPr="00717785">
        <w:rPr>
          <w:szCs w:val="24"/>
        </w:rPr>
        <w:t xml:space="preserve"> confermano la realtà del fenomeno del cambiamento climatico globale, caratterizzato da aumento delle temperature, innalzamento del livello dei mari, scioglimento dei ghiacci, mutamento di intensità e frequenza delle precipitazioni e incremento di eventi climatici estremi. In Europa l’incremento della temperatura è stato più elevato rispetto al dato medio globale, che registra un incremento di 0,8° C rispetto al livello pre-industriale, con una maggiore frequenza e intensità negli ultimi 50 anni di eventi estremi collegati a elevate temperature che a temperature basse. La previsione è quella di una prosecuzione di questo </w:t>
      </w:r>
      <w:r w:rsidRPr="00717785">
        <w:rPr>
          <w:i/>
          <w:szCs w:val="24"/>
        </w:rPr>
        <w:t>trend</w:t>
      </w:r>
      <w:r w:rsidRPr="00717785">
        <w:rPr>
          <w:szCs w:val="24"/>
        </w:rPr>
        <w:t xml:space="preserve">; con ulteriori incrementi delle temperature tra 1.0 e </w:t>
      </w:r>
      <w:smartTag w:uri="urn:schemas-microsoft-com:office:smarttags" w:element="metricconverter">
        <w:smartTagPr>
          <w:attr w:name="ProductID" w:val="5,5ﾰC"/>
        </w:smartTagPr>
        <w:r w:rsidRPr="00717785">
          <w:rPr>
            <w:szCs w:val="24"/>
          </w:rPr>
          <w:t>5,5°C</w:t>
        </w:r>
      </w:smartTag>
      <w:r w:rsidRPr="00717785">
        <w:rPr>
          <w:szCs w:val="24"/>
        </w:rPr>
        <w:t xml:space="preserve"> per la fine del secolo</w:t>
      </w:r>
      <w:r w:rsidRPr="00717785">
        <w:rPr>
          <w:rStyle w:val="Rimandonotaapidipagina"/>
          <w:szCs w:val="24"/>
        </w:rPr>
        <w:footnoteReference w:id="5"/>
      </w:r>
      <w:r w:rsidRPr="00717785">
        <w:rPr>
          <w:szCs w:val="24"/>
        </w:rPr>
        <w:t xml:space="preserve">. </w:t>
      </w:r>
    </w:p>
    <w:p w:rsidR="0093431D" w:rsidRPr="00717785" w:rsidRDefault="0093431D" w:rsidP="0093431D">
      <w:pPr>
        <w:jc w:val="both"/>
        <w:rPr>
          <w:szCs w:val="24"/>
        </w:rPr>
      </w:pPr>
      <w:r w:rsidRPr="00717785">
        <w:rPr>
          <w:szCs w:val="24"/>
        </w:rPr>
        <w:lastRenderedPageBreak/>
        <w:t>Le aree europee maggiormente coinvolte dai cambiamenti climatici sono quella mediterranea, il nord-est e le aree montane. Nella regione mediterranea, tra gli impatti passati e previsti e gli effetti sui settori economici vengono menzionati</w:t>
      </w:r>
      <w:r w:rsidRPr="00717785">
        <w:rPr>
          <w:rStyle w:val="Rimandonotaapidipagina"/>
          <w:szCs w:val="24"/>
        </w:rPr>
        <w:footnoteReference w:id="6"/>
      </w:r>
      <w:r w:rsidRPr="00717785">
        <w:rPr>
          <w:szCs w:val="24"/>
        </w:rPr>
        <w:t>: diminuzione delle precipitazioni e della portata dei corsi d’acqua, aumento degli incendi, diminuzione dei rendimenti delle colture, incremento della domanda di acqua da parte dell’agricoltura, aumento del rischio di desertificazione, diminuzione dell’energia idroelettrica, maggiore rischio di perdita di biodiversità. Le temperature dell’area aumenteranno di 3-</w:t>
      </w:r>
      <w:smartTag w:uri="urn:schemas-microsoft-com:office:smarttags" w:element="metricconverter">
        <w:smartTagPr>
          <w:attr w:name="ProductID" w:val="3,5ﾰC"/>
        </w:smartTagPr>
        <w:r w:rsidRPr="00717785">
          <w:rPr>
            <w:szCs w:val="24"/>
          </w:rPr>
          <w:t>3,5°C</w:t>
        </w:r>
      </w:smartTag>
      <w:r w:rsidRPr="00717785">
        <w:rPr>
          <w:szCs w:val="24"/>
        </w:rPr>
        <w:t xml:space="preserve"> per la fine del ventunesimo secolo rispetto ai dati della fine del ventesimo; sempre nella stessa area le precipitazioni diminuiranno nello stesso periodo tra il 10 e il 15%. </w:t>
      </w:r>
    </w:p>
    <w:p w:rsidR="0093431D" w:rsidRPr="00717785" w:rsidRDefault="0093431D" w:rsidP="0093431D">
      <w:pPr>
        <w:autoSpaceDE w:val="0"/>
        <w:autoSpaceDN w:val="0"/>
        <w:adjustRightInd w:val="0"/>
        <w:jc w:val="both"/>
        <w:rPr>
          <w:szCs w:val="24"/>
        </w:rPr>
      </w:pPr>
      <w:r w:rsidRPr="00717785">
        <w:rPr>
          <w:szCs w:val="24"/>
        </w:rPr>
        <w:t>L’agricoltura e lo sviluppo rurale infatti sono direttamente interessati dalle conseguenze dei cambiamenti climatici, quali l’aumento della temperatura media, l’incremento di fenomeno meteorologici estremi, la diminuzione delle risorse idriche, la riduzione della biodiversità e il degrado degli ecosistemi. Nonostante l’agricoltura europea abbia contribuito più di altri settori a limitare le emissioni di gas serra, essa è chiamata ad intensificare lo sforzo di riduzione delle emissioni nel quadro della strategia globale UE in tema di cambiamenti climatici. Più in generale, occorre prestare crescente attenzione a questioni quali l’adattamento dell’agricoltura ai cambiamenti climatici e la capacità di stoccaggio del carbonio da parte dei suoli agricoli</w:t>
      </w:r>
      <w:r w:rsidRPr="00717785">
        <w:rPr>
          <w:rStyle w:val="Rimandonotaapidipagina"/>
          <w:szCs w:val="24"/>
        </w:rPr>
        <w:footnoteReference w:id="7"/>
      </w:r>
      <w:r w:rsidRPr="00717785">
        <w:rPr>
          <w:szCs w:val="24"/>
        </w:rPr>
        <w:t>.</w:t>
      </w:r>
    </w:p>
    <w:p w:rsidR="0093431D" w:rsidRPr="00717785" w:rsidRDefault="0093431D" w:rsidP="0093431D">
      <w:pPr>
        <w:autoSpaceDE w:val="0"/>
        <w:autoSpaceDN w:val="0"/>
        <w:adjustRightInd w:val="0"/>
        <w:jc w:val="both"/>
        <w:rPr>
          <w:i/>
          <w:color w:val="FF0000"/>
          <w:szCs w:val="24"/>
        </w:rPr>
      </w:pPr>
      <w:r w:rsidRPr="00717785">
        <w:rPr>
          <w:szCs w:val="24"/>
        </w:rPr>
        <w:t>Ciò trova riscontro in vari documenti programmatici recenti, dal Libro Bianco “Adapting to climate change: Towards a European frame work for action”</w:t>
      </w:r>
      <w:r w:rsidRPr="00717785">
        <w:rPr>
          <w:rStyle w:val="Rimandonotaapidipagina"/>
          <w:szCs w:val="24"/>
        </w:rPr>
        <w:footnoteReference w:id="8"/>
      </w:r>
      <w:r w:rsidRPr="00717785">
        <w:rPr>
          <w:szCs w:val="24"/>
        </w:rPr>
        <w:t xml:space="preserve"> alla la risoluzione del Parlamento Europeo del febbraio 2009 “2050: il futuro inizia oggi – Raccomandazioni per una futura politica integrata dell’Unione Europea sul cambiamento climatico”, testimoniano la volontà a livello comunitario di affrontare l’evidenza del cambiamento climatico in maniera il più possibile coordinata.</w:t>
      </w:r>
      <w:r w:rsidRPr="00717785">
        <w:rPr>
          <w:rFonts w:ascii="Palatino Linotype" w:hAnsi="Palatino Linotype"/>
          <w:szCs w:val="24"/>
        </w:rPr>
        <w:t xml:space="preserve"> </w:t>
      </w:r>
      <w:r w:rsidRPr="00717785">
        <w:rPr>
          <w:szCs w:val="24"/>
        </w:rPr>
        <w:t>Da ultimo</w:t>
      </w:r>
      <w:r w:rsidRPr="00717785">
        <w:rPr>
          <w:rFonts w:ascii="Palatino Linotype" w:hAnsi="Palatino Linotype"/>
          <w:szCs w:val="24"/>
        </w:rPr>
        <w:t>, c</w:t>
      </w:r>
      <w:r w:rsidRPr="00717785">
        <w:rPr>
          <w:szCs w:val="24"/>
        </w:rPr>
        <w:t>oerentemente con i nuovi Orientamenti strategici comunitari (OSC), il Regolamento (CE) n. 74/2009 ha inserito quella del cambiamento climatico tra le nuove sfide della politica di sviluppo rurale.</w:t>
      </w:r>
    </w:p>
    <w:p w:rsidR="0093431D" w:rsidRPr="00717785" w:rsidRDefault="0093431D" w:rsidP="0093431D">
      <w:pPr>
        <w:pStyle w:val="Rientrocorpodeltesto"/>
        <w:ind w:right="98"/>
        <w:rPr>
          <w:sz w:val="24"/>
          <w:szCs w:val="24"/>
        </w:rPr>
      </w:pPr>
      <w:r w:rsidRPr="00717785">
        <w:rPr>
          <w:sz w:val="24"/>
          <w:szCs w:val="24"/>
        </w:rPr>
        <w:t>Il tema relativo i Cambiamenti Climatici in Italia, è oggi argomento di grande complessità e attualità. Le variazioni climatiche, secondo il gruppo intergovernativo di esperti sul cambiamento climatico (IPPC), rappresentano una delle maggiori minacce ambientali, sociali ed economiche dell’intero pianeta. Fattore inequivocabile è il riscaldamento dell’atmosfera terrestre con un conseguente aumento della temperatura media globale dei mari.</w:t>
      </w:r>
      <w:r w:rsidRPr="00717785">
        <w:rPr>
          <w:color w:val="244061"/>
          <w:sz w:val="24"/>
          <w:szCs w:val="24"/>
        </w:rPr>
        <w:t xml:space="preserve"> </w:t>
      </w:r>
      <w:r w:rsidRPr="00717785">
        <w:rPr>
          <w:sz w:val="24"/>
          <w:szCs w:val="24"/>
        </w:rPr>
        <w:t>Il fenomeno della desertificazione in conseguenza del cambiamento del clima è in espansione soprattutto nel sud Italia. La sensibilità ai fenomeni di desertificazione ha evidenziato, comunque, anche un peggioramento nelle condizioni ambientali in quasi tutte le regioni italiane. La temperatura dell’aria</w:t>
      </w:r>
      <w:r w:rsidRPr="00717785">
        <w:rPr>
          <w:sz w:val="24"/>
          <w:szCs w:val="24"/>
          <w:u w:val="single"/>
        </w:rPr>
        <w:t xml:space="preserve"> </w:t>
      </w:r>
      <w:r w:rsidRPr="00717785">
        <w:rPr>
          <w:sz w:val="24"/>
          <w:szCs w:val="24"/>
        </w:rPr>
        <w:t xml:space="preserve">ha manifestato nel corso degli ultimi 140 anni un trend in aumento dell’ordine di 1 grado per secolo per tutte le regioni climatiche individuate. Esso ha interessato in modo pressoché analogo tutte le stagioni dell’anno. Per quanto riguarda le </w:t>
      </w:r>
      <w:r w:rsidRPr="00717785">
        <w:rPr>
          <w:sz w:val="24"/>
          <w:szCs w:val="24"/>
          <w:u w:val="single"/>
        </w:rPr>
        <w:t>precipitazioni</w:t>
      </w:r>
      <w:r w:rsidRPr="00717785">
        <w:rPr>
          <w:sz w:val="24"/>
          <w:szCs w:val="24"/>
        </w:rPr>
        <w:t>, queste hanno manifestato una lieve tendenza al decremento. Considerando una media relativa all’intero territorio nazionale, il trend negativo si attesta intorno al 5% per secolo rispetto ai valori di norma. La stagione che contribuisce in modo più significativo a tale decremento è quella primaverile, con un trend negativo del 9% per secolo.</w:t>
      </w:r>
    </w:p>
    <w:p w:rsidR="0093431D" w:rsidRPr="00717785" w:rsidRDefault="0093431D" w:rsidP="0093431D">
      <w:pPr>
        <w:pStyle w:val="Rientrocorpodeltesto"/>
        <w:ind w:right="278"/>
        <w:rPr>
          <w:sz w:val="24"/>
          <w:szCs w:val="24"/>
        </w:rPr>
      </w:pPr>
      <w:r w:rsidRPr="00717785">
        <w:rPr>
          <w:sz w:val="24"/>
          <w:szCs w:val="24"/>
        </w:rPr>
        <w:t xml:space="preserve">Negli ultimi decenni, le precipitazioni sembrano manifestarsi attraverso modalità differenti rispetto al passato, con quantità di pioggia per unità di tempo più abbondanti, infatti è stato registrato un aumento significativo delle </w:t>
      </w:r>
      <w:r w:rsidRPr="00717785">
        <w:rPr>
          <w:sz w:val="24"/>
          <w:szCs w:val="24"/>
          <w:u w:val="single"/>
        </w:rPr>
        <w:t>precipitazioni piovose più intense</w:t>
      </w:r>
      <w:r w:rsidRPr="00717785">
        <w:rPr>
          <w:sz w:val="24"/>
          <w:szCs w:val="24"/>
        </w:rPr>
        <w:t xml:space="preserve"> a fronte di una diminuzione generale della pioggia. Inoltre è stato rilevato un significativo aumento dei casi di </w:t>
      </w:r>
      <w:r w:rsidRPr="00717785">
        <w:rPr>
          <w:sz w:val="24"/>
          <w:szCs w:val="24"/>
          <w:u w:val="single"/>
        </w:rPr>
        <w:t xml:space="preserve">periodi secchi, </w:t>
      </w:r>
      <w:r w:rsidRPr="00717785">
        <w:rPr>
          <w:sz w:val="24"/>
          <w:szCs w:val="24"/>
        </w:rPr>
        <w:t>in special modo di quelli molto</w:t>
      </w:r>
      <w:r w:rsidRPr="00717785">
        <w:rPr>
          <w:sz w:val="24"/>
          <w:szCs w:val="24"/>
          <w:u w:val="single"/>
        </w:rPr>
        <w:t xml:space="preserve"> </w:t>
      </w:r>
      <w:r w:rsidRPr="00717785">
        <w:rPr>
          <w:sz w:val="24"/>
          <w:szCs w:val="24"/>
        </w:rPr>
        <w:t>lunghi e particolarmente nel periodo durante il quale si costituiscono le riserve di acqua nei bacini (da ottobre a marzo). Tali situazioni climatiche, associate a scarse precipitazioni, determinano ricorrenti stati di crisi idrica generando impatti sull’ambiente e sull’agricoltura.</w:t>
      </w:r>
    </w:p>
    <w:p w:rsidR="0093431D" w:rsidRPr="00717785" w:rsidRDefault="0093431D" w:rsidP="0093431D">
      <w:pPr>
        <w:pStyle w:val="Rientrocorpodeltesto"/>
        <w:ind w:right="278"/>
        <w:rPr>
          <w:i/>
          <w:color w:val="244061"/>
          <w:sz w:val="24"/>
          <w:szCs w:val="24"/>
        </w:rPr>
      </w:pPr>
      <w:r w:rsidRPr="00717785">
        <w:rPr>
          <w:sz w:val="24"/>
          <w:szCs w:val="24"/>
        </w:rPr>
        <w:lastRenderedPageBreak/>
        <w:t xml:space="preserve">Per quanto concerne la Regione Marche i dati riportati nella pubblicazione </w:t>
      </w:r>
      <w:r w:rsidRPr="00717785">
        <w:rPr>
          <w:i/>
          <w:sz w:val="24"/>
          <w:szCs w:val="24"/>
        </w:rPr>
        <w:t>”Studio dei caratteri termopluviometrici della regione Marche”</w:t>
      </w:r>
      <w:r w:rsidRPr="00717785">
        <w:rPr>
          <w:sz w:val="24"/>
          <w:szCs w:val="24"/>
        </w:rPr>
        <w:t xml:space="preserve"> prodotto da Assam - Centro Agrometeorologia</w:t>
      </w:r>
      <w:r w:rsidRPr="00717785">
        <w:rPr>
          <w:rStyle w:val="Rimandonotaapidipagina"/>
          <w:szCs w:val="24"/>
        </w:rPr>
        <w:footnoteReference w:id="9"/>
      </w:r>
      <w:r w:rsidRPr="00717785">
        <w:rPr>
          <w:sz w:val="24"/>
          <w:szCs w:val="24"/>
        </w:rPr>
        <w:t xml:space="preserve"> indicano</w:t>
      </w:r>
      <w:r w:rsidRPr="00717785">
        <w:rPr>
          <w:color w:val="244061"/>
          <w:sz w:val="24"/>
          <w:szCs w:val="24"/>
        </w:rPr>
        <w:t xml:space="preserve"> che l</w:t>
      </w:r>
      <w:r w:rsidRPr="00717785">
        <w:rPr>
          <w:sz w:val="24"/>
          <w:szCs w:val="24"/>
        </w:rPr>
        <w:t xml:space="preserve">'andamento annuale della precipitazione mediata sul territorio regionale (Grafico1), mostra un'apprezzabile diminuzione delle piogge quantificabile a livello percentuale con un -12,3%. </w:t>
      </w:r>
    </w:p>
    <w:p w:rsidR="0093431D" w:rsidRDefault="0093431D" w:rsidP="0093431D">
      <w:pPr>
        <w:jc w:val="both"/>
        <w:rPr>
          <w:rFonts w:ascii="Arial" w:hAnsi="Arial" w:cs="Arial"/>
          <w:b/>
          <w:sz w:val="20"/>
          <w:highlight w:val="black"/>
        </w:rPr>
      </w:pPr>
    </w:p>
    <w:p w:rsidR="0093431D" w:rsidRDefault="0093431D" w:rsidP="0093431D">
      <w:pPr>
        <w:jc w:val="both"/>
        <w:rPr>
          <w:rFonts w:ascii="Arial" w:hAnsi="Arial" w:cs="Arial"/>
          <w:b/>
          <w:sz w:val="20"/>
          <w:highlight w:val="black"/>
        </w:rPr>
      </w:pPr>
    </w:p>
    <w:p w:rsidR="0093431D" w:rsidRDefault="0093431D" w:rsidP="0093431D">
      <w:pPr>
        <w:jc w:val="both"/>
        <w:rPr>
          <w:rFonts w:ascii="Arial" w:hAnsi="Arial" w:cs="Arial"/>
          <w:b/>
          <w:sz w:val="20"/>
          <w:highlight w:val="black"/>
        </w:rPr>
      </w:pPr>
    </w:p>
    <w:p w:rsidR="0093431D" w:rsidRPr="00FE4242" w:rsidRDefault="0093431D" w:rsidP="0093431D">
      <w:pPr>
        <w:jc w:val="both"/>
        <w:rPr>
          <w:rFonts w:ascii="Arial" w:hAnsi="Arial" w:cs="Arial"/>
        </w:rPr>
      </w:pPr>
      <w:r w:rsidRPr="00FE4242">
        <w:rPr>
          <w:rFonts w:ascii="Arial" w:hAnsi="Arial" w:cs="Arial"/>
          <w:b/>
          <w:sz w:val="20"/>
        </w:rPr>
        <w:t>Grafico 1: Precipitazione media annua regionale (1961-2006).</w:t>
      </w:r>
    </w:p>
    <w:p w:rsidR="0093431D" w:rsidRPr="00FE4242" w:rsidRDefault="0093431D" w:rsidP="0093431D">
      <w:pPr>
        <w:jc w:val="both"/>
      </w:pPr>
      <w:r>
        <w:pict>
          <v:group id="_x0000_s1034" editas="canvas" style="width:342pt;height:215.7pt;mso-position-horizontal-relative:char;mso-position-vertical-relative:line" coordorigin="2308,5003" coordsize="8943,5605">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left:2308;top:5003;width:8943;height:5605" o:preferrelative="f">
              <v:fill o:detectmouseclick="t"/>
              <v:path o:extrusionok="t" o:connecttype="none"/>
              <o:lock v:ext="edit" text="t"/>
            </v:shape>
            <v:shape id="_x0000_s1036" type="#_x0000_t75" style="position:absolute;left:2308;top:5088;width:8943;height:5520;mso-wrap-distance-left:0;mso-wrap-distance-right:0" filled="t">
              <v:fill color2="black"/>
              <v:imagedata r:id="rId14" o:title=""/>
            </v:shape>
            <v:shapetype id="_x0000_t202" coordsize="21600,21600" o:spt="202" path="m,l,21600r21600,l21600,xe">
              <v:stroke joinstyle="miter"/>
              <v:path gradientshapeok="t" o:connecttype="rect"/>
            </v:shapetype>
            <v:shape id="_x0000_s1037" type="#_x0000_t202" style="position:absolute;left:4448;top:5003;width:4620;height:434" stroked="f">
              <v:textbox inset="1.46075mm,.73036mm,1.46075mm,.73036mm">
                <w:txbxContent>
                  <w:p w:rsidR="0093431D" w:rsidRPr="00CB7288" w:rsidRDefault="0093431D" w:rsidP="0093431D">
                    <w:pPr>
                      <w:autoSpaceDE w:val="0"/>
                      <w:autoSpaceDN w:val="0"/>
                      <w:adjustRightInd w:val="0"/>
                      <w:rPr>
                        <w:rFonts w:ascii="Arial" w:cs="Arial"/>
                        <w:color w:val="000000"/>
                        <w:sz w:val="21"/>
                        <w:szCs w:val="36"/>
                      </w:rPr>
                    </w:pPr>
                  </w:p>
                </w:txbxContent>
              </v:textbox>
            </v:shape>
            <w10:wrap type="none"/>
            <w10:anchorlock/>
          </v:group>
        </w:pict>
      </w:r>
    </w:p>
    <w:p w:rsidR="0093431D" w:rsidRPr="00FE4242" w:rsidRDefault="0093431D" w:rsidP="0093431D">
      <w:pPr>
        <w:jc w:val="both"/>
      </w:pPr>
    </w:p>
    <w:p w:rsidR="0093431D" w:rsidRPr="00717785" w:rsidRDefault="0093431D" w:rsidP="0093431D">
      <w:pPr>
        <w:jc w:val="both"/>
        <w:rPr>
          <w:szCs w:val="24"/>
        </w:rPr>
      </w:pPr>
      <w:r w:rsidRPr="00717785">
        <w:rPr>
          <w:szCs w:val="24"/>
        </w:rPr>
        <w:t>In particolare nel periodo 1989-1990 e nel 2006-2007, l'indice SPI (Standardized Precipitation Index), che quantifica il deficit di precipitazione per diverse scale temporali è sceso fino alla classe di siccità estrema. I bienni 1976-77 e 1996-97 sono quelli che hanno presentato un carattere di maggiore umidità.</w:t>
      </w:r>
    </w:p>
    <w:p w:rsidR="0093431D" w:rsidRPr="00FE4242" w:rsidRDefault="0093431D" w:rsidP="0093431D">
      <w:pPr>
        <w:jc w:val="both"/>
      </w:pPr>
    </w:p>
    <w:p w:rsidR="0093431D" w:rsidRPr="00FE4242" w:rsidRDefault="0093431D" w:rsidP="0093431D">
      <w:pPr>
        <w:jc w:val="both"/>
        <w:rPr>
          <w:rFonts w:ascii="Arial" w:hAnsi="Arial" w:cs="Arial"/>
          <w:sz w:val="20"/>
        </w:rPr>
      </w:pPr>
      <w:r w:rsidRPr="00FE4242">
        <w:rPr>
          <w:rFonts w:ascii="Arial" w:hAnsi="Arial" w:cs="Arial"/>
          <w:b/>
          <w:sz w:val="20"/>
        </w:rPr>
        <w:t xml:space="preserve">Grafico </w:t>
      </w:r>
      <w:r>
        <w:rPr>
          <w:rFonts w:ascii="Arial" w:hAnsi="Arial" w:cs="Arial"/>
          <w:b/>
          <w:sz w:val="20"/>
        </w:rPr>
        <w:t>2</w:t>
      </w:r>
      <w:r w:rsidRPr="00FE4242">
        <w:rPr>
          <w:rFonts w:ascii="Arial" w:hAnsi="Arial" w:cs="Arial"/>
          <w:b/>
          <w:sz w:val="20"/>
        </w:rPr>
        <w:t xml:space="preserve"> - Frequenza percentuale eventi siccitosi nella Regione Marche (1961-2007).</w:t>
      </w:r>
    </w:p>
    <w:p w:rsidR="0093431D" w:rsidRPr="00FE4242" w:rsidRDefault="0093431D" w:rsidP="0093431D">
      <w:pPr>
        <w:jc w:val="both"/>
      </w:pPr>
      <w:r>
        <w:pict>
          <v:group id="_x0000_s1030" editas="canvas" style="width:342.45pt;height:211.95pt;mso-position-horizontal-relative:char;mso-position-vertical-relative:line" coordorigin="2308,3803" coordsize="9399,5781">
            <o:lock v:ext="edit" aspectratio="t"/>
            <v:shape id="_x0000_s1031" type="#_x0000_t75" style="position:absolute;left:2308;top:3803;width:9399;height:5781" o:preferrelative="f">
              <v:fill o:detectmouseclick="t"/>
              <v:path o:extrusionok="t" o:connecttype="none"/>
              <o:lock v:ext="edit" text="t"/>
            </v:shape>
            <v:shape id="_x0000_s1032" type="#_x0000_t75" style="position:absolute;left:2308;top:3821;width:9399;height:5763;mso-wrap-distance-left:0;mso-wrap-distance-right:0" filled="t">
              <v:fill color2="black"/>
              <v:imagedata r:id="rId15" o:title="" croptop="3731f"/>
            </v:shape>
            <v:shape id="_x0000_s1033" type="#_x0000_t202" style="position:absolute;left:3850;top:3803;width:5904;height:433" stroked="f">
              <v:textbox inset="1.40817mm,.70408mm,1.40817mm,.70408mm">
                <w:txbxContent>
                  <w:p w:rsidR="0093431D" w:rsidRPr="00C45C5D" w:rsidRDefault="0093431D" w:rsidP="0093431D">
                    <w:pPr>
                      <w:autoSpaceDE w:val="0"/>
                      <w:autoSpaceDN w:val="0"/>
                      <w:adjustRightInd w:val="0"/>
                      <w:rPr>
                        <w:rFonts w:ascii="Arial" w:cs="Arial"/>
                        <w:color w:val="000000"/>
                        <w:sz w:val="20"/>
                        <w:szCs w:val="36"/>
                      </w:rPr>
                    </w:pPr>
                  </w:p>
                </w:txbxContent>
              </v:textbox>
            </v:shape>
            <w10:wrap type="none"/>
            <w10:anchorlock/>
          </v:group>
        </w:pict>
      </w:r>
    </w:p>
    <w:p w:rsidR="0093431D" w:rsidRPr="00005839" w:rsidRDefault="0093431D" w:rsidP="0093431D">
      <w:pPr>
        <w:jc w:val="both"/>
        <w:rPr>
          <w:highlight w:val="black"/>
        </w:rPr>
      </w:pPr>
    </w:p>
    <w:p w:rsidR="0093431D" w:rsidRPr="00717785" w:rsidRDefault="0093431D" w:rsidP="0093431D">
      <w:pPr>
        <w:jc w:val="both"/>
        <w:rPr>
          <w:szCs w:val="24"/>
        </w:rPr>
      </w:pPr>
      <w:r w:rsidRPr="00717785">
        <w:rPr>
          <w:szCs w:val="24"/>
        </w:rPr>
        <w:lastRenderedPageBreak/>
        <w:t xml:space="preserve">Gli eventi siccitosi (SPI&lt;-1) nella scala temporale annuale, sono drasticamente aumentati a partire dagli anni ottanta, come si evince dal Grafico 2,  ma questo fenomeno è evidente anche nella scala temporale di tipo stagionale. </w:t>
      </w:r>
    </w:p>
    <w:p w:rsidR="0093431D" w:rsidRPr="00717785" w:rsidRDefault="0093431D" w:rsidP="0093431D">
      <w:pPr>
        <w:jc w:val="both"/>
        <w:rPr>
          <w:szCs w:val="24"/>
        </w:rPr>
      </w:pPr>
    </w:p>
    <w:p w:rsidR="0093431D" w:rsidRPr="00717785" w:rsidRDefault="0093431D" w:rsidP="0093431D">
      <w:pPr>
        <w:jc w:val="both"/>
        <w:rPr>
          <w:szCs w:val="24"/>
        </w:rPr>
      </w:pPr>
      <w:r w:rsidRPr="00717785">
        <w:rPr>
          <w:szCs w:val="24"/>
        </w:rPr>
        <w:t>L'SPI a scala stagionale (SPI-3) evidenzia una marcata carenza idrica nel periodo invernale, in larga parte riassorbita nei successivi mesi primaverili; questa situazione trova perfettamente riscontro con quanto avvenuto in campo; ad esempio i cereali autunno-vernini (frumento, orzo, etc.) hanno manifestato forti sintomi di sofferenza durante le fasi iniziali di sviluppo (che coincidono con il periodo invernale), ma successivamente hanno avuto uno sviluppo vegetativo regolare (in coincidenza con le precipitazioni primaverili) con rese produttive alla raccolta nella norma o comunque accettabili. Molto diversa è la situazione delle colture a ciclo primaverile-estivo, come ad esempio il girasole, che dopo una prima fase di sviluppo ottimale, sono andate incontro ad un grave stress idrico che ha portato ad una forte penalizzazione delle rese produttive.</w:t>
      </w:r>
    </w:p>
    <w:p w:rsidR="0093431D" w:rsidRPr="00717785" w:rsidRDefault="0093431D" w:rsidP="0093431D">
      <w:pPr>
        <w:jc w:val="both"/>
        <w:rPr>
          <w:szCs w:val="24"/>
        </w:rPr>
      </w:pPr>
    </w:p>
    <w:p w:rsidR="0093431D" w:rsidRPr="00717785" w:rsidRDefault="0093431D" w:rsidP="0093431D">
      <w:pPr>
        <w:jc w:val="both"/>
        <w:rPr>
          <w:szCs w:val="24"/>
        </w:rPr>
      </w:pPr>
      <w:r w:rsidRPr="00717785">
        <w:rPr>
          <w:szCs w:val="24"/>
        </w:rPr>
        <w:t>Anche il caso della scala temporale annuale (SPI-12) trova conferma con la realtà, per l'effettivo abbassamento delle falde acquifere e l'evidente diminuzione dei deflussi superficiali, che hanno portato, tra l'altro, all'adozione di provvedimenti restrittivi da parte delle autorità competenti.</w:t>
      </w:r>
    </w:p>
    <w:p w:rsidR="0093431D" w:rsidRPr="00717785" w:rsidRDefault="0093431D" w:rsidP="0093431D">
      <w:pPr>
        <w:spacing w:line="360" w:lineRule="auto"/>
        <w:jc w:val="both"/>
        <w:rPr>
          <w:b/>
          <w:bCs/>
          <w:szCs w:val="24"/>
        </w:rPr>
      </w:pPr>
    </w:p>
    <w:p w:rsidR="0093431D" w:rsidRPr="00717785" w:rsidRDefault="0093431D" w:rsidP="0093431D">
      <w:pPr>
        <w:jc w:val="both"/>
        <w:rPr>
          <w:szCs w:val="24"/>
        </w:rPr>
      </w:pPr>
      <w:r w:rsidRPr="00717785">
        <w:rPr>
          <w:szCs w:val="24"/>
        </w:rPr>
        <w:t xml:space="preserve">L'andamento annuale della </w:t>
      </w:r>
      <w:r w:rsidRPr="00717785">
        <w:rPr>
          <w:b/>
          <w:szCs w:val="24"/>
        </w:rPr>
        <w:t xml:space="preserve">temperatura </w:t>
      </w:r>
      <w:r w:rsidRPr="00717785">
        <w:rPr>
          <w:szCs w:val="24"/>
        </w:rPr>
        <w:t xml:space="preserve">mediata sul territorio regionale (Grafico 3), mostra un significativo trend positivo, dovuto principalmente al generale aumento iniziato negli anni ottanta. </w:t>
      </w:r>
    </w:p>
    <w:p w:rsidR="0093431D" w:rsidRPr="00FE4242" w:rsidRDefault="0093431D" w:rsidP="0093431D">
      <w:pPr>
        <w:jc w:val="both"/>
      </w:pPr>
    </w:p>
    <w:p w:rsidR="0093431D" w:rsidRPr="00FE4242" w:rsidRDefault="0093431D" w:rsidP="0093431D">
      <w:pPr>
        <w:jc w:val="both"/>
        <w:rPr>
          <w:rFonts w:ascii="Arial" w:hAnsi="Arial" w:cs="Arial"/>
          <w:b/>
          <w:sz w:val="20"/>
        </w:rPr>
      </w:pPr>
      <w:r w:rsidRPr="00FE4242">
        <w:rPr>
          <w:rFonts w:ascii="Arial" w:hAnsi="Arial" w:cs="Arial"/>
          <w:b/>
          <w:sz w:val="20"/>
        </w:rPr>
        <w:t>Grafico 3 – Temperatura media annua regionale (1961-2006).</w:t>
      </w:r>
    </w:p>
    <w:p w:rsidR="0093431D" w:rsidRPr="00FE4242" w:rsidRDefault="0093431D" w:rsidP="0093431D">
      <w:pPr>
        <w:jc w:val="both"/>
      </w:pPr>
      <w:r>
        <w:pict>
          <v:group id="_x0000_s1026" editas="canvas" style="width:340.15pt;height:211.1pt;mso-position-horizontal-relative:char;mso-position-vertical-relative:line" coordorigin="2308,-809" coordsize="10312,6360">
            <o:lock v:ext="edit" aspectratio="t"/>
            <v:shape id="_x0000_s1027" type="#_x0000_t75" style="position:absolute;left:2308;top:-809;width:10312;height:6360" o:preferrelative="f">
              <v:fill o:detectmouseclick="t"/>
              <v:path o:extrusionok="t" o:connecttype="none"/>
              <o:lock v:ext="edit" text="t"/>
            </v:shape>
            <v:shape id="_x0000_s1028" type="#_x0000_t75" style="position:absolute;left:2308;top:-809;width:10312;height:6360;mso-wrap-distance-left:0;mso-wrap-distance-right:0;mso-position-horizontal:center" filled="t">
              <v:fill color2="black"/>
              <v:imagedata r:id="rId16" o:title=""/>
            </v:shape>
            <v:shape id="_x0000_s1029" type="#_x0000_t202" style="position:absolute;left:4746;top:-765;width:5221;height:432" stroked="f">
              <v:textbox inset="1.2804mm,.64019mm,1.2804mm,.64019mm">
                <w:txbxContent>
                  <w:p w:rsidR="0093431D" w:rsidRPr="00C45C5D" w:rsidRDefault="0093431D" w:rsidP="0093431D">
                    <w:pPr>
                      <w:autoSpaceDE w:val="0"/>
                      <w:autoSpaceDN w:val="0"/>
                      <w:adjustRightInd w:val="0"/>
                      <w:rPr>
                        <w:rFonts w:ascii="Arial" w:cs="Arial"/>
                        <w:color w:val="000000"/>
                        <w:sz w:val="18"/>
                        <w:szCs w:val="36"/>
                      </w:rPr>
                    </w:pPr>
                  </w:p>
                </w:txbxContent>
              </v:textbox>
            </v:shape>
            <w10:wrap type="none"/>
            <w10:anchorlock/>
          </v:group>
        </w:pict>
      </w:r>
    </w:p>
    <w:p w:rsidR="0093431D" w:rsidRPr="00FE4242" w:rsidRDefault="0093431D" w:rsidP="0093431D">
      <w:pPr>
        <w:jc w:val="both"/>
      </w:pPr>
    </w:p>
    <w:p w:rsidR="0093431D" w:rsidRPr="00717785" w:rsidRDefault="0093431D" w:rsidP="0093431D">
      <w:pPr>
        <w:spacing w:line="360" w:lineRule="auto"/>
        <w:jc w:val="both"/>
        <w:rPr>
          <w:szCs w:val="24"/>
        </w:rPr>
      </w:pPr>
      <w:r w:rsidRPr="00717785">
        <w:rPr>
          <w:szCs w:val="24"/>
        </w:rPr>
        <w:t xml:space="preserve">In particolare, negli anni 1990, 1994 e </w:t>
      </w:r>
      <w:smartTag w:uri="urn:schemas-microsoft-com:office:smarttags" w:element="metricconverter">
        <w:smartTagPr>
          <w:attr w:name="ProductID" w:val="2000 l"/>
        </w:smartTagPr>
        <w:r w:rsidRPr="00717785">
          <w:rPr>
            <w:szCs w:val="24"/>
          </w:rPr>
          <w:t>2000 l</w:t>
        </w:r>
      </w:smartTag>
      <w:r w:rsidRPr="00717785">
        <w:rPr>
          <w:szCs w:val="24"/>
        </w:rPr>
        <w:t>'incremento della temperatura media annua ha superato 1°C.</w:t>
      </w:r>
    </w:p>
    <w:p w:rsidR="0093431D" w:rsidRPr="00717785" w:rsidRDefault="0093431D" w:rsidP="0093431D">
      <w:pPr>
        <w:autoSpaceDE w:val="0"/>
        <w:autoSpaceDN w:val="0"/>
        <w:adjustRightInd w:val="0"/>
        <w:jc w:val="both"/>
        <w:rPr>
          <w:bCs/>
          <w:szCs w:val="24"/>
        </w:rPr>
      </w:pPr>
      <w:r w:rsidRPr="00717785">
        <w:rPr>
          <w:bCs/>
          <w:szCs w:val="24"/>
        </w:rPr>
        <w:t>L’incremento della temperatura e il cambiamento del regime idropluviometrico sopra evidenziato rischia di modificare l’equilibrio dell’ecosistema, del ciclo idrologico e di accelerare i processi di aridità e degrado dei suoli innescati da cause antropiche.</w:t>
      </w:r>
    </w:p>
    <w:p w:rsidR="0093431D" w:rsidRPr="00717785" w:rsidRDefault="0093431D" w:rsidP="0093431D">
      <w:pPr>
        <w:spacing w:after="120"/>
        <w:jc w:val="both"/>
        <w:rPr>
          <w:szCs w:val="24"/>
        </w:rPr>
      </w:pPr>
      <w:r w:rsidRPr="00717785">
        <w:rPr>
          <w:bCs/>
          <w:szCs w:val="24"/>
        </w:rPr>
        <w:t>In particolare i rischi potrebbero essere: perdita di biodiversità; riduzione della quantità e della qualità delle risorse idriche; innalzamento della temperatura delle acque costiere; desertificazione; e</w:t>
      </w:r>
      <w:r w:rsidRPr="00717785">
        <w:rPr>
          <w:szCs w:val="24"/>
        </w:rPr>
        <w:t>rosione costiera; dissesto idrogeologico; incendi e rischio sanitario.</w:t>
      </w:r>
    </w:p>
    <w:p w:rsidR="0093431D" w:rsidRPr="00717785" w:rsidRDefault="0093431D" w:rsidP="0093431D">
      <w:pPr>
        <w:spacing w:after="120"/>
        <w:jc w:val="both"/>
        <w:rPr>
          <w:b/>
          <w:szCs w:val="24"/>
        </w:rPr>
      </w:pPr>
      <w:r w:rsidRPr="00717785">
        <w:rPr>
          <w:b/>
          <w:szCs w:val="24"/>
        </w:rPr>
        <w:t>Le emissioni</w:t>
      </w:r>
    </w:p>
    <w:p w:rsidR="0093431D" w:rsidRDefault="0093431D" w:rsidP="0093431D">
      <w:pPr>
        <w:pStyle w:val="Corpodeltesto"/>
        <w:numPr>
          <w:ilvl w:val="0"/>
          <w:numId w:val="0"/>
        </w:numPr>
        <w:spacing w:after="120"/>
        <w:rPr>
          <w:szCs w:val="24"/>
        </w:rPr>
      </w:pPr>
      <w:r>
        <w:rPr>
          <w:szCs w:val="24"/>
        </w:rPr>
        <w:t>Nel maggio 2002 il Parlamento italiano ha approvato la ratifica del Protocollo di Kyoto che definisce gli obiettivi di riduzione dei gas serra per i paesi che vi aderiscono.</w:t>
      </w:r>
    </w:p>
    <w:p w:rsidR="0093431D" w:rsidRDefault="0093431D" w:rsidP="0093431D">
      <w:pPr>
        <w:pStyle w:val="Corpodeltesto"/>
        <w:numPr>
          <w:ilvl w:val="0"/>
          <w:numId w:val="0"/>
        </w:numPr>
        <w:spacing w:after="120"/>
        <w:rPr>
          <w:szCs w:val="24"/>
        </w:rPr>
      </w:pPr>
      <w:r>
        <w:rPr>
          <w:szCs w:val="24"/>
        </w:rPr>
        <w:lastRenderedPageBreak/>
        <w:t>L’obiettivo italiano è quello di raggiungere un livello di emissioni di gas serra pari al 93,6% rispetto a quelle del 1990, corrispondenti ad una riduzione del 6,4% (migliorativa rispetto all’obiettivo del 5% proposto dal Protocollo di Kyoto).</w:t>
      </w:r>
    </w:p>
    <w:bookmarkEnd w:id="2"/>
    <w:p w:rsidR="0093431D" w:rsidRDefault="0093431D" w:rsidP="0093431D">
      <w:pPr>
        <w:pStyle w:val="Corpodeltesto"/>
        <w:numPr>
          <w:ilvl w:val="0"/>
          <w:numId w:val="0"/>
        </w:numPr>
        <w:spacing w:after="120"/>
        <w:rPr>
          <w:szCs w:val="24"/>
        </w:rPr>
      </w:pPr>
      <w:r>
        <w:rPr>
          <w:szCs w:val="24"/>
        </w:rPr>
        <w:t>Ogni paese aderente al Protocollo ha pertanto una quota assegnata di emissioni che può raggiungere attivando interventi volti a ridurre le emissioni prodotte, in particolare dalla combustione delle fonti fossili di energia, e/o a compensare tali emissioni attraverso assorbimenti di gas serra risultanti dai cambiamenti nelle forme d’uso dei suoli agricoli e forestali.</w:t>
      </w:r>
    </w:p>
    <w:p w:rsidR="0093431D" w:rsidRDefault="0093431D" w:rsidP="0093431D">
      <w:pPr>
        <w:pStyle w:val="Corpodeltesto"/>
        <w:numPr>
          <w:ilvl w:val="0"/>
          <w:numId w:val="0"/>
        </w:numPr>
        <w:spacing w:after="120"/>
        <w:rPr>
          <w:szCs w:val="24"/>
        </w:rPr>
      </w:pPr>
      <w:r>
        <w:rPr>
          <w:szCs w:val="24"/>
        </w:rPr>
        <w:t>Le emissioni e gli assorbimenti devono essere contabilizzati per calcolare il bilancio netto di gas serra prodotti.</w:t>
      </w:r>
    </w:p>
    <w:p w:rsidR="0093431D" w:rsidRDefault="0093431D" w:rsidP="0093431D">
      <w:pPr>
        <w:pStyle w:val="Corpodeltesto"/>
        <w:numPr>
          <w:ilvl w:val="0"/>
          <w:numId w:val="0"/>
        </w:numPr>
        <w:spacing w:after="120"/>
        <w:rPr>
          <w:szCs w:val="24"/>
        </w:rPr>
      </w:pPr>
      <w:r>
        <w:rPr>
          <w:szCs w:val="24"/>
        </w:rPr>
        <w:t>L’analisi generale del contesto nazionale evidenzia un aumento del 28% delle emissioni di anidride carbonica (CO</w:t>
      </w:r>
      <w:r>
        <w:rPr>
          <w:szCs w:val="24"/>
          <w:vertAlign w:val="subscript"/>
        </w:rPr>
        <w:t>2</w:t>
      </w:r>
      <w:r>
        <w:rPr>
          <w:szCs w:val="24"/>
        </w:rPr>
        <w:t>) mentre si registrano diminuzioni del 20% per il metano (CH</w:t>
      </w:r>
      <w:r>
        <w:rPr>
          <w:szCs w:val="24"/>
          <w:vertAlign w:val="subscript"/>
        </w:rPr>
        <w:t>4</w:t>
      </w:r>
      <w:r>
        <w:rPr>
          <w:szCs w:val="24"/>
        </w:rPr>
        <w:t>) e del 30% per il protossido di azoto (N</w:t>
      </w:r>
      <w:r>
        <w:rPr>
          <w:szCs w:val="24"/>
          <w:vertAlign w:val="subscript"/>
        </w:rPr>
        <w:t>2</w:t>
      </w:r>
      <w:r>
        <w:rPr>
          <w:szCs w:val="24"/>
        </w:rPr>
        <w:t>O).</w:t>
      </w:r>
    </w:p>
    <w:p w:rsidR="0093431D" w:rsidRDefault="0093431D" w:rsidP="0093431D">
      <w:pPr>
        <w:pStyle w:val="Corpodeltesto"/>
        <w:numPr>
          <w:ilvl w:val="0"/>
          <w:numId w:val="0"/>
        </w:numPr>
        <w:spacing w:after="120"/>
        <w:rPr>
          <w:szCs w:val="24"/>
        </w:rPr>
      </w:pPr>
      <w:r>
        <w:rPr>
          <w:szCs w:val="24"/>
        </w:rPr>
        <w:t>A livello regionale l’analisi delle emissioni è stata effettuata per “macrosettori” nel Piano Energetico Ambientale Regionale.</w:t>
      </w:r>
    </w:p>
    <w:p w:rsidR="0093431D" w:rsidRDefault="0093431D" w:rsidP="0093431D">
      <w:pPr>
        <w:pStyle w:val="Corpodeltesto"/>
        <w:numPr>
          <w:ilvl w:val="0"/>
          <w:numId w:val="0"/>
        </w:numPr>
        <w:spacing w:after="120"/>
        <w:rPr>
          <w:szCs w:val="24"/>
        </w:rPr>
      </w:pPr>
      <w:r>
        <w:rPr>
          <w:szCs w:val="24"/>
        </w:rPr>
        <w:t>Il contributo dei settori agricolo e zootecnico alle emissioni totali di gas serra viene misurato in relazione alla fonti relative ad agricoltura e zootecnia con esclusione dell’uso dei combustibili fossili. Le emissioni del settore in oggetto possono essere così distinte:</w:t>
      </w:r>
    </w:p>
    <w:p w:rsidR="0093431D" w:rsidRDefault="0093431D" w:rsidP="0093431D">
      <w:pPr>
        <w:pStyle w:val="Corpodeltesto"/>
        <w:numPr>
          <w:ilvl w:val="0"/>
          <w:numId w:val="3"/>
        </w:numPr>
        <w:spacing w:after="60"/>
        <w:ind w:left="357" w:hanging="357"/>
        <w:rPr>
          <w:szCs w:val="24"/>
        </w:rPr>
      </w:pPr>
      <w:r>
        <w:rPr>
          <w:szCs w:val="24"/>
        </w:rPr>
        <w:t>emissione da attività agricole di biossido di carbonio (CO</w:t>
      </w:r>
      <w:r>
        <w:rPr>
          <w:szCs w:val="24"/>
          <w:vertAlign w:val="subscript"/>
        </w:rPr>
        <w:t>2</w:t>
      </w:r>
      <w:r>
        <w:rPr>
          <w:szCs w:val="24"/>
        </w:rPr>
        <w:t>) e, in misura minore, di metano (CH</w:t>
      </w:r>
      <w:r>
        <w:rPr>
          <w:szCs w:val="24"/>
          <w:vertAlign w:val="subscript"/>
        </w:rPr>
        <w:t>4</w:t>
      </w:r>
      <w:r>
        <w:rPr>
          <w:szCs w:val="24"/>
        </w:rPr>
        <w:t>)e protossido di azoto (N</w:t>
      </w:r>
      <w:r>
        <w:rPr>
          <w:szCs w:val="24"/>
          <w:vertAlign w:val="subscript"/>
        </w:rPr>
        <w:t>2</w:t>
      </w:r>
      <w:r>
        <w:rPr>
          <w:szCs w:val="24"/>
        </w:rPr>
        <w:t>O);</w:t>
      </w:r>
    </w:p>
    <w:p w:rsidR="0093431D" w:rsidRDefault="0093431D" w:rsidP="0093431D">
      <w:pPr>
        <w:pStyle w:val="Corpodeltesto"/>
        <w:numPr>
          <w:ilvl w:val="0"/>
          <w:numId w:val="3"/>
        </w:numPr>
        <w:spacing w:after="60"/>
        <w:ind w:left="357" w:hanging="357"/>
        <w:rPr>
          <w:szCs w:val="24"/>
        </w:rPr>
      </w:pPr>
      <w:r>
        <w:rPr>
          <w:szCs w:val="24"/>
        </w:rPr>
        <w:t>emissioni dalle coltivazioni fertilizzate di N</w:t>
      </w:r>
      <w:r>
        <w:rPr>
          <w:szCs w:val="24"/>
          <w:vertAlign w:val="subscript"/>
        </w:rPr>
        <w:t>2</w:t>
      </w:r>
      <w:r>
        <w:rPr>
          <w:szCs w:val="24"/>
        </w:rPr>
        <w:t>O (uso di concimi);</w:t>
      </w:r>
    </w:p>
    <w:p w:rsidR="0093431D" w:rsidRDefault="0093431D" w:rsidP="0093431D">
      <w:pPr>
        <w:pStyle w:val="Corpodeltesto"/>
        <w:numPr>
          <w:ilvl w:val="0"/>
          <w:numId w:val="3"/>
        </w:numPr>
        <w:spacing w:after="60"/>
        <w:ind w:left="357" w:hanging="357"/>
        <w:rPr>
          <w:szCs w:val="24"/>
        </w:rPr>
      </w:pPr>
      <w:r>
        <w:rPr>
          <w:szCs w:val="24"/>
        </w:rPr>
        <w:t>emissione dai pascoli di N</w:t>
      </w:r>
      <w:r>
        <w:rPr>
          <w:szCs w:val="24"/>
          <w:vertAlign w:val="subscript"/>
        </w:rPr>
        <w:t>2</w:t>
      </w:r>
      <w:r>
        <w:rPr>
          <w:szCs w:val="24"/>
        </w:rPr>
        <w:t>O;</w:t>
      </w:r>
    </w:p>
    <w:p w:rsidR="0093431D" w:rsidRDefault="0093431D" w:rsidP="0093431D">
      <w:pPr>
        <w:pStyle w:val="Corpodeltesto"/>
        <w:numPr>
          <w:ilvl w:val="0"/>
          <w:numId w:val="3"/>
        </w:numPr>
        <w:spacing w:after="60"/>
        <w:ind w:left="357" w:hanging="357"/>
        <w:rPr>
          <w:szCs w:val="24"/>
        </w:rPr>
      </w:pPr>
      <w:r>
        <w:rPr>
          <w:szCs w:val="24"/>
        </w:rPr>
        <w:t>emissioni dagli allevamenti di CH</w:t>
      </w:r>
      <w:r>
        <w:rPr>
          <w:szCs w:val="24"/>
          <w:vertAlign w:val="subscript"/>
        </w:rPr>
        <w:t>4</w:t>
      </w:r>
      <w:r>
        <w:rPr>
          <w:szCs w:val="24"/>
        </w:rPr>
        <w:t xml:space="preserve"> e N</w:t>
      </w:r>
      <w:r>
        <w:rPr>
          <w:szCs w:val="24"/>
          <w:vertAlign w:val="subscript"/>
        </w:rPr>
        <w:t>2</w:t>
      </w:r>
      <w:r>
        <w:rPr>
          <w:szCs w:val="24"/>
        </w:rPr>
        <w:t>O (fermentazione intestinale degli animali).</w:t>
      </w:r>
    </w:p>
    <w:p w:rsidR="0093431D" w:rsidRDefault="0093431D" w:rsidP="0093431D">
      <w:pPr>
        <w:pStyle w:val="Corpodeltesto"/>
        <w:numPr>
          <w:ilvl w:val="0"/>
          <w:numId w:val="0"/>
        </w:numPr>
        <w:spacing w:after="120"/>
        <w:rPr>
          <w:szCs w:val="24"/>
        </w:rPr>
      </w:pPr>
      <w:r>
        <w:rPr>
          <w:szCs w:val="24"/>
        </w:rPr>
        <w:t>Il contributo più importante, in termini percentuali, viene dato dal settore degli allevamenti, responsabili del 19,14% delle emissioni totali di CH</w:t>
      </w:r>
      <w:r>
        <w:rPr>
          <w:szCs w:val="24"/>
          <w:vertAlign w:val="subscript"/>
        </w:rPr>
        <w:t>4</w:t>
      </w:r>
      <w:r>
        <w:rPr>
          <w:szCs w:val="24"/>
        </w:rPr>
        <w:t xml:space="preserve"> e del 65,14 % di quelle di N</w:t>
      </w:r>
      <w:r>
        <w:rPr>
          <w:szCs w:val="24"/>
          <w:vertAlign w:val="subscript"/>
        </w:rPr>
        <w:t>2</w:t>
      </w:r>
      <w:r>
        <w:rPr>
          <w:szCs w:val="24"/>
        </w:rPr>
        <w:t>O.</w:t>
      </w:r>
    </w:p>
    <w:p w:rsidR="0093431D" w:rsidRDefault="0093431D" w:rsidP="0093431D">
      <w:pPr>
        <w:pStyle w:val="Corpodeltesto"/>
        <w:numPr>
          <w:ilvl w:val="0"/>
          <w:numId w:val="0"/>
        </w:numPr>
        <w:spacing w:after="120"/>
        <w:rPr>
          <w:szCs w:val="24"/>
        </w:rPr>
      </w:pPr>
      <w:r>
        <w:rPr>
          <w:szCs w:val="24"/>
        </w:rPr>
        <w:t>L’insieme delle attività agricole e pastorali risulta avere poco peso rispetto alle emissioni totali di CO</w:t>
      </w:r>
      <w:r>
        <w:rPr>
          <w:szCs w:val="24"/>
          <w:vertAlign w:val="subscript"/>
        </w:rPr>
        <w:t>2</w:t>
      </w:r>
      <w:r>
        <w:rPr>
          <w:szCs w:val="24"/>
        </w:rPr>
        <w:t xml:space="preserve"> (1,86%) mentre risulta determinante per le emissioni di N</w:t>
      </w:r>
      <w:r>
        <w:rPr>
          <w:szCs w:val="24"/>
          <w:vertAlign w:val="subscript"/>
        </w:rPr>
        <w:t>2</w:t>
      </w:r>
      <w:r>
        <w:rPr>
          <w:szCs w:val="24"/>
        </w:rPr>
        <w:t>O e CH</w:t>
      </w:r>
      <w:r>
        <w:rPr>
          <w:szCs w:val="24"/>
          <w:vertAlign w:val="subscript"/>
        </w:rPr>
        <w:t>4</w:t>
      </w:r>
      <w:r>
        <w:rPr>
          <w:szCs w:val="24"/>
        </w:rPr>
        <w:t>.</w:t>
      </w:r>
    </w:p>
    <w:p w:rsidR="0093431D" w:rsidRDefault="0093431D" w:rsidP="0093431D">
      <w:pPr>
        <w:pStyle w:val="Corpodeltesto"/>
        <w:numPr>
          <w:ilvl w:val="0"/>
          <w:numId w:val="0"/>
        </w:numPr>
        <w:spacing w:after="120"/>
        <w:rPr>
          <w:szCs w:val="24"/>
        </w:rPr>
      </w:pPr>
      <w:r>
        <w:rPr>
          <w:szCs w:val="24"/>
        </w:rPr>
        <w:t>Per il primo gas, infatti, le emissioni derivanti dal settore agricolo e pastorale sono pari al 93,3% delle emissioni totali. Il metano derivante da agricoltura e allevamenti risulta essere invece pari al 19,2% del totale di CH</w:t>
      </w:r>
      <w:r>
        <w:rPr>
          <w:szCs w:val="24"/>
          <w:vertAlign w:val="subscript"/>
        </w:rPr>
        <w:t>4</w:t>
      </w:r>
      <w:r>
        <w:rPr>
          <w:szCs w:val="24"/>
        </w:rPr>
        <w:t xml:space="preserve"> emesso. Di seguito viene riportata una tabella con i dati relativi all’anno 2002 (Fonte: PEAR).</w:t>
      </w:r>
    </w:p>
    <w:p w:rsidR="0093431D" w:rsidRDefault="0093431D" w:rsidP="0093431D">
      <w:pPr>
        <w:pStyle w:val="Corpodeltesto"/>
        <w:numPr>
          <w:ilvl w:val="0"/>
          <w:numId w:val="0"/>
        </w:numPr>
        <w:rPr>
          <w:szCs w:val="24"/>
        </w:rPr>
      </w:pPr>
    </w:p>
    <w:p w:rsidR="0093431D" w:rsidRDefault="0093431D" w:rsidP="0093431D">
      <w:pPr>
        <w:pStyle w:val="Corpodeltesto"/>
        <w:numPr>
          <w:ilvl w:val="0"/>
          <w:numId w:val="0"/>
        </w:numPr>
        <w:rPr>
          <w:szCs w:val="24"/>
        </w:rPr>
      </w:pPr>
      <w:r>
        <w:rPr>
          <w:b/>
          <w:highlight w:val="lightGray"/>
        </w:rPr>
        <w:t>Figura XXX   – Regione Marche Scala Contributo del macrosettore “agricoltura” alle emissioni totali di gas climalteranti</w:t>
      </w:r>
    </w:p>
    <w:p w:rsidR="0093431D" w:rsidRDefault="0093431D" w:rsidP="0093431D">
      <w:pPr>
        <w:jc w:val="both"/>
        <w:rPr>
          <w:b/>
          <w:szCs w:val="24"/>
        </w:rPr>
      </w:pPr>
    </w:p>
    <w:tbl>
      <w:tblPr>
        <w:tblW w:w="9733" w:type="dxa"/>
        <w:tblInd w:w="57" w:type="dxa"/>
        <w:tblCellMar>
          <w:left w:w="70" w:type="dxa"/>
          <w:right w:w="70" w:type="dxa"/>
        </w:tblCellMar>
        <w:tblLook w:val="0000"/>
      </w:tblPr>
      <w:tblGrid>
        <w:gridCol w:w="2173"/>
        <w:gridCol w:w="1080"/>
        <w:gridCol w:w="1620"/>
        <w:gridCol w:w="1800"/>
        <w:gridCol w:w="1287"/>
        <w:gridCol w:w="1773"/>
      </w:tblGrid>
      <w:tr w:rsidR="0093431D" w:rsidTr="00BA1F65">
        <w:trPr>
          <w:trHeight w:val="255"/>
        </w:trPr>
        <w:tc>
          <w:tcPr>
            <w:tcW w:w="2173" w:type="dxa"/>
            <w:tcBorders>
              <w:top w:val="single" w:sz="4" w:space="0" w:color="auto"/>
              <w:left w:val="single" w:sz="4" w:space="0" w:color="auto"/>
              <w:bottom w:val="single" w:sz="4" w:space="0" w:color="auto"/>
              <w:right w:val="single" w:sz="4" w:space="0" w:color="auto"/>
            </w:tcBorders>
            <w:noWrap/>
            <w:vAlign w:val="bottom"/>
          </w:tcPr>
          <w:p w:rsidR="0093431D" w:rsidRDefault="0093431D" w:rsidP="00BA1F65">
            <w:pPr>
              <w:rPr>
                <w:b/>
                <w:bCs/>
                <w:szCs w:val="24"/>
              </w:rPr>
            </w:pPr>
            <w:r>
              <w:rPr>
                <w:b/>
                <w:bCs/>
                <w:szCs w:val="24"/>
              </w:rPr>
              <w:t>Settore</w:t>
            </w:r>
          </w:p>
        </w:tc>
        <w:tc>
          <w:tcPr>
            <w:tcW w:w="1080" w:type="dxa"/>
            <w:tcBorders>
              <w:top w:val="single" w:sz="4" w:space="0" w:color="auto"/>
              <w:left w:val="nil"/>
              <w:bottom w:val="single" w:sz="4" w:space="0" w:color="auto"/>
              <w:right w:val="single" w:sz="4" w:space="0" w:color="auto"/>
            </w:tcBorders>
            <w:noWrap/>
            <w:vAlign w:val="bottom"/>
          </w:tcPr>
          <w:p w:rsidR="0093431D" w:rsidRDefault="0093431D" w:rsidP="00BA1F65">
            <w:pPr>
              <w:rPr>
                <w:b/>
                <w:bCs/>
                <w:szCs w:val="24"/>
              </w:rPr>
            </w:pPr>
            <w:r>
              <w:rPr>
                <w:b/>
                <w:bCs/>
                <w:szCs w:val="24"/>
              </w:rPr>
              <w:t>GAS</w:t>
            </w:r>
          </w:p>
        </w:tc>
        <w:tc>
          <w:tcPr>
            <w:tcW w:w="1620" w:type="dxa"/>
            <w:tcBorders>
              <w:top w:val="single" w:sz="4" w:space="0" w:color="auto"/>
              <w:left w:val="nil"/>
              <w:bottom w:val="single" w:sz="4" w:space="0" w:color="auto"/>
              <w:right w:val="single" w:sz="4" w:space="0" w:color="auto"/>
            </w:tcBorders>
            <w:noWrap/>
            <w:vAlign w:val="bottom"/>
          </w:tcPr>
          <w:p w:rsidR="0093431D" w:rsidRDefault="0093431D" w:rsidP="00BA1F65">
            <w:pPr>
              <w:rPr>
                <w:b/>
                <w:bCs/>
                <w:szCs w:val="24"/>
              </w:rPr>
            </w:pPr>
            <w:r>
              <w:rPr>
                <w:b/>
                <w:bCs/>
                <w:szCs w:val="24"/>
              </w:rPr>
              <w:t>Totale emissione Regionali</w:t>
            </w:r>
          </w:p>
        </w:tc>
        <w:tc>
          <w:tcPr>
            <w:tcW w:w="1800" w:type="dxa"/>
            <w:tcBorders>
              <w:top w:val="single" w:sz="4" w:space="0" w:color="auto"/>
              <w:left w:val="nil"/>
              <w:bottom w:val="single" w:sz="4" w:space="0" w:color="auto"/>
              <w:right w:val="single" w:sz="4" w:space="0" w:color="auto"/>
            </w:tcBorders>
            <w:noWrap/>
            <w:vAlign w:val="bottom"/>
          </w:tcPr>
          <w:p w:rsidR="0093431D" w:rsidRDefault="0093431D" w:rsidP="00BA1F65">
            <w:pPr>
              <w:rPr>
                <w:b/>
                <w:bCs/>
                <w:szCs w:val="24"/>
              </w:rPr>
            </w:pPr>
            <w:r>
              <w:rPr>
                <w:b/>
                <w:bCs/>
                <w:szCs w:val="24"/>
              </w:rPr>
              <w:t>Emissione settore</w:t>
            </w:r>
          </w:p>
        </w:tc>
        <w:tc>
          <w:tcPr>
            <w:tcW w:w="1287" w:type="dxa"/>
            <w:tcBorders>
              <w:top w:val="single" w:sz="4" w:space="0" w:color="auto"/>
              <w:left w:val="nil"/>
              <w:bottom w:val="single" w:sz="4" w:space="0" w:color="auto"/>
              <w:right w:val="nil"/>
            </w:tcBorders>
            <w:vAlign w:val="bottom"/>
          </w:tcPr>
          <w:p w:rsidR="0093431D" w:rsidRDefault="0093431D" w:rsidP="00BA1F65">
            <w:pPr>
              <w:rPr>
                <w:b/>
                <w:bCs/>
                <w:szCs w:val="24"/>
              </w:rPr>
            </w:pPr>
            <w:r>
              <w:rPr>
                <w:b/>
                <w:bCs/>
                <w:szCs w:val="24"/>
              </w:rPr>
              <w:t>Contributo settore</w:t>
            </w:r>
          </w:p>
        </w:tc>
        <w:tc>
          <w:tcPr>
            <w:tcW w:w="1773" w:type="dxa"/>
            <w:tcBorders>
              <w:top w:val="single" w:sz="4" w:space="0" w:color="auto"/>
              <w:left w:val="nil"/>
              <w:bottom w:val="single" w:sz="4" w:space="0" w:color="auto"/>
              <w:right w:val="nil"/>
            </w:tcBorders>
          </w:tcPr>
          <w:p w:rsidR="0093431D" w:rsidRDefault="0093431D" w:rsidP="00BA1F65">
            <w:pPr>
              <w:rPr>
                <w:b/>
                <w:bCs/>
                <w:szCs w:val="24"/>
              </w:rPr>
            </w:pPr>
            <w:r>
              <w:rPr>
                <w:b/>
                <w:bCs/>
                <w:szCs w:val="24"/>
              </w:rPr>
              <w:t>Contributo totale macrosettore “agricoltura”</w:t>
            </w:r>
          </w:p>
        </w:tc>
      </w:tr>
      <w:tr w:rsidR="0093431D" w:rsidTr="00BA1F65">
        <w:trPr>
          <w:trHeight w:val="255"/>
        </w:trPr>
        <w:tc>
          <w:tcPr>
            <w:tcW w:w="2173" w:type="dxa"/>
            <w:tcBorders>
              <w:top w:val="nil"/>
              <w:left w:val="single" w:sz="4" w:space="0" w:color="auto"/>
              <w:bottom w:val="double" w:sz="4" w:space="0" w:color="auto"/>
              <w:right w:val="single" w:sz="4" w:space="0" w:color="auto"/>
            </w:tcBorders>
            <w:noWrap/>
            <w:vAlign w:val="bottom"/>
          </w:tcPr>
          <w:p w:rsidR="0093431D" w:rsidRDefault="0093431D" w:rsidP="00BA1F65">
            <w:pPr>
              <w:rPr>
                <w:szCs w:val="24"/>
              </w:rPr>
            </w:pPr>
            <w:r>
              <w:rPr>
                <w:szCs w:val="24"/>
              </w:rPr>
              <w:t>Agricoltura</w:t>
            </w:r>
          </w:p>
        </w:tc>
        <w:tc>
          <w:tcPr>
            <w:tcW w:w="1080" w:type="dxa"/>
            <w:tcBorders>
              <w:top w:val="nil"/>
              <w:left w:val="nil"/>
              <w:bottom w:val="double" w:sz="4" w:space="0" w:color="auto"/>
              <w:right w:val="single" w:sz="4" w:space="0" w:color="auto"/>
            </w:tcBorders>
            <w:noWrap/>
            <w:vAlign w:val="bottom"/>
          </w:tcPr>
          <w:p w:rsidR="0093431D" w:rsidRDefault="0093431D" w:rsidP="00BA1F65">
            <w:pPr>
              <w:jc w:val="center"/>
              <w:rPr>
                <w:szCs w:val="24"/>
              </w:rPr>
            </w:pPr>
            <w:r>
              <w:rPr>
                <w:szCs w:val="24"/>
              </w:rPr>
              <w:t>CO</w:t>
            </w:r>
            <w:r>
              <w:rPr>
                <w:szCs w:val="24"/>
                <w:vertAlign w:val="subscript"/>
              </w:rPr>
              <w:t>2</w:t>
            </w:r>
          </w:p>
        </w:tc>
        <w:tc>
          <w:tcPr>
            <w:tcW w:w="1620" w:type="dxa"/>
            <w:tcBorders>
              <w:top w:val="nil"/>
              <w:left w:val="nil"/>
              <w:bottom w:val="double" w:sz="4" w:space="0" w:color="auto"/>
              <w:right w:val="single" w:sz="4" w:space="0" w:color="auto"/>
            </w:tcBorders>
            <w:noWrap/>
            <w:vAlign w:val="bottom"/>
          </w:tcPr>
          <w:p w:rsidR="0093431D" w:rsidRDefault="0093431D" w:rsidP="00BA1F65">
            <w:pPr>
              <w:jc w:val="right"/>
              <w:rPr>
                <w:szCs w:val="24"/>
              </w:rPr>
            </w:pPr>
            <w:r>
              <w:rPr>
                <w:szCs w:val="24"/>
              </w:rPr>
              <w:t>10.465,70</w:t>
            </w:r>
          </w:p>
        </w:tc>
        <w:tc>
          <w:tcPr>
            <w:tcW w:w="1800" w:type="dxa"/>
            <w:tcBorders>
              <w:top w:val="nil"/>
              <w:left w:val="nil"/>
              <w:bottom w:val="double" w:sz="4" w:space="0" w:color="auto"/>
              <w:right w:val="single" w:sz="4" w:space="0" w:color="auto"/>
            </w:tcBorders>
            <w:noWrap/>
            <w:vAlign w:val="bottom"/>
          </w:tcPr>
          <w:p w:rsidR="0093431D" w:rsidRDefault="0093431D" w:rsidP="00BA1F65">
            <w:pPr>
              <w:jc w:val="right"/>
              <w:rPr>
                <w:szCs w:val="24"/>
              </w:rPr>
            </w:pPr>
            <w:r>
              <w:rPr>
                <w:szCs w:val="24"/>
              </w:rPr>
              <w:t>194,50</w:t>
            </w:r>
          </w:p>
        </w:tc>
        <w:tc>
          <w:tcPr>
            <w:tcW w:w="1287" w:type="dxa"/>
            <w:tcBorders>
              <w:top w:val="nil"/>
              <w:left w:val="nil"/>
              <w:bottom w:val="double" w:sz="4" w:space="0" w:color="auto"/>
              <w:right w:val="nil"/>
            </w:tcBorders>
            <w:vAlign w:val="bottom"/>
          </w:tcPr>
          <w:p w:rsidR="0093431D" w:rsidRDefault="0093431D" w:rsidP="00BA1F65">
            <w:pPr>
              <w:jc w:val="right"/>
              <w:rPr>
                <w:szCs w:val="24"/>
              </w:rPr>
            </w:pPr>
            <w:r>
              <w:rPr>
                <w:szCs w:val="24"/>
              </w:rPr>
              <w:t>1,86 %</w:t>
            </w:r>
          </w:p>
        </w:tc>
        <w:tc>
          <w:tcPr>
            <w:tcW w:w="1773" w:type="dxa"/>
            <w:tcBorders>
              <w:top w:val="nil"/>
              <w:left w:val="nil"/>
              <w:bottom w:val="double" w:sz="4" w:space="0" w:color="auto"/>
              <w:right w:val="nil"/>
            </w:tcBorders>
          </w:tcPr>
          <w:p w:rsidR="0093431D" w:rsidRDefault="0093431D" w:rsidP="00BA1F65">
            <w:pPr>
              <w:jc w:val="right"/>
              <w:rPr>
                <w:szCs w:val="24"/>
              </w:rPr>
            </w:pPr>
            <w:r>
              <w:rPr>
                <w:szCs w:val="24"/>
              </w:rPr>
              <w:t>1,86 %</w:t>
            </w:r>
          </w:p>
        </w:tc>
      </w:tr>
      <w:tr w:rsidR="0093431D" w:rsidTr="00BA1F65">
        <w:trPr>
          <w:cantSplit/>
          <w:trHeight w:val="255"/>
        </w:trPr>
        <w:tc>
          <w:tcPr>
            <w:tcW w:w="2173" w:type="dxa"/>
            <w:tcBorders>
              <w:top w:val="double" w:sz="4" w:space="0" w:color="auto"/>
              <w:left w:val="single" w:sz="4" w:space="0" w:color="auto"/>
              <w:bottom w:val="single" w:sz="4" w:space="0" w:color="auto"/>
              <w:right w:val="single" w:sz="4" w:space="0" w:color="auto"/>
            </w:tcBorders>
            <w:noWrap/>
            <w:vAlign w:val="bottom"/>
          </w:tcPr>
          <w:p w:rsidR="0093431D" w:rsidRDefault="0093431D" w:rsidP="00BA1F65">
            <w:pPr>
              <w:rPr>
                <w:szCs w:val="24"/>
              </w:rPr>
            </w:pPr>
            <w:r>
              <w:rPr>
                <w:szCs w:val="24"/>
              </w:rPr>
              <w:t>Agricoltura</w:t>
            </w:r>
          </w:p>
        </w:tc>
        <w:tc>
          <w:tcPr>
            <w:tcW w:w="1080" w:type="dxa"/>
            <w:vMerge w:val="restart"/>
            <w:tcBorders>
              <w:top w:val="double" w:sz="4" w:space="0" w:color="auto"/>
              <w:left w:val="nil"/>
              <w:right w:val="single" w:sz="4" w:space="0" w:color="auto"/>
            </w:tcBorders>
            <w:noWrap/>
            <w:vAlign w:val="center"/>
          </w:tcPr>
          <w:p w:rsidR="0093431D" w:rsidRDefault="0093431D" w:rsidP="00BA1F65">
            <w:pPr>
              <w:jc w:val="center"/>
              <w:rPr>
                <w:szCs w:val="24"/>
              </w:rPr>
            </w:pPr>
            <w:r>
              <w:rPr>
                <w:szCs w:val="24"/>
              </w:rPr>
              <w:t>CH</w:t>
            </w:r>
            <w:r>
              <w:rPr>
                <w:szCs w:val="24"/>
                <w:vertAlign w:val="subscript"/>
              </w:rPr>
              <w:t>4</w:t>
            </w:r>
          </w:p>
        </w:tc>
        <w:tc>
          <w:tcPr>
            <w:tcW w:w="1620" w:type="dxa"/>
            <w:vMerge w:val="restart"/>
            <w:tcBorders>
              <w:top w:val="double" w:sz="4" w:space="0" w:color="auto"/>
              <w:left w:val="nil"/>
              <w:right w:val="single" w:sz="4" w:space="0" w:color="auto"/>
            </w:tcBorders>
            <w:noWrap/>
            <w:vAlign w:val="center"/>
          </w:tcPr>
          <w:p w:rsidR="0093431D" w:rsidRDefault="0093431D" w:rsidP="00BA1F65">
            <w:pPr>
              <w:jc w:val="right"/>
              <w:rPr>
                <w:szCs w:val="24"/>
              </w:rPr>
            </w:pPr>
            <w:r>
              <w:rPr>
                <w:szCs w:val="24"/>
              </w:rPr>
              <w:t>49,95</w:t>
            </w:r>
          </w:p>
        </w:tc>
        <w:tc>
          <w:tcPr>
            <w:tcW w:w="1800" w:type="dxa"/>
            <w:tcBorders>
              <w:top w:val="double" w:sz="4" w:space="0" w:color="auto"/>
              <w:left w:val="nil"/>
              <w:bottom w:val="single" w:sz="4" w:space="0" w:color="auto"/>
              <w:right w:val="single" w:sz="4" w:space="0" w:color="auto"/>
            </w:tcBorders>
            <w:noWrap/>
            <w:vAlign w:val="bottom"/>
          </w:tcPr>
          <w:p w:rsidR="0093431D" w:rsidRDefault="0093431D" w:rsidP="00BA1F65">
            <w:pPr>
              <w:jc w:val="right"/>
              <w:rPr>
                <w:szCs w:val="24"/>
              </w:rPr>
            </w:pPr>
            <w:r>
              <w:rPr>
                <w:szCs w:val="24"/>
              </w:rPr>
              <w:t>0,03</w:t>
            </w:r>
          </w:p>
        </w:tc>
        <w:tc>
          <w:tcPr>
            <w:tcW w:w="1287" w:type="dxa"/>
            <w:tcBorders>
              <w:top w:val="double" w:sz="4" w:space="0" w:color="auto"/>
              <w:left w:val="nil"/>
              <w:bottom w:val="single" w:sz="4" w:space="0" w:color="auto"/>
              <w:right w:val="nil"/>
            </w:tcBorders>
            <w:vAlign w:val="bottom"/>
          </w:tcPr>
          <w:p w:rsidR="0093431D" w:rsidRDefault="0093431D" w:rsidP="00BA1F65">
            <w:pPr>
              <w:jc w:val="right"/>
              <w:rPr>
                <w:szCs w:val="24"/>
              </w:rPr>
            </w:pPr>
            <w:r>
              <w:rPr>
                <w:szCs w:val="24"/>
              </w:rPr>
              <w:t>0,06 %</w:t>
            </w:r>
          </w:p>
        </w:tc>
        <w:tc>
          <w:tcPr>
            <w:tcW w:w="1773" w:type="dxa"/>
            <w:vMerge w:val="restart"/>
            <w:tcBorders>
              <w:top w:val="double" w:sz="4" w:space="0" w:color="auto"/>
              <w:left w:val="nil"/>
              <w:right w:val="nil"/>
            </w:tcBorders>
            <w:vAlign w:val="center"/>
          </w:tcPr>
          <w:p w:rsidR="0093431D" w:rsidRDefault="0093431D" w:rsidP="00BA1F65">
            <w:pPr>
              <w:jc w:val="right"/>
              <w:rPr>
                <w:szCs w:val="24"/>
              </w:rPr>
            </w:pPr>
            <w:r>
              <w:rPr>
                <w:szCs w:val="24"/>
              </w:rPr>
              <w:t>19,20 %</w:t>
            </w:r>
          </w:p>
        </w:tc>
      </w:tr>
      <w:tr w:rsidR="0093431D" w:rsidTr="00BA1F65">
        <w:trPr>
          <w:cantSplit/>
          <w:trHeight w:val="255"/>
        </w:trPr>
        <w:tc>
          <w:tcPr>
            <w:tcW w:w="2173" w:type="dxa"/>
            <w:tcBorders>
              <w:top w:val="nil"/>
              <w:left w:val="single" w:sz="4" w:space="0" w:color="auto"/>
              <w:bottom w:val="double" w:sz="4" w:space="0" w:color="auto"/>
              <w:right w:val="single" w:sz="4" w:space="0" w:color="auto"/>
            </w:tcBorders>
            <w:noWrap/>
            <w:vAlign w:val="bottom"/>
          </w:tcPr>
          <w:p w:rsidR="0093431D" w:rsidRDefault="0093431D" w:rsidP="00BA1F65">
            <w:pPr>
              <w:rPr>
                <w:szCs w:val="24"/>
              </w:rPr>
            </w:pPr>
            <w:r>
              <w:rPr>
                <w:szCs w:val="24"/>
              </w:rPr>
              <w:t>Allevamenti</w:t>
            </w:r>
          </w:p>
        </w:tc>
        <w:tc>
          <w:tcPr>
            <w:tcW w:w="1080" w:type="dxa"/>
            <w:vMerge/>
            <w:tcBorders>
              <w:left w:val="nil"/>
              <w:bottom w:val="double" w:sz="4" w:space="0" w:color="auto"/>
              <w:right w:val="single" w:sz="4" w:space="0" w:color="auto"/>
            </w:tcBorders>
            <w:noWrap/>
            <w:vAlign w:val="bottom"/>
          </w:tcPr>
          <w:p w:rsidR="0093431D" w:rsidRDefault="0093431D" w:rsidP="00BA1F65">
            <w:pPr>
              <w:jc w:val="center"/>
              <w:rPr>
                <w:szCs w:val="24"/>
              </w:rPr>
            </w:pPr>
          </w:p>
        </w:tc>
        <w:tc>
          <w:tcPr>
            <w:tcW w:w="1620" w:type="dxa"/>
            <w:vMerge/>
            <w:tcBorders>
              <w:left w:val="nil"/>
              <w:bottom w:val="double" w:sz="4" w:space="0" w:color="auto"/>
              <w:right w:val="single" w:sz="4" w:space="0" w:color="auto"/>
            </w:tcBorders>
            <w:noWrap/>
            <w:vAlign w:val="bottom"/>
          </w:tcPr>
          <w:p w:rsidR="0093431D" w:rsidRDefault="0093431D" w:rsidP="00BA1F65">
            <w:pPr>
              <w:jc w:val="right"/>
              <w:rPr>
                <w:szCs w:val="24"/>
              </w:rPr>
            </w:pPr>
          </w:p>
        </w:tc>
        <w:tc>
          <w:tcPr>
            <w:tcW w:w="1800" w:type="dxa"/>
            <w:tcBorders>
              <w:top w:val="nil"/>
              <w:left w:val="nil"/>
              <w:bottom w:val="double" w:sz="4" w:space="0" w:color="auto"/>
              <w:right w:val="single" w:sz="4" w:space="0" w:color="auto"/>
            </w:tcBorders>
            <w:noWrap/>
            <w:vAlign w:val="bottom"/>
          </w:tcPr>
          <w:p w:rsidR="0093431D" w:rsidRDefault="0093431D" w:rsidP="00BA1F65">
            <w:pPr>
              <w:jc w:val="right"/>
              <w:rPr>
                <w:szCs w:val="24"/>
              </w:rPr>
            </w:pPr>
            <w:r>
              <w:rPr>
                <w:szCs w:val="24"/>
              </w:rPr>
              <w:t>9,56</w:t>
            </w:r>
          </w:p>
        </w:tc>
        <w:tc>
          <w:tcPr>
            <w:tcW w:w="1287" w:type="dxa"/>
            <w:tcBorders>
              <w:top w:val="nil"/>
              <w:left w:val="nil"/>
              <w:bottom w:val="double" w:sz="4" w:space="0" w:color="auto"/>
              <w:right w:val="nil"/>
            </w:tcBorders>
            <w:vAlign w:val="bottom"/>
          </w:tcPr>
          <w:p w:rsidR="0093431D" w:rsidRDefault="0093431D" w:rsidP="00BA1F65">
            <w:pPr>
              <w:jc w:val="right"/>
              <w:rPr>
                <w:szCs w:val="24"/>
              </w:rPr>
            </w:pPr>
            <w:r>
              <w:rPr>
                <w:szCs w:val="24"/>
              </w:rPr>
              <w:t>19,14 %</w:t>
            </w:r>
          </w:p>
        </w:tc>
        <w:tc>
          <w:tcPr>
            <w:tcW w:w="1773" w:type="dxa"/>
            <w:vMerge/>
            <w:tcBorders>
              <w:left w:val="nil"/>
              <w:bottom w:val="double" w:sz="4" w:space="0" w:color="auto"/>
              <w:right w:val="nil"/>
            </w:tcBorders>
          </w:tcPr>
          <w:p w:rsidR="0093431D" w:rsidRDefault="0093431D" w:rsidP="00BA1F65">
            <w:pPr>
              <w:jc w:val="right"/>
              <w:rPr>
                <w:szCs w:val="24"/>
              </w:rPr>
            </w:pPr>
          </w:p>
        </w:tc>
      </w:tr>
      <w:tr w:rsidR="0093431D" w:rsidTr="00BA1F65">
        <w:trPr>
          <w:cantSplit/>
          <w:trHeight w:val="255"/>
        </w:trPr>
        <w:tc>
          <w:tcPr>
            <w:tcW w:w="2173" w:type="dxa"/>
            <w:tcBorders>
              <w:top w:val="double" w:sz="4" w:space="0" w:color="auto"/>
              <w:left w:val="single" w:sz="4" w:space="0" w:color="auto"/>
              <w:bottom w:val="single" w:sz="4" w:space="0" w:color="auto"/>
              <w:right w:val="single" w:sz="4" w:space="0" w:color="auto"/>
            </w:tcBorders>
            <w:noWrap/>
            <w:vAlign w:val="bottom"/>
          </w:tcPr>
          <w:p w:rsidR="0093431D" w:rsidRDefault="0093431D" w:rsidP="00BA1F65">
            <w:pPr>
              <w:rPr>
                <w:szCs w:val="24"/>
              </w:rPr>
            </w:pPr>
            <w:r>
              <w:rPr>
                <w:szCs w:val="24"/>
              </w:rPr>
              <w:t>Agricoltura</w:t>
            </w:r>
          </w:p>
        </w:tc>
        <w:tc>
          <w:tcPr>
            <w:tcW w:w="1080" w:type="dxa"/>
            <w:vMerge w:val="restart"/>
            <w:tcBorders>
              <w:top w:val="double" w:sz="4" w:space="0" w:color="auto"/>
              <w:left w:val="nil"/>
              <w:right w:val="single" w:sz="4" w:space="0" w:color="auto"/>
            </w:tcBorders>
            <w:noWrap/>
            <w:vAlign w:val="center"/>
          </w:tcPr>
          <w:p w:rsidR="0093431D" w:rsidRDefault="0093431D" w:rsidP="00BA1F65">
            <w:pPr>
              <w:jc w:val="center"/>
              <w:rPr>
                <w:szCs w:val="24"/>
              </w:rPr>
            </w:pPr>
            <w:r>
              <w:rPr>
                <w:szCs w:val="24"/>
              </w:rPr>
              <w:t>N</w:t>
            </w:r>
            <w:r>
              <w:rPr>
                <w:szCs w:val="24"/>
                <w:vertAlign w:val="subscript"/>
              </w:rPr>
              <w:t>2</w:t>
            </w:r>
            <w:r>
              <w:rPr>
                <w:szCs w:val="24"/>
              </w:rPr>
              <w:t>O</w:t>
            </w:r>
          </w:p>
        </w:tc>
        <w:tc>
          <w:tcPr>
            <w:tcW w:w="1620" w:type="dxa"/>
            <w:vMerge w:val="restart"/>
            <w:tcBorders>
              <w:top w:val="double" w:sz="4" w:space="0" w:color="auto"/>
              <w:left w:val="nil"/>
              <w:right w:val="single" w:sz="4" w:space="0" w:color="auto"/>
            </w:tcBorders>
            <w:noWrap/>
            <w:vAlign w:val="center"/>
          </w:tcPr>
          <w:p w:rsidR="0093431D" w:rsidRDefault="0093431D" w:rsidP="00BA1F65">
            <w:pPr>
              <w:jc w:val="right"/>
              <w:rPr>
                <w:szCs w:val="24"/>
              </w:rPr>
            </w:pPr>
            <w:r>
              <w:rPr>
                <w:szCs w:val="24"/>
              </w:rPr>
              <w:t>4,03</w:t>
            </w:r>
          </w:p>
        </w:tc>
        <w:tc>
          <w:tcPr>
            <w:tcW w:w="1800" w:type="dxa"/>
            <w:tcBorders>
              <w:top w:val="double" w:sz="4" w:space="0" w:color="auto"/>
              <w:left w:val="nil"/>
              <w:bottom w:val="single" w:sz="4" w:space="0" w:color="auto"/>
              <w:right w:val="single" w:sz="4" w:space="0" w:color="auto"/>
            </w:tcBorders>
            <w:noWrap/>
            <w:vAlign w:val="bottom"/>
          </w:tcPr>
          <w:p w:rsidR="0093431D" w:rsidRDefault="0093431D" w:rsidP="00BA1F65">
            <w:pPr>
              <w:jc w:val="right"/>
              <w:rPr>
                <w:szCs w:val="24"/>
              </w:rPr>
            </w:pPr>
            <w:r>
              <w:rPr>
                <w:szCs w:val="24"/>
              </w:rPr>
              <w:t>0,04</w:t>
            </w:r>
          </w:p>
        </w:tc>
        <w:tc>
          <w:tcPr>
            <w:tcW w:w="1287" w:type="dxa"/>
            <w:tcBorders>
              <w:top w:val="double" w:sz="4" w:space="0" w:color="auto"/>
              <w:left w:val="nil"/>
              <w:bottom w:val="single" w:sz="4" w:space="0" w:color="auto"/>
              <w:right w:val="nil"/>
            </w:tcBorders>
            <w:vAlign w:val="bottom"/>
          </w:tcPr>
          <w:p w:rsidR="0093431D" w:rsidRDefault="0093431D" w:rsidP="00BA1F65">
            <w:pPr>
              <w:jc w:val="right"/>
              <w:rPr>
                <w:szCs w:val="24"/>
              </w:rPr>
            </w:pPr>
            <w:r>
              <w:rPr>
                <w:szCs w:val="24"/>
              </w:rPr>
              <w:t>0,99 %</w:t>
            </w:r>
          </w:p>
        </w:tc>
        <w:tc>
          <w:tcPr>
            <w:tcW w:w="1773" w:type="dxa"/>
            <w:vMerge w:val="restart"/>
            <w:tcBorders>
              <w:top w:val="double" w:sz="4" w:space="0" w:color="auto"/>
              <w:left w:val="nil"/>
              <w:right w:val="nil"/>
            </w:tcBorders>
            <w:vAlign w:val="center"/>
          </w:tcPr>
          <w:p w:rsidR="0093431D" w:rsidRDefault="0093431D" w:rsidP="00BA1F65">
            <w:pPr>
              <w:jc w:val="right"/>
              <w:rPr>
                <w:szCs w:val="24"/>
              </w:rPr>
            </w:pPr>
            <w:r>
              <w:rPr>
                <w:szCs w:val="24"/>
              </w:rPr>
              <w:t>93,3 %</w:t>
            </w:r>
          </w:p>
        </w:tc>
      </w:tr>
      <w:tr w:rsidR="0093431D" w:rsidTr="00BA1F65">
        <w:trPr>
          <w:cantSplit/>
          <w:trHeight w:val="255"/>
        </w:trPr>
        <w:tc>
          <w:tcPr>
            <w:tcW w:w="2173" w:type="dxa"/>
            <w:tcBorders>
              <w:top w:val="nil"/>
              <w:left w:val="single" w:sz="4" w:space="0" w:color="auto"/>
              <w:bottom w:val="single" w:sz="4" w:space="0" w:color="auto"/>
              <w:right w:val="single" w:sz="4" w:space="0" w:color="auto"/>
            </w:tcBorders>
            <w:noWrap/>
            <w:vAlign w:val="bottom"/>
          </w:tcPr>
          <w:p w:rsidR="0093431D" w:rsidRDefault="0093431D" w:rsidP="00BA1F65">
            <w:pPr>
              <w:rPr>
                <w:szCs w:val="24"/>
              </w:rPr>
            </w:pPr>
            <w:r>
              <w:rPr>
                <w:szCs w:val="24"/>
              </w:rPr>
              <w:t>Coltivazioni fertilizzate</w:t>
            </w:r>
          </w:p>
        </w:tc>
        <w:tc>
          <w:tcPr>
            <w:tcW w:w="1080" w:type="dxa"/>
            <w:vMerge/>
            <w:tcBorders>
              <w:left w:val="nil"/>
              <w:right w:val="single" w:sz="4" w:space="0" w:color="auto"/>
            </w:tcBorders>
            <w:noWrap/>
            <w:vAlign w:val="bottom"/>
          </w:tcPr>
          <w:p w:rsidR="0093431D" w:rsidRDefault="0093431D" w:rsidP="00BA1F65">
            <w:pPr>
              <w:rPr>
                <w:szCs w:val="24"/>
              </w:rPr>
            </w:pPr>
          </w:p>
        </w:tc>
        <w:tc>
          <w:tcPr>
            <w:tcW w:w="1620" w:type="dxa"/>
            <w:vMerge/>
            <w:tcBorders>
              <w:left w:val="nil"/>
              <w:right w:val="single" w:sz="4" w:space="0" w:color="auto"/>
            </w:tcBorders>
            <w:noWrap/>
            <w:vAlign w:val="bottom"/>
          </w:tcPr>
          <w:p w:rsidR="0093431D" w:rsidRDefault="0093431D" w:rsidP="00BA1F65">
            <w:pPr>
              <w:jc w:val="right"/>
              <w:rPr>
                <w:szCs w:val="24"/>
              </w:rPr>
            </w:pPr>
          </w:p>
        </w:tc>
        <w:tc>
          <w:tcPr>
            <w:tcW w:w="1800" w:type="dxa"/>
            <w:tcBorders>
              <w:top w:val="nil"/>
              <w:left w:val="nil"/>
              <w:bottom w:val="single" w:sz="4" w:space="0" w:color="auto"/>
              <w:right w:val="single" w:sz="4" w:space="0" w:color="auto"/>
            </w:tcBorders>
            <w:noWrap/>
            <w:vAlign w:val="bottom"/>
          </w:tcPr>
          <w:p w:rsidR="0093431D" w:rsidRDefault="0093431D" w:rsidP="00BA1F65">
            <w:pPr>
              <w:jc w:val="right"/>
              <w:rPr>
                <w:szCs w:val="24"/>
              </w:rPr>
            </w:pPr>
            <w:r>
              <w:rPr>
                <w:szCs w:val="24"/>
              </w:rPr>
              <w:t>0,93</w:t>
            </w:r>
          </w:p>
        </w:tc>
        <w:tc>
          <w:tcPr>
            <w:tcW w:w="1287" w:type="dxa"/>
            <w:tcBorders>
              <w:top w:val="nil"/>
              <w:left w:val="nil"/>
              <w:bottom w:val="single" w:sz="4" w:space="0" w:color="auto"/>
              <w:right w:val="nil"/>
            </w:tcBorders>
            <w:vAlign w:val="bottom"/>
          </w:tcPr>
          <w:p w:rsidR="0093431D" w:rsidRDefault="0093431D" w:rsidP="00BA1F65">
            <w:pPr>
              <w:jc w:val="right"/>
              <w:rPr>
                <w:szCs w:val="24"/>
              </w:rPr>
            </w:pPr>
            <w:r>
              <w:rPr>
                <w:szCs w:val="24"/>
              </w:rPr>
              <w:t>23,08 %</w:t>
            </w:r>
          </w:p>
        </w:tc>
        <w:tc>
          <w:tcPr>
            <w:tcW w:w="1773" w:type="dxa"/>
            <w:vMerge/>
            <w:tcBorders>
              <w:left w:val="nil"/>
              <w:right w:val="nil"/>
            </w:tcBorders>
          </w:tcPr>
          <w:p w:rsidR="0093431D" w:rsidRDefault="0093431D" w:rsidP="00BA1F65">
            <w:pPr>
              <w:jc w:val="right"/>
              <w:rPr>
                <w:szCs w:val="24"/>
              </w:rPr>
            </w:pPr>
          </w:p>
        </w:tc>
      </w:tr>
      <w:tr w:rsidR="0093431D" w:rsidTr="00BA1F65">
        <w:trPr>
          <w:cantSplit/>
          <w:trHeight w:val="255"/>
        </w:trPr>
        <w:tc>
          <w:tcPr>
            <w:tcW w:w="2173" w:type="dxa"/>
            <w:tcBorders>
              <w:top w:val="nil"/>
              <w:left w:val="single" w:sz="4" w:space="0" w:color="auto"/>
              <w:bottom w:val="single" w:sz="4" w:space="0" w:color="auto"/>
              <w:right w:val="single" w:sz="4" w:space="0" w:color="auto"/>
            </w:tcBorders>
            <w:noWrap/>
            <w:vAlign w:val="bottom"/>
          </w:tcPr>
          <w:p w:rsidR="0093431D" w:rsidRDefault="0093431D" w:rsidP="00BA1F65">
            <w:pPr>
              <w:rPr>
                <w:szCs w:val="24"/>
              </w:rPr>
            </w:pPr>
            <w:r>
              <w:rPr>
                <w:szCs w:val="24"/>
              </w:rPr>
              <w:t>Pascoli</w:t>
            </w:r>
          </w:p>
        </w:tc>
        <w:tc>
          <w:tcPr>
            <w:tcW w:w="1080" w:type="dxa"/>
            <w:vMerge/>
            <w:tcBorders>
              <w:left w:val="nil"/>
              <w:right w:val="single" w:sz="4" w:space="0" w:color="auto"/>
            </w:tcBorders>
            <w:noWrap/>
            <w:vAlign w:val="bottom"/>
          </w:tcPr>
          <w:p w:rsidR="0093431D" w:rsidRDefault="0093431D" w:rsidP="00BA1F65">
            <w:pPr>
              <w:rPr>
                <w:szCs w:val="24"/>
              </w:rPr>
            </w:pPr>
          </w:p>
        </w:tc>
        <w:tc>
          <w:tcPr>
            <w:tcW w:w="1620" w:type="dxa"/>
            <w:vMerge/>
            <w:tcBorders>
              <w:left w:val="nil"/>
              <w:right w:val="single" w:sz="4" w:space="0" w:color="auto"/>
            </w:tcBorders>
            <w:noWrap/>
            <w:vAlign w:val="bottom"/>
          </w:tcPr>
          <w:p w:rsidR="0093431D" w:rsidRDefault="0093431D" w:rsidP="00BA1F65">
            <w:pPr>
              <w:jc w:val="right"/>
              <w:rPr>
                <w:szCs w:val="24"/>
              </w:rPr>
            </w:pPr>
          </w:p>
        </w:tc>
        <w:tc>
          <w:tcPr>
            <w:tcW w:w="1800" w:type="dxa"/>
            <w:tcBorders>
              <w:top w:val="nil"/>
              <w:left w:val="nil"/>
              <w:bottom w:val="single" w:sz="4" w:space="0" w:color="auto"/>
              <w:right w:val="single" w:sz="4" w:space="0" w:color="auto"/>
            </w:tcBorders>
            <w:noWrap/>
            <w:vAlign w:val="bottom"/>
          </w:tcPr>
          <w:p w:rsidR="0093431D" w:rsidRDefault="0093431D" w:rsidP="00BA1F65">
            <w:pPr>
              <w:jc w:val="right"/>
              <w:rPr>
                <w:szCs w:val="24"/>
              </w:rPr>
            </w:pPr>
            <w:r>
              <w:rPr>
                <w:szCs w:val="24"/>
              </w:rPr>
              <w:t>0,16</w:t>
            </w:r>
          </w:p>
        </w:tc>
        <w:tc>
          <w:tcPr>
            <w:tcW w:w="1287" w:type="dxa"/>
            <w:tcBorders>
              <w:top w:val="nil"/>
              <w:left w:val="nil"/>
              <w:bottom w:val="single" w:sz="4" w:space="0" w:color="auto"/>
              <w:right w:val="nil"/>
            </w:tcBorders>
            <w:vAlign w:val="bottom"/>
          </w:tcPr>
          <w:p w:rsidR="0093431D" w:rsidRDefault="0093431D" w:rsidP="00BA1F65">
            <w:pPr>
              <w:jc w:val="right"/>
              <w:rPr>
                <w:szCs w:val="24"/>
              </w:rPr>
            </w:pPr>
            <w:r>
              <w:rPr>
                <w:szCs w:val="24"/>
              </w:rPr>
              <w:t>3,97 %</w:t>
            </w:r>
          </w:p>
        </w:tc>
        <w:tc>
          <w:tcPr>
            <w:tcW w:w="1773" w:type="dxa"/>
            <w:vMerge/>
            <w:tcBorders>
              <w:left w:val="nil"/>
              <w:right w:val="nil"/>
            </w:tcBorders>
          </w:tcPr>
          <w:p w:rsidR="0093431D" w:rsidRDefault="0093431D" w:rsidP="00BA1F65">
            <w:pPr>
              <w:jc w:val="right"/>
              <w:rPr>
                <w:szCs w:val="24"/>
              </w:rPr>
            </w:pPr>
          </w:p>
        </w:tc>
      </w:tr>
      <w:tr w:rsidR="0093431D" w:rsidTr="00BA1F65">
        <w:trPr>
          <w:cantSplit/>
          <w:trHeight w:val="255"/>
        </w:trPr>
        <w:tc>
          <w:tcPr>
            <w:tcW w:w="2173" w:type="dxa"/>
            <w:tcBorders>
              <w:top w:val="nil"/>
              <w:left w:val="single" w:sz="4" w:space="0" w:color="auto"/>
              <w:bottom w:val="double" w:sz="4" w:space="0" w:color="auto"/>
              <w:right w:val="single" w:sz="4" w:space="0" w:color="auto"/>
            </w:tcBorders>
            <w:noWrap/>
            <w:vAlign w:val="bottom"/>
          </w:tcPr>
          <w:p w:rsidR="0093431D" w:rsidRDefault="0093431D" w:rsidP="00BA1F65">
            <w:pPr>
              <w:rPr>
                <w:szCs w:val="24"/>
              </w:rPr>
            </w:pPr>
            <w:r>
              <w:rPr>
                <w:szCs w:val="24"/>
              </w:rPr>
              <w:t>Allevamenti</w:t>
            </w:r>
          </w:p>
        </w:tc>
        <w:tc>
          <w:tcPr>
            <w:tcW w:w="1080" w:type="dxa"/>
            <w:vMerge/>
            <w:tcBorders>
              <w:left w:val="nil"/>
              <w:bottom w:val="double" w:sz="4" w:space="0" w:color="auto"/>
              <w:right w:val="single" w:sz="4" w:space="0" w:color="auto"/>
            </w:tcBorders>
            <w:noWrap/>
            <w:vAlign w:val="bottom"/>
          </w:tcPr>
          <w:p w:rsidR="0093431D" w:rsidRDefault="0093431D" w:rsidP="00BA1F65">
            <w:pPr>
              <w:rPr>
                <w:szCs w:val="24"/>
              </w:rPr>
            </w:pPr>
          </w:p>
        </w:tc>
        <w:tc>
          <w:tcPr>
            <w:tcW w:w="1620" w:type="dxa"/>
            <w:vMerge/>
            <w:tcBorders>
              <w:left w:val="nil"/>
              <w:bottom w:val="double" w:sz="4" w:space="0" w:color="auto"/>
              <w:right w:val="single" w:sz="4" w:space="0" w:color="auto"/>
            </w:tcBorders>
            <w:noWrap/>
            <w:vAlign w:val="bottom"/>
          </w:tcPr>
          <w:p w:rsidR="0093431D" w:rsidRDefault="0093431D" w:rsidP="00BA1F65">
            <w:pPr>
              <w:jc w:val="right"/>
              <w:rPr>
                <w:szCs w:val="24"/>
              </w:rPr>
            </w:pPr>
          </w:p>
        </w:tc>
        <w:tc>
          <w:tcPr>
            <w:tcW w:w="1800" w:type="dxa"/>
            <w:tcBorders>
              <w:top w:val="nil"/>
              <w:left w:val="nil"/>
              <w:bottom w:val="double" w:sz="4" w:space="0" w:color="auto"/>
              <w:right w:val="single" w:sz="4" w:space="0" w:color="auto"/>
            </w:tcBorders>
            <w:noWrap/>
            <w:vAlign w:val="bottom"/>
          </w:tcPr>
          <w:p w:rsidR="0093431D" w:rsidRDefault="0093431D" w:rsidP="00BA1F65">
            <w:pPr>
              <w:jc w:val="right"/>
              <w:rPr>
                <w:szCs w:val="24"/>
              </w:rPr>
            </w:pPr>
            <w:r>
              <w:rPr>
                <w:szCs w:val="24"/>
              </w:rPr>
              <w:t>2,63</w:t>
            </w:r>
          </w:p>
        </w:tc>
        <w:tc>
          <w:tcPr>
            <w:tcW w:w="1287" w:type="dxa"/>
            <w:tcBorders>
              <w:top w:val="nil"/>
              <w:left w:val="nil"/>
              <w:bottom w:val="double" w:sz="4" w:space="0" w:color="auto"/>
              <w:right w:val="nil"/>
            </w:tcBorders>
            <w:vAlign w:val="bottom"/>
          </w:tcPr>
          <w:p w:rsidR="0093431D" w:rsidRDefault="0093431D" w:rsidP="00BA1F65">
            <w:pPr>
              <w:jc w:val="right"/>
              <w:rPr>
                <w:szCs w:val="24"/>
              </w:rPr>
            </w:pPr>
            <w:r>
              <w:rPr>
                <w:szCs w:val="24"/>
              </w:rPr>
              <w:t>65,26 %</w:t>
            </w:r>
          </w:p>
        </w:tc>
        <w:tc>
          <w:tcPr>
            <w:tcW w:w="1773" w:type="dxa"/>
            <w:vMerge/>
            <w:tcBorders>
              <w:left w:val="nil"/>
              <w:bottom w:val="double" w:sz="4" w:space="0" w:color="auto"/>
              <w:right w:val="nil"/>
            </w:tcBorders>
          </w:tcPr>
          <w:p w:rsidR="0093431D" w:rsidRDefault="0093431D" w:rsidP="00BA1F65">
            <w:pPr>
              <w:jc w:val="right"/>
              <w:rPr>
                <w:szCs w:val="24"/>
              </w:rPr>
            </w:pPr>
          </w:p>
        </w:tc>
      </w:tr>
    </w:tbl>
    <w:p w:rsidR="0093431D" w:rsidRDefault="0093431D" w:rsidP="0093431D">
      <w:pPr>
        <w:pStyle w:val="Fonte"/>
        <w:spacing w:before="240" w:after="360"/>
      </w:pPr>
      <w:r w:rsidRPr="008F6E98">
        <w:lastRenderedPageBreak/>
        <w:t xml:space="preserve">Fonte : </w:t>
      </w:r>
      <w:r>
        <w:t>Dati</w:t>
      </w:r>
      <w:r w:rsidRPr="008F6E98">
        <w:t xml:space="preserve"> </w:t>
      </w:r>
      <w:r>
        <w:t>Regione Marche</w:t>
      </w:r>
    </w:p>
    <w:p w:rsidR="0093431D" w:rsidRDefault="0093431D" w:rsidP="0093431D">
      <w:pPr>
        <w:pStyle w:val="Corpodeltesto"/>
        <w:numPr>
          <w:ilvl w:val="0"/>
          <w:numId w:val="0"/>
        </w:numPr>
        <w:spacing w:after="120"/>
        <w:rPr>
          <w:szCs w:val="24"/>
        </w:rPr>
      </w:pPr>
      <w:r>
        <w:rPr>
          <w:szCs w:val="24"/>
        </w:rPr>
        <w:t xml:space="preserve">Se si confrontano i dati del </w:t>
      </w:r>
      <w:smartTag w:uri="urn:schemas-microsoft-com:office:smarttags" w:element="metricconverter">
        <w:smartTagPr>
          <w:attr w:name="ProductID" w:val="2002, in"/>
        </w:smartTagPr>
        <w:r>
          <w:rPr>
            <w:szCs w:val="24"/>
          </w:rPr>
          <w:t>2002, in</w:t>
        </w:r>
      </w:smartTag>
      <w:r>
        <w:rPr>
          <w:szCs w:val="24"/>
        </w:rPr>
        <w:t xml:space="preserve"> termini di CO</w:t>
      </w:r>
      <w:r>
        <w:rPr>
          <w:szCs w:val="24"/>
          <w:vertAlign w:val="subscript"/>
        </w:rPr>
        <w:t>2</w:t>
      </w:r>
      <w:r>
        <w:rPr>
          <w:szCs w:val="24"/>
        </w:rPr>
        <w:t xml:space="preserve"> equivalente, con i corrispondenti dati relativi al 1990, si evince che le variazioni relative al macrosettore “agricoltura” sono negative, ovvero che le emissioni legate ai settori agricoli e pastorali sono in diminuzione.</w:t>
      </w:r>
    </w:p>
    <w:p w:rsidR="0093431D" w:rsidRPr="002F06C7" w:rsidRDefault="0093431D" w:rsidP="0093431D">
      <w:pPr>
        <w:spacing w:after="120"/>
        <w:jc w:val="both"/>
        <w:rPr>
          <w:sz w:val="22"/>
          <w:szCs w:val="22"/>
        </w:rPr>
      </w:pPr>
      <w:r w:rsidRPr="00FE4242">
        <w:rPr>
          <w:sz w:val="22"/>
          <w:szCs w:val="22"/>
        </w:rPr>
        <w:t xml:space="preserve">Il dato viene ulteriormente confermato nell’ambito della revisione in atto del Rapporto sullo Stato dell’Ambiente </w:t>
      </w:r>
      <w:r>
        <w:rPr>
          <w:sz w:val="22"/>
          <w:szCs w:val="22"/>
        </w:rPr>
        <w:t xml:space="preserve">al 2009 </w:t>
      </w:r>
      <w:r w:rsidRPr="00FE4242">
        <w:rPr>
          <w:sz w:val="22"/>
          <w:szCs w:val="22"/>
        </w:rPr>
        <w:t>che evidenzia una riduzione del contributo del settore agricoltura alle emissioni climalteranti del 29,76% nel periodo 1990-2005.</w:t>
      </w:r>
    </w:p>
    <w:p w:rsidR="0093431D" w:rsidRDefault="0093431D" w:rsidP="0093431D">
      <w:pPr>
        <w:pStyle w:val="Corpodeltesto"/>
        <w:numPr>
          <w:ilvl w:val="0"/>
          <w:numId w:val="0"/>
        </w:numPr>
        <w:spacing w:after="120"/>
        <w:rPr>
          <w:szCs w:val="24"/>
        </w:rPr>
      </w:pPr>
    </w:p>
    <w:p w:rsidR="0093431D" w:rsidRDefault="0093431D" w:rsidP="0093431D">
      <w:pPr>
        <w:pStyle w:val="Corpodeltesto"/>
        <w:numPr>
          <w:ilvl w:val="0"/>
          <w:numId w:val="0"/>
        </w:numPr>
        <w:spacing w:after="120"/>
        <w:rPr>
          <w:szCs w:val="24"/>
        </w:rPr>
      </w:pPr>
      <w:r>
        <w:rPr>
          <w:szCs w:val="24"/>
        </w:rPr>
        <w:t>Tale flessione è con buona probabilità legata in parte alla riduzione delle pratiche legate a questi settori. La variazione delle emissioni totali (cioè derivanti anche dagli altri settori) è invece in aumento.</w:t>
      </w:r>
    </w:p>
    <w:p w:rsidR="0093431D" w:rsidRDefault="0093431D" w:rsidP="0093431D">
      <w:pPr>
        <w:jc w:val="both"/>
      </w:pPr>
      <w:r>
        <w:t>A livello regionale le emissioni di ammoniaca (NH3) sono state calcolate sulla base dei dati ISTAT anno 2005, utilizzando i fattori di emissioni medi del Manuale dei fattori di emissione nazionali – anno 2002 edito dal Centro Tematico Nazionale Atmosfera Clima ed Emissioni in Aria.</w:t>
      </w:r>
    </w:p>
    <w:p w:rsidR="0093431D" w:rsidRDefault="0093431D" w:rsidP="0093431D">
      <w:pPr>
        <w:jc w:val="both"/>
      </w:pPr>
      <w:smartTag w:uri="urn:schemas-microsoft-com:office:smarttags" w:element="PersonName">
        <w:smartTagPr>
          <w:attr w:name="ProductID" w:val="La PF Veterinaria"/>
        </w:smartTagPr>
        <w:r>
          <w:t>La PF Veterinaria</w:t>
        </w:r>
      </w:smartTag>
      <w:r>
        <w:t xml:space="preserve"> e Sicurezza Alimentare del Servizio Salute della Regione detiene dall’anno 2000 l’anagrafe dei bovini, pertanto per questa specie sono stati utilizzati i dati dell’anagrafe relativi all’anno 2005.</w:t>
      </w:r>
    </w:p>
    <w:p w:rsidR="0093431D" w:rsidRDefault="0093431D" w:rsidP="0093431D">
      <w:pPr>
        <w:jc w:val="both"/>
      </w:pPr>
    </w:p>
    <w:p w:rsidR="0093431D" w:rsidRPr="00FE4242" w:rsidRDefault="0093431D" w:rsidP="0093431D">
      <w:pPr>
        <w:pStyle w:val="Didascalia"/>
        <w:jc w:val="center"/>
        <w:rPr>
          <w:rFonts w:ascii="Arial" w:hAnsi="Arial" w:cs="Arial"/>
          <w:sz w:val="20"/>
        </w:rPr>
      </w:pPr>
      <w:r w:rsidRPr="00FE4242">
        <w:rPr>
          <w:rFonts w:ascii="Arial" w:hAnsi="Arial" w:cs="Arial"/>
          <w:sz w:val="20"/>
        </w:rPr>
        <w:t xml:space="preserve">Figura </w:t>
      </w:r>
      <w:r w:rsidRPr="00FE4242">
        <w:rPr>
          <w:rFonts w:ascii="Arial" w:hAnsi="Arial" w:cs="Arial"/>
          <w:sz w:val="20"/>
        </w:rPr>
        <w:fldChar w:fldCharType="begin"/>
      </w:r>
      <w:r w:rsidRPr="00FE4242">
        <w:rPr>
          <w:rFonts w:ascii="Arial" w:hAnsi="Arial" w:cs="Arial"/>
          <w:sz w:val="20"/>
        </w:rPr>
        <w:instrText xml:space="preserve"> SEQ Figura \* ARABIC </w:instrText>
      </w:r>
      <w:r w:rsidRPr="00FE4242">
        <w:rPr>
          <w:rFonts w:ascii="Arial" w:hAnsi="Arial" w:cs="Arial"/>
          <w:sz w:val="20"/>
        </w:rPr>
        <w:fldChar w:fldCharType="separate"/>
      </w:r>
      <w:r w:rsidRPr="00FE4242">
        <w:rPr>
          <w:rFonts w:ascii="Arial" w:hAnsi="Arial" w:cs="Arial"/>
          <w:noProof/>
          <w:sz w:val="20"/>
        </w:rPr>
        <w:t>3</w:t>
      </w:r>
      <w:r w:rsidRPr="00FE4242">
        <w:rPr>
          <w:rFonts w:ascii="Arial" w:hAnsi="Arial" w:cs="Arial"/>
          <w:sz w:val="20"/>
        </w:rPr>
        <w:fldChar w:fldCharType="end"/>
      </w:r>
      <w:r w:rsidRPr="00FE4242">
        <w:rPr>
          <w:rFonts w:ascii="Arial" w:hAnsi="Arial" w:cs="Arial"/>
          <w:sz w:val="20"/>
        </w:rPr>
        <w:t xml:space="preserve"> - Grafico 1- Emissioni di gas effetto serra per macrosettori. Anno 2005</w:t>
      </w:r>
    </w:p>
    <w:p w:rsidR="0093431D" w:rsidRPr="00FE4242" w:rsidRDefault="0093431D" w:rsidP="0093431D">
      <w:pPr>
        <w:tabs>
          <w:tab w:val="left" w:pos="1276"/>
        </w:tabs>
        <w:rPr>
          <w:sz w:val="22"/>
          <w:szCs w:val="22"/>
        </w:rPr>
      </w:pPr>
      <w:r w:rsidRPr="00FE4242">
        <w:rPr>
          <w:sz w:val="22"/>
          <w:szCs w:val="22"/>
        </w:rPr>
        <w:tab/>
      </w:r>
    </w:p>
    <w:p w:rsidR="0093431D" w:rsidRPr="00FE4242" w:rsidRDefault="0093431D" w:rsidP="0093431D">
      <w:pPr>
        <w:keepNext/>
        <w:spacing w:after="120"/>
        <w:jc w:val="center"/>
      </w:pPr>
      <w:r>
        <w:rPr>
          <w:noProof/>
        </w:rPr>
        <w:drawing>
          <wp:inline distT="0" distB="0" distL="0" distR="0">
            <wp:extent cx="3943350" cy="2552700"/>
            <wp:effectExtent l="0" t="0" r="0" b="0"/>
            <wp:docPr id="10"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2"/>
                    <pic:cNvPicPr>
                      <a:picLocks noChangeAspect="1" noChangeArrowheads="1"/>
                    </pic:cNvPicPr>
                  </pic:nvPicPr>
                  <pic:blipFill>
                    <a:blip r:embed="rId17"/>
                    <a:srcRect/>
                    <a:stretch>
                      <a:fillRect/>
                    </a:stretch>
                  </pic:blipFill>
                  <pic:spPr bwMode="auto">
                    <a:xfrm>
                      <a:off x="0" y="0"/>
                      <a:ext cx="3943350" cy="2552700"/>
                    </a:xfrm>
                    <a:prstGeom prst="rect">
                      <a:avLst/>
                    </a:prstGeom>
                    <a:noFill/>
                    <a:ln w="9525">
                      <a:noFill/>
                      <a:miter lim="800000"/>
                      <a:headEnd/>
                      <a:tailEnd/>
                    </a:ln>
                  </pic:spPr>
                </pic:pic>
              </a:graphicData>
            </a:graphic>
          </wp:inline>
        </w:drawing>
      </w:r>
    </w:p>
    <w:p w:rsidR="0093431D" w:rsidRPr="007865AA" w:rsidRDefault="0093431D" w:rsidP="0093431D">
      <w:pPr>
        <w:pStyle w:val="Didascalia"/>
        <w:rPr>
          <w:rFonts w:ascii="Arial" w:hAnsi="Arial" w:cs="Arial"/>
          <w:sz w:val="18"/>
          <w:szCs w:val="18"/>
        </w:rPr>
      </w:pPr>
      <w:r w:rsidRPr="00FE4242">
        <w:rPr>
          <w:rFonts w:ascii="Arial" w:hAnsi="Arial" w:cs="Arial"/>
          <w:sz w:val="18"/>
          <w:szCs w:val="18"/>
        </w:rPr>
        <w:t>Fonte: APAT - Inventario Nazionale delle Emissioni. Anno 2005. Elaborazione Regione Marche - Servizio Ambiente e Paesaggio</w:t>
      </w:r>
    </w:p>
    <w:p w:rsidR="0093431D" w:rsidRDefault="0093431D" w:rsidP="0093431D">
      <w:pPr>
        <w:jc w:val="both"/>
      </w:pPr>
    </w:p>
    <w:p w:rsidR="0093431D" w:rsidRDefault="0093431D" w:rsidP="0093431D">
      <w:pPr>
        <w:jc w:val="both"/>
      </w:pPr>
    </w:p>
    <w:p w:rsidR="0093431D" w:rsidRDefault="0093431D" w:rsidP="0093431D">
      <w:pPr>
        <w:jc w:val="both"/>
      </w:pPr>
      <w:r>
        <w:t>Il numero dei capi di vacche da latte è stato stimato sulla base dei dati AGEA per il regime quota latte e della media regionale di 77 ql/bovini/capo/anno, risultante dalle medie provinciali fornite dalle Associazioni provinciali allevatori.</w:t>
      </w:r>
    </w:p>
    <w:p w:rsidR="0093431D" w:rsidRDefault="0093431D" w:rsidP="0093431D">
      <w:pPr>
        <w:jc w:val="both"/>
      </w:pPr>
    </w:p>
    <w:p w:rsidR="0093431D" w:rsidRDefault="0093431D" w:rsidP="0093431D">
      <w:pPr>
        <w:jc w:val="both"/>
      </w:pPr>
      <w:r>
        <w:t xml:space="preserve"> </w:t>
      </w:r>
    </w:p>
    <w:p w:rsidR="0093431D" w:rsidRDefault="0093431D" w:rsidP="0093431D">
      <w:pPr>
        <w:jc w:val="both"/>
      </w:pPr>
    </w:p>
    <w:p w:rsidR="0093431D" w:rsidRDefault="0093431D" w:rsidP="0093431D">
      <w:pPr>
        <w:jc w:val="both"/>
      </w:pPr>
    </w:p>
    <w:p w:rsidR="0093431D" w:rsidRDefault="0093431D" w:rsidP="0093431D">
      <w:pPr>
        <w:jc w:val="both"/>
      </w:pPr>
    </w:p>
    <w:tbl>
      <w:tblPr>
        <w:tblW w:w="8740" w:type="dxa"/>
        <w:tblInd w:w="50" w:type="dxa"/>
        <w:tblCellMar>
          <w:left w:w="70" w:type="dxa"/>
          <w:right w:w="70" w:type="dxa"/>
        </w:tblCellMar>
        <w:tblLook w:val="0000"/>
      </w:tblPr>
      <w:tblGrid>
        <w:gridCol w:w="2091"/>
        <w:gridCol w:w="2963"/>
        <w:gridCol w:w="1573"/>
        <w:gridCol w:w="1056"/>
        <w:gridCol w:w="1057"/>
      </w:tblGrid>
      <w:tr w:rsidR="0093431D" w:rsidTr="00BA1F65">
        <w:trPr>
          <w:trHeight w:val="255"/>
        </w:trPr>
        <w:tc>
          <w:tcPr>
            <w:tcW w:w="8740" w:type="dxa"/>
            <w:gridSpan w:val="5"/>
            <w:tcBorders>
              <w:top w:val="nil"/>
              <w:left w:val="nil"/>
              <w:bottom w:val="nil"/>
              <w:right w:val="nil"/>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lastRenderedPageBreak/>
              <w:t>SUB-SETTORE  CODICE SNAP 100500 Allevamento animali (composti organici)</w:t>
            </w:r>
          </w:p>
        </w:tc>
      </w:tr>
      <w:tr w:rsidR="0093431D" w:rsidTr="00BA1F65">
        <w:trPr>
          <w:trHeight w:val="255"/>
        </w:trPr>
        <w:tc>
          <w:tcPr>
            <w:tcW w:w="2091"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2963"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1573"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1056"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1057"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r>
      <w:tr w:rsidR="0093431D" w:rsidTr="00BA1F65">
        <w:trPr>
          <w:trHeight w:val="285"/>
        </w:trPr>
        <w:tc>
          <w:tcPr>
            <w:tcW w:w="2091"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2963"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1573"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F.E.</w:t>
            </w:r>
          </w:p>
        </w:tc>
        <w:tc>
          <w:tcPr>
            <w:tcW w:w="1056" w:type="dxa"/>
            <w:tcBorders>
              <w:top w:val="single" w:sz="4" w:space="0" w:color="auto"/>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n.° capi</w:t>
            </w:r>
          </w:p>
        </w:tc>
        <w:tc>
          <w:tcPr>
            <w:tcW w:w="1057" w:type="dxa"/>
            <w:tcBorders>
              <w:top w:val="single" w:sz="4" w:space="0" w:color="auto"/>
              <w:left w:val="nil"/>
              <w:bottom w:val="nil"/>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NH</w:t>
            </w:r>
            <w:r>
              <w:rPr>
                <w:rFonts w:ascii="Arial" w:hAnsi="Arial" w:cs="Arial"/>
                <w:b/>
                <w:bCs/>
                <w:sz w:val="20"/>
                <w:vertAlign w:val="subscript"/>
              </w:rPr>
              <w:t>3</w:t>
            </w:r>
          </w:p>
        </w:tc>
      </w:tr>
      <w:tr w:rsidR="0093431D" w:rsidTr="00BA1F65">
        <w:trPr>
          <w:trHeight w:val="255"/>
        </w:trPr>
        <w:tc>
          <w:tcPr>
            <w:tcW w:w="2091" w:type="dxa"/>
            <w:tcBorders>
              <w:top w:val="nil"/>
              <w:left w:val="nil"/>
              <w:bottom w:val="single" w:sz="4" w:space="0" w:color="auto"/>
              <w:right w:val="nil"/>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2963" w:type="dxa"/>
            <w:tcBorders>
              <w:top w:val="nil"/>
              <w:left w:val="nil"/>
              <w:bottom w:val="single" w:sz="4" w:space="0" w:color="auto"/>
              <w:right w:val="nil"/>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Kg/capo*anno</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(t)</w:t>
            </w:r>
          </w:p>
        </w:tc>
      </w:tr>
      <w:tr w:rsidR="0093431D" w:rsidTr="00BA1F65">
        <w:trPr>
          <w:trHeight w:val="255"/>
        </w:trPr>
        <w:tc>
          <w:tcPr>
            <w:tcW w:w="2091" w:type="dxa"/>
            <w:tcBorders>
              <w:top w:val="nil"/>
              <w:left w:val="single" w:sz="4" w:space="0" w:color="auto"/>
              <w:bottom w:val="nil"/>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Bovini *</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Vacche da latte**</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43,72</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5.773</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252,396</w:t>
            </w:r>
          </w:p>
        </w:tc>
      </w:tr>
      <w:tr w:rsidR="0093431D" w:rsidTr="00BA1F65">
        <w:trPr>
          <w:trHeight w:val="255"/>
        </w:trPr>
        <w:tc>
          <w:tcPr>
            <w:tcW w:w="2091"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 </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Altri bovini</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20,34</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67.032</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1.363,431</w:t>
            </w:r>
          </w:p>
        </w:tc>
      </w:tr>
      <w:tr w:rsidR="0093431D" w:rsidTr="00BA1F65">
        <w:trPr>
          <w:trHeight w:val="255"/>
        </w:trPr>
        <w:tc>
          <w:tcPr>
            <w:tcW w:w="2091"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Suini</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6,48</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153.314</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993,475</w:t>
            </w:r>
          </w:p>
        </w:tc>
      </w:tr>
      <w:tr w:rsidR="0093431D" w:rsidTr="00BA1F65">
        <w:trPr>
          <w:trHeight w:val="255"/>
        </w:trPr>
        <w:tc>
          <w:tcPr>
            <w:tcW w:w="2091"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Scrofe</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10,75</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9.287</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99,835</w:t>
            </w:r>
          </w:p>
        </w:tc>
      </w:tr>
      <w:tr w:rsidR="0093431D" w:rsidTr="00BA1F65">
        <w:trPr>
          <w:trHeight w:val="255"/>
        </w:trPr>
        <w:tc>
          <w:tcPr>
            <w:tcW w:w="2091"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Ovini</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0,59</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206.367</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121,757</w:t>
            </w:r>
          </w:p>
        </w:tc>
      </w:tr>
      <w:tr w:rsidR="0093431D" w:rsidTr="00BA1F65">
        <w:trPr>
          <w:trHeight w:val="255"/>
        </w:trPr>
        <w:tc>
          <w:tcPr>
            <w:tcW w:w="2091"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Equini</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5,51</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3.667</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20,205</w:t>
            </w:r>
          </w:p>
        </w:tc>
      </w:tr>
      <w:tr w:rsidR="0093431D" w:rsidTr="00BA1F65">
        <w:trPr>
          <w:trHeight w:val="255"/>
        </w:trPr>
        <w:tc>
          <w:tcPr>
            <w:tcW w:w="2091" w:type="dxa"/>
            <w:tcBorders>
              <w:top w:val="nil"/>
              <w:left w:val="single" w:sz="4" w:space="0" w:color="auto"/>
              <w:bottom w:val="nil"/>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Galline ovaiole</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0,37</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1.341.640</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496,407</w:t>
            </w:r>
          </w:p>
        </w:tc>
      </w:tr>
      <w:tr w:rsidR="0093431D" w:rsidTr="00BA1F65">
        <w:trPr>
          <w:trHeight w:val="255"/>
        </w:trPr>
        <w:tc>
          <w:tcPr>
            <w:tcW w:w="2091" w:type="dxa"/>
            <w:tcBorders>
              <w:top w:val="nil"/>
              <w:left w:val="single" w:sz="4" w:space="0" w:color="auto"/>
              <w:bottom w:val="nil"/>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Allevamenti avicoli</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Pollastri</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0,2</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4.016.771</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803,354</w:t>
            </w:r>
          </w:p>
        </w:tc>
      </w:tr>
      <w:tr w:rsidR="0093431D" w:rsidTr="00BA1F65">
        <w:trPr>
          <w:trHeight w:val="255"/>
        </w:trPr>
        <w:tc>
          <w:tcPr>
            <w:tcW w:w="2091"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Altri avicoli(anatre,oche,ecc.)</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0,334</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5.001</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1,670</w:t>
            </w:r>
          </w:p>
        </w:tc>
      </w:tr>
      <w:tr w:rsidR="0093431D" w:rsidTr="00BA1F65">
        <w:trPr>
          <w:trHeight w:val="255"/>
        </w:trPr>
        <w:tc>
          <w:tcPr>
            <w:tcW w:w="2091" w:type="dxa"/>
            <w:tcBorders>
              <w:top w:val="nil"/>
              <w:left w:val="single" w:sz="4" w:space="0" w:color="auto"/>
              <w:bottom w:val="nil"/>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Caprini</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0,59</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6.995</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4,127</w:t>
            </w:r>
          </w:p>
        </w:tc>
      </w:tr>
      <w:tr w:rsidR="0093431D" w:rsidTr="00BA1F65">
        <w:trPr>
          <w:trHeight w:val="255"/>
        </w:trPr>
        <w:tc>
          <w:tcPr>
            <w:tcW w:w="2091"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Altro(conigli)</w:t>
            </w:r>
          </w:p>
        </w:tc>
        <w:tc>
          <w:tcPr>
            <w:tcW w:w="296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 </w:t>
            </w:r>
          </w:p>
        </w:tc>
        <w:tc>
          <w:tcPr>
            <w:tcW w:w="1573"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0,326</w:t>
            </w:r>
          </w:p>
        </w:tc>
        <w:tc>
          <w:tcPr>
            <w:tcW w:w="1056"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319.579</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sz w:val="20"/>
              </w:rPr>
            </w:pPr>
            <w:r>
              <w:rPr>
                <w:rFonts w:ascii="Arial" w:hAnsi="Arial" w:cs="Arial"/>
                <w:sz w:val="20"/>
              </w:rPr>
              <w:t>104,183</w:t>
            </w:r>
          </w:p>
        </w:tc>
      </w:tr>
      <w:tr w:rsidR="0093431D" w:rsidTr="00BA1F65">
        <w:trPr>
          <w:trHeight w:val="255"/>
        </w:trPr>
        <w:tc>
          <w:tcPr>
            <w:tcW w:w="2091" w:type="dxa"/>
            <w:tcBorders>
              <w:top w:val="nil"/>
              <w:left w:val="nil"/>
              <w:bottom w:val="nil"/>
              <w:right w:val="nil"/>
            </w:tcBorders>
            <w:shd w:val="clear" w:color="auto" w:fill="auto"/>
            <w:noWrap/>
            <w:vAlign w:val="bottom"/>
          </w:tcPr>
          <w:p w:rsidR="0093431D" w:rsidRDefault="0093431D" w:rsidP="00BA1F65">
            <w:pPr>
              <w:jc w:val="both"/>
              <w:rPr>
                <w:rFonts w:ascii="Arial" w:hAnsi="Arial" w:cs="Arial"/>
                <w:b/>
                <w:bCs/>
                <w:sz w:val="20"/>
              </w:rPr>
            </w:pPr>
          </w:p>
        </w:tc>
        <w:tc>
          <w:tcPr>
            <w:tcW w:w="2963"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1573" w:type="dxa"/>
            <w:tcBorders>
              <w:top w:val="nil"/>
              <w:left w:val="nil"/>
              <w:bottom w:val="nil"/>
              <w:right w:val="nil"/>
            </w:tcBorders>
            <w:shd w:val="clear" w:color="auto" w:fill="auto"/>
            <w:noWrap/>
            <w:vAlign w:val="bottom"/>
          </w:tcPr>
          <w:p w:rsidR="0093431D" w:rsidRDefault="0093431D" w:rsidP="00BA1F65">
            <w:pPr>
              <w:jc w:val="both"/>
              <w:rPr>
                <w:rFonts w:ascii="Arial" w:hAnsi="Arial" w:cs="Arial"/>
                <w:sz w:val="20"/>
              </w:rPr>
            </w:pPr>
          </w:p>
        </w:tc>
        <w:tc>
          <w:tcPr>
            <w:tcW w:w="1056" w:type="dxa"/>
            <w:tcBorders>
              <w:top w:val="nil"/>
              <w:left w:val="single" w:sz="4" w:space="0" w:color="auto"/>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Tot.</w:t>
            </w:r>
          </w:p>
        </w:tc>
        <w:tc>
          <w:tcPr>
            <w:tcW w:w="1057" w:type="dxa"/>
            <w:tcBorders>
              <w:top w:val="nil"/>
              <w:left w:val="nil"/>
              <w:bottom w:val="single" w:sz="4" w:space="0" w:color="auto"/>
              <w:right w:val="single" w:sz="4" w:space="0" w:color="auto"/>
            </w:tcBorders>
            <w:shd w:val="clear" w:color="auto" w:fill="auto"/>
            <w:noWrap/>
            <w:vAlign w:val="bottom"/>
          </w:tcPr>
          <w:p w:rsidR="0093431D" w:rsidRDefault="0093431D" w:rsidP="00BA1F65">
            <w:pPr>
              <w:jc w:val="both"/>
              <w:rPr>
                <w:rFonts w:ascii="Arial" w:hAnsi="Arial" w:cs="Arial"/>
                <w:b/>
                <w:bCs/>
                <w:sz w:val="20"/>
              </w:rPr>
            </w:pPr>
            <w:r>
              <w:rPr>
                <w:rFonts w:ascii="Arial" w:hAnsi="Arial" w:cs="Arial"/>
                <w:b/>
                <w:bCs/>
                <w:sz w:val="20"/>
              </w:rPr>
              <w:t>4.260,839</w:t>
            </w:r>
          </w:p>
        </w:tc>
      </w:tr>
    </w:tbl>
    <w:p w:rsidR="0093431D" w:rsidRDefault="0093431D" w:rsidP="0093431D">
      <w:pPr>
        <w:jc w:val="both"/>
      </w:pPr>
    </w:p>
    <w:p w:rsidR="0093431D" w:rsidRDefault="0093431D" w:rsidP="0093431D">
      <w:pPr>
        <w:jc w:val="both"/>
      </w:pPr>
    </w:p>
    <w:p w:rsidR="0093431D" w:rsidRDefault="0093431D" w:rsidP="0093431D">
      <w:pPr>
        <w:jc w:val="both"/>
      </w:pPr>
      <w:r>
        <w:t>Per valutare il rapporto tra il numero dei capi per specie regionale rispetto a quello nazionale si riporta la composizione percentuale regionale delle singole specie di bestiame rispetto a quella nazionale, assunta con base uguale a 100.</w:t>
      </w:r>
    </w:p>
    <w:p w:rsidR="0093431D" w:rsidRDefault="0093431D" w:rsidP="0093431D">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6"/>
        <w:gridCol w:w="1306"/>
        <w:gridCol w:w="1306"/>
        <w:gridCol w:w="1306"/>
        <w:gridCol w:w="1306"/>
        <w:gridCol w:w="1308"/>
        <w:gridCol w:w="1403"/>
      </w:tblGrid>
      <w:tr w:rsidR="0093431D" w:rsidTr="00BA1F65">
        <w:trPr>
          <w:trHeight w:val="265"/>
        </w:trPr>
        <w:tc>
          <w:tcPr>
            <w:tcW w:w="9146" w:type="dxa"/>
            <w:gridSpan w:val="7"/>
          </w:tcPr>
          <w:p w:rsidR="0093431D" w:rsidRDefault="0093431D" w:rsidP="00BA1F65">
            <w:pPr>
              <w:jc w:val="center"/>
            </w:pPr>
            <w:r>
              <w:t>Regione Marche – Composizione percentuale – anno 2005</w:t>
            </w:r>
          </w:p>
        </w:tc>
      </w:tr>
      <w:tr w:rsidR="0093431D" w:rsidTr="00BA1F65">
        <w:trPr>
          <w:trHeight w:val="265"/>
        </w:trPr>
        <w:tc>
          <w:tcPr>
            <w:tcW w:w="1306" w:type="dxa"/>
          </w:tcPr>
          <w:p w:rsidR="0093431D" w:rsidRDefault="0093431D" w:rsidP="00BA1F65">
            <w:r>
              <w:t>Bovini e bufalini</w:t>
            </w:r>
          </w:p>
        </w:tc>
        <w:tc>
          <w:tcPr>
            <w:tcW w:w="1306" w:type="dxa"/>
          </w:tcPr>
          <w:p w:rsidR="0093431D" w:rsidRDefault="0093431D" w:rsidP="00BA1F65">
            <w:r>
              <w:t>Suini</w:t>
            </w:r>
          </w:p>
        </w:tc>
        <w:tc>
          <w:tcPr>
            <w:tcW w:w="1306" w:type="dxa"/>
          </w:tcPr>
          <w:p w:rsidR="0093431D" w:rsidRDefault="0093431D" w:rsidP="00BA1F65">
            <w:r>
              <w:t xml:space="preserve">Ovini </w:t>
            </w:r>
          </w:p>
        </w:tc>
        <w:tc>
          <w:tcPr>
            <w:tcW w:w="1306" w:type="dxa"/>
          </w:tcPr>
          <w:p w:rsidR="0093431D" w:rsidRDefault="0093431D" w:rsidP="00BA1F65">
            <w:r>
              <w:t>Caprini</w:t>
            </w:r>
          </w:p>
        </w:tc>
        <w:tc>
          <w:tcPr>
            <w:tcW w:w="1306" w:type="dxa"/>
          </w:tcPr>
          <w:p w:rsidR="0093431D" w:rsidRDefault="0093431D" w:rsidP="00BA1F65">
            <w:r>
              <w:t>Equini</w:t>
            </w:r>
          </w:p>
        </w:tc>
        <w:tc>
          <w:tcPr>
            <w:tcW w:w="1308" w:type="dxa"/>
          </w:tcPr>
          <w:p w:rsidR="0093431D" w:rsidRDefault="0093431D" w:rsidP="00BA1F65">
            <w:r>
              <w:t>Conigli</w:t>
            </w:r>
          </w:p>
        </w:tc>
        <w:tc>
          <w:tcPr>
            <w:tcW w:w="1308" w:type="dxa"/>
          </w:tcPr>
          <w:p w:rsidR="0093431D" w:rsidRDefault="0093431D" w:rsidP="00BA1F65">
            <w:r>
              <w:t>Allevamenti avicoli</w:t>
            </w:r>
          </w:p>
        </w:tc>
      </w:tr>
      <w:tr w:rsidR="0093431D" w:rsidTr="00BA1F65">
        <w:trPr>
          <w:trHeight w:val="286"/>
        </w:trPr>
        <w:tc>
          <w:tcPr>
            <w:tcW w:w="1306" w:type="dxa"/>
          </w:tcPr>
          <w:p w:rsidR="0093431D" w:rsidRDefault="0093431D" w:rsidP="00BA1F65">
            <w:r>
              <w:t>1,2</w:t>
            </w:r>
          </w:p>
        </w:tc>
        <w:tc>
          <w:tcPr>
            <w:tcW w:w="1306" w:type="dxa"/>
          </w:tcPr>
          <w:p w:rsidR="0093431D" w:rsidRDefault="0093431D" w:rsidP="00BA1F65">
            <w:r>
              <w:t>1,3</w:t>
            </w:r>
          </w:p>
        </w:tc>
        <w:tc>
          <w:tcPr>
            <w:tcW w:w="1306" w:type="dxa"/>
          </w:tcPr>
          <w:p w:rsidR="0093431D" w:rsidRDefault="0093431D" w:rsidP="00BA1F65">
            <w:r>
              <w:t>3,0</w:t>
            </w:r>
          </w:p>
        </w:tc>
        <w:tc>
          <w:tcPr>
            <w:tcW w:w="1306" w:type="dxa"/>
          </w:tcPr>
          <w:p w:rsidR="0093431D" w:rsidRDefault="0093431D" w:rsidP="00BA1F65">
            <w:r>
              <w:t>0,8</w:t>
            </w:r>
          </w:p>
        </w:tc>
        <w:tc>
          <w:tcPr>
            <w:tcW w:w="1306" w:type="dxa"/>
          </w:tcPr>
          <w:p w:rsidR="0093431D" w:rsidRDefault="0093431D" w:rsidP="00BA1F65">
            <w:r>
              <w:t>2,6</w:t>
            </w:r>
          </w:p>
        </w:tc>
        <w:tc>
          <w:tcPr>
            <w:tcW w:w="1308" w:type="dxa"/>
          </w:tcPr>
          <w:p w:rsidR="0093431D" w:rsidRDefault="0093431D" w:rsidP="00BA1F65">
            <w:r>
              <w:t>4,5</w:t>
            </w:r>
          </w:p>
        </w:tc>
        <w:tc>
          <w:tcPr>
            <w:tcW w:w="1308" w:type="dxa"/>
          </w:tcPr>
          <w:p w:rsidR="0093431D" w:rsidRDefault="0093431D" w:rsidP="00BA1F65">
            <w:r>
              <w:t>3,5</w:t>
            </w:r>
          </w:p>
        </w:tc>
      </w:tr>
    </w:tbl>
    <w:p w:rsidR="0093431D" w:rsidRDefault="0093431D" w:rsidP="0093431D"/>
    <w:p w:rsidR="0093431D" w:rsidRDefault="0093431D" w:rsidP="0093431D"/>
    <w:p w:rsidR="0093431D" w:rsidRDefault="0093431D" w:rsidP="0093431D">
      <w:pPr>
        <w:jc w:val="both"/>
      </w:pPr>
      <w:r>
        <w:t>Dall’analisi dei dati ISTAT periodo 2003/2005 emergono delle variazioni percentuali negative rispetto al numero dei capi, solo per due specie di bestiame vi sono variazioni percentuali positive: bovini e bufalini ( 3,9%) ed equini (105,1%).</w:t>
      </w:r>
    </w:p>
    <w:p w:rsidR="0093431D" w:rsidRDefault="0093431D" w:rsidP="0093431D">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6"/>
        <w:gridCol w:w="1306"/>
        <w:gridCol w:w="1306"/>
        <w:gridCol w:w="1306"/>
        <w:gridCol w:w="1306"/>
        <w:gridCol w:w="1308"/>
        <w:gridCol w:w="1403"/>
      </w:tblGrid>
      <w:tr w:rsidR="0093431D" w:rsidTr="00BA1F65">
        <w:trPr>
          <w:trHeight w:val="265"/>
        </w:trPr>
        <w:tc>
          <w:tcPr>
            <w:tcW w:w="9146" w:type="dxa"/>
            <w:gridSpan w:val="7"/>
          </w:tcPr>
          <w:p w:rsidR="0093431D" w:rsidRDefault="0093431D" w:rsidP="00BA1F65">
            <w:pPr>
              <w:jc w:val="center"/>
            </w:pPr>
            <w:r>
              <w:t xml:space="preserve">Regione Marche – Variazioni percentuali 2005/2003 </w:t>
            </w:r>
          </w:p>
        </w:tc>
      </w:tr>
      <w:tr w:rsidR="0093431D" w:rsidTr="00BA1F65">
        <w:trPr>
          <w:trHeight w:val="265"/>
        </w:trPr>
        <w:tc>
          <w:tcPr>
            <w:tcW w:w="1306" w:type="dxa"/>
          </w:tcPr>
          <w:p w:rsidR="0093431D" w:rsidRDefault="0093431D" w:rsidP="00BA1F65">
            <w:r>
              <w:t>Bovini e bufalini</w:t>
            </w:r>
          </w:p>
        </w:tc>
        <w:tc>
          <w:tcPr>
            <w:tcW w:w="1306" w:type="dxa"/>
          </w:tcPr>
          <w:p w:rsidR="0093431D" w:rsidRDefault="0093431D" w:rsidP="00BA1F65">
            <w:r>
              <w:t>Suini</w:t>
            </w:r>
          </w:p>
        </w:tc>
        <w:tc>
          <w:tcPr>
            <w:tcW w:w="1306" w:type="dxa"/>
          </w:tcPr>
          <w:p w:rsidR="0093431D" w:rsidRDefault="0093431D" w:rsidP="00BA1F65">
            <w:r>
              <w:t xml:space="preserve">Ovini </w:t>
            </w:r>
          </w:p>
        </w:tc>
        <w:tc>
          <w:tcPr>
            <w:tcW w:w="1306" w:type="dxa"/>
          </w:tcPr>
          <w:p w:rsidR="0093431D" w:rsidRDefault="0093431D" w:rsidP="00BA1F65">
            <w:r>
              <w:t>Caprini</w:t>
            </w:r>
          </w:p>
        </w:tc>
        <w:tc>
          <w:tcPr>
            <w:tcW w:w="1306" w:type="dxa"/>
          </w:tcPr>
          <w:p w:rsidR="0093431D" w:rsidRDefault="0093431D" w:rsidP="00BA1F65">
            <w:r>
              <w:t>Equini</w:t>
            </w:r>
          </w:p>
        </w:tc>
        <w:tc>
          <w:tcPr>
            <w:tcW w:w="1308" w:type="dxa"/>
          </w:tcPr>
          <w:p w:rsidR="0093431D" w:rsidRDefault="0093431D" w:rsidP="00BA1F65">
            <w:r>
              <w:t>Conigli</w:t>
            </w:r>
          </w:p>
        </w:tc>
        <w:tc>
          <w:tcPr>
            <w:tcW w:w="1308" w:type="dxa"/>
          </w:tcPr>
          <w:p w:rsidR="0093431D" w:rsidRDefault="0093431D" w:rsidP="00BA1F65">
            <w:r>
              <w:t>Allevamenti avicoli</w:t>
            </w:r>
          </w:p>
        </w:tc>
      </w:tr>
      <w:tr w:rsidR="0093431D" w:rsidTr="00BA1F65">
        <w:trPr>
          <w:trHeight w:val="286"/>
        </w:trPr>
        <w:tc>
          <w:tcPr>
            <w:tcW w:w="1306" w:type="dxa"/>
          </w:tcPr>
          <w:p w:rsidR="0093431D" w:rsidRDefault="0093431D" w:rsidP="00BA1F65">
            <w:r>
              <w:t>3,9</w:t>
            </w:r>
          </w:p>
        </w:tc>
        <w:tc>
          <w:tcPr>
            <w:tcW w:w="1306" w:type="dxa"/>
          </w:tcPr>
          <w:p w:rsidR="0093431D" w:rsidRDefault="0093431D" w:rsidP="00BA1F65">
            <w:r>
              <w:t>- 2,3</w:t>
            </w:r>
          </w:p>
        </w:tc>
        <w:tc>
          <w:tcPr>
            <w:tcW w:w="1306" w:type="dxa"/>
          </w:tcPr>
          <w:p w:rsidR="0093431D" w:rsidRDefault="0093431D" w:rsidP="00BA1F65">
            <w:r>
              <w:t>-7,0</w:t>
            </w:r>
          </w:p>
        </w:tc>
        <w:tc>
          <w:tcPr>
            <w:tcW w:w="1306" w:type="dxa"/>
          </w:tcPr>
          <w:p w:rsidR="0093431D" w:rsidRDefault="0093431D" w:rsidP="00BA1F65">
            <w:r>
              <w:t>- 9,5</w:t>
            </w:r>
          </w:p>
        </w:tc>
        <w:tc>
          <w:tcPr>
            <w:tcW w:w="1306" w:type="dxa"/>
          </w:tcPr>
          <w:p w:rsidR="0093431D" w:rsidRDefault="0093431D" w:rsidP="00BA1F65">
            <w:r>
              <w:t>105,1</w:t>
            </w:r>
          </w:p>
        </w:tc>
        <w:tc>
          <w:tcPr>
            <w:tcW w:w="1308" w:type="dxa"/>
          </w:tcPr>
          <w:p w:rsidR="0093431D" w:rsidRDefault="0093431D" w:rsidP="00BA1F65">
            <w:r>
              <w:t>- 12,6</w:t>
            </w:r>
          </w:p>
        </w:tc>
        <w:tc>
          <w:tcPr>
            <w:tcW w:w="1308" w:type="dxa"/>
          </w:tcPr>
          <w:p w:rsidR="0093431D" w:rsidRDefault="0093431D" w:rsidP="00BA1F65">
            <w:r>
              <w:t>- 6,2</w:t>
            </w:r>
          </w:p>
        </w:tc>
      </w:tr>
    </w:tbl>
    <w:p w:rsidR="0093431D" w:rsidRDefault="0093431D" w:rsidP="0093431D"/>
    <w:p w:rsidR="0093431D" w:rsidRPr="002160DE" w:rsidRDefault="0093431D" w:rsidP="0093431D">
      <w:pPr>
        <w:jc w:val="both"/>
      </w:pPr>
      <w:r w:rsidRPr="002160DE">
        <w:t>Il crescente interesse a livello regionale per la produzione di biogas previa digestione anaerobica degli effluenti zootecnici, oltre alla riduzione di gas ad effetto serra e di gas maleodoranti, sostituzione di combustibili fossili con combustibili da fonti rinnovabili e stabilizzazione controllata dei liquami prima del loro utilizzo agronomico</w:t>
      </w:r>
      <w:r>
        <w:t>,</w:t>
      </w:r>
      <w:r w:rsidRPr="002160DE">
        <w:t xml:space="preserve"> comporta anche una riduzio</w:t>
      </w:r>
      <w:r>
        <w:t>ne delle emissioni di ammoniaca</w:t>
      </w:r>
      <w:r w:rsidRPr="002160DE">
        <w:t xml:space="preserve">. </w:t>
      </w:r>
      <w:r>
        <w:t>Sul</w:t>
      </w:r>
      <w:r w:rsidRPr="002160DE">
        <w:t xml:space="preserve"> territorio regionale alcuni allevamenti hanno già iniziato i lavori per la creazione di biogas da liquami zootecnici e </w:t>
      </w:r>
      <w:r>
        <w:t>in tal senso</w:t>
      </w:r>
      <w:r w:rsidRPr="002160DE">
        <w:t xml:space="preserve"> la Regione Marche si è fatta promotrice di un apposito progetto finalizzato mediante dimostrazione con un impianto pilota mobile  .</w:t>
      </w:r>
    </w:p>
    <w:p w:rsidR="0093431D" w:rsidRDefault="0093431D" w:rsidP="0093431D">
      <w:pPr>
        <w:pStyle w:val="Corpodeltesto"/>
        <w:numPr>
          <w:ilvl w:val="0"/>
          <w:numId w:val="0"/>
        </w:numPr>
        <w:spacing w:after="120"/>
        <w:rPr>
          <w:szCs w:val="24"/>
        </w:rPr>
      </w:pPr>
    </w:p>
    <w:p w:rsidR="0093431D" w:rsidRPr="00236C01" w:rsidRDefault="0093431D" w:rsidP="0093431D">
      <w:pPr>
        <w:pStyle w:val="Titolo4"/>
        <w:numPr>
          <w:ilvl w:val="0"/>
          <w:numId w:val="0"/>
        </w:numPr>
        <w:spacing w:before="360" w:after="240"/>
        <w:rPr>
          <w:i w:val="0"/>
          <w:u w:val="single"/>
        </w:rPr>
      </w:pPr>
      <w:r w:rsidRPr="00FE4242">
        <w:rPr>
          <w:i w:val="0"/>
          <w:u w:val="single"/>
        </w:rPr>
        <w:t>Il contributo dell’agricoltura alla mitigazione dei cambiamenti climatici</w:t>
      </w:r>
    </w:p>
    <w:p w:rsidR="0093431D" w:rsidRDefault="0093431D" w:rsidP="0093431D">
      <w:pPr>
        <w:pStyle w:val="Corpodeltesto"/>
        <w:numPr>
          <w:ilvl w:val="0"/>
          <w:numId w:val="0"/>
        </w:numPr>
        <w:spacing w:after="120"/>
        <w:rPr>
          <w:szCs w:val="24"/>
        </w:rPr>
      </w:pPr>
      <w:r>
        <w:rPr>
          <w:szCs w:val="24"/>
        </w:rPr>
        <w:t xml:space="preserve">Intervenire sulla gestione delle tecniche agricole e, in particolar modo, sullo stoccaggio delle deiezioni animali può portare a sostanziali riduzioni delle emissioni da questo macrosettore. </w:t>
      </w:r>
    </w:p>
    <w:p w:rsidR="0093431D" w:rsidRDefault="0093431D" w:rsidP="0093431D">
      <w:pPr>
        <w:pStyle w:val="Corpodeltesto"/>
        <w:numPr>
          <w:ilvl w:val="0"/>
          <w:numId w:val="0"/>
        </w:numPr>
        <w:spacing w:after="120"/>
        <w:rPr>
          <w:szCs w:val="24"/>
        </w:rPr>
      </w:pPr>
      <w:r>
        <w:rPr>
          <w:szCs w:val="24"/>
        </w:rPr>
        <w:lastRenderedPageBreak/>
        <w:t>Come sopra evidenziato, l’attuale tendenza nelle Marche è quella di una riduzione spontanea delle emissioni derivanti dal settore agricolo, in parte dovuta ad una flessione delle attività agricole e di allevamento che le Marche hanno registrato nell’ultimo decennio ed in parte ad una sempre maggiore attenzione, da parte degli operatori di settore, a modelli di sostenibilità.</w:t>
      </w:r>
    </w:p>
    <w:p w:rsidR="0093431D" w:rsidRDefault="0093431D" w:rsidP="0093431D">
      <w:pPr>
        <w:pStyle w:val="Corpodeltesto"/>
        <w:numPr>
          <w:ilvl w:val="0"/>
          <w:numId w:val="0"/>
        </w:numPr>
        <w:spacing w:after="120"/>
        <w:rPr>
          <w:szCs w:val="24"/>
        </w:rPr>
      </w:pPr>
      <w:r>
        <w:rPr>
          <w:szCs w:val="24"/>
        </w:rPr>
        <w:t>Modelli di agricoltura sostenibili da un punto di vista ambientale (con basso uso di fertilizzanti) e sistemi di allevamento finalizzati al benessere degli animali e alla salvaguardia dell’ambiente (quali i pascoli estensivi) certamente possono contribuire ad incrementare ulteriormente l’attuale tendenza alla diminuzione delle emissioni di gas climalteranti.</w:t>
      </w:r>
    </w:p>
    <w:p w:rsidR="0093431D" w:rsidRDefault="0093431D" w:rsidP="0093431D">
      <w:pPr>
        <w:pStyle w:val="Corpodeltesto"/>
        <w:numPr>
          <w:ilvl w:val="0"/>
          <w:numId w:val="0"/>
        </w:numPr>
        <w:spacing w:after="120"/>
        <w:rPr>
          <w:szCs w:val="24"/>
        </w:rPr>
      </w:pPr>
      <w:r>
        <w:rPr>
          <w:szCs w:val="24"/>
        </w:rPr>
        <w:t>L’agricoltura può contribuire alla riduzione della concentrazione di gas serra nell’atmosfera, in particolare l’anidride carbonica (CO</w:t>
      </w:r>
      <w:r>
        <w:rPr>
          <w:szCs w:val="24"/>
          <w:vertAlign w:val="subscript"/>
        </w:rPr>
        <w:t>2</w:t>
      </w:r>
      <w:r>
        <w:rPr>
          <w:szCs w:val="24"/>
        </w:rPr>
        <w:t xml:space="preserve">), non solo attraverso la diminuzione delle emissioni prodotte ma anche contribuendo all’assorbimento di carbonio attraverso lo sviluppo di quelle modalità di uso del suolo che accrescono le capacità “naturali” di assorbire </w:t>
      </w:r>
      <w:smartTag w:uri="urn:schemas-microsoft-com:office:smarttags" w:element="PersonName">
        <w:smartTagPr>
          <w:attr w:name="ProductID" w:val="la CO"/>
        </w:smartTagPr>
        <w:r>
          <w:rPr>
            <w:szCs w:val="24"/>
          </w:rPr>
          <w:t>la CO</w:t>
        </w:r>
      </w:smartTag>
      <w:r>
        <w:rPr>
          <w:szCs w:val="24"/>
          <w:vertAlign w:val="subscript"/>
        </w:rPr>
        <w:t>2</w:t>
      </w:r>
      <w:r>
        <w:rPr>
          <w:szCs w:val="24"/>
        </w:rPr>
        <w:t xml:space="preserve">  previste dai paragrafi 3.3 e 3.4 del Protocollo di Kyoto.</w:t>
      </w:r>
    </w:p>
    <w:p w:rsidR="0093431D" w:rsidRPr="00717785" w:rsidRDefault="0093431D" w:rsidP="0093431D">
      <w:pPr>
        <w:pStyle w:val="Rientrocorpodeltesto"/>
        <w:ind w:right="-82"/>
        <w:rPr>
          <w:sz w:val="24"/>
          <w:szCs w:val="24"/>
        </w:rPr>
      </w:pPr>
      <w:r w:rsidRPr="00717785">
        <w:rPr>
          <w:sz w:val="24"/>
          <w:szCs w:val="24"/>
        </w:rPr>
        <w:t xml:space="preserve">Opportune pratiche di lavorazione minima del terreno (la lavorazione a minore profondità, il minimum tillage, il no tillage, la lavorazione senza rovesciamento, semina su sodo per le colture erbacee;  l’inerbimento per le colture arboree) sequestrano, infatti, 5 -2,2 t </w:t>
      </w:r>
      <w:r w:rsidRPr="00717785">
        <w:rPr>
          <w:sz w:val="22"/>
          <w:szCs w:val="24"/>
        </w:rPr>
        <w:t>CO</w:t>
      </w:r>
      <w:r>
        <w:rPr>
          <w:szCs w:val="24"/>
          <w:vertAlign w:val="subscript"/>
        </w:rPr>
        <w:t>2</w:t>
      </w:r>
      <w:r w:rsidRPr="00717785">
        <w:rPr>
          <w:sz w:val="24"/>
          <w:szCs w:val="24"/>
        </w:rPr>
        <w:t xml:space="preserve"> per ettaro. Se tali sequestri fossero realizzati su 3Mha di superficie agricola si avrebbe una riduzione delle emissioni di CO</w:t>
      </w:r>
      <w:r w:rsidRPr="00717785">
        <w:rPr>
          <w:rFonts w:hint="eastAsia"/>
          <w:sz w:val="24"/>
          <w:szCs w:val="24"/>
        </w:rPr>
        <w:t>₂</w:t>
      </w:r>
      <w:r w:rsidRPr="00717785">
        <w:rPr>
          <w:sz w:val="24"/>
          <w:szCs w:val="24"/>
        </w:rPr>
        <w:t xml:space="preserve"> dell’ordine di 4,5-6,6M t </w:t>
      </w:r>
      <w:r w:rsidRPr="00717785">
        <w:rPr>
          <w:sz w:val="22"/>
          <w:szCs w:val="24"/>
        </w:rPr>
        <w:t>CO</w:t>
      </w:r>
      <w:r>
        <w:rPr>
          <w:szCs w:val="24"/>
          <w:vertAlign w:val="subscript"/>
        </w:rPr>
        <w:t>2</w:t>
      </w:r>
      <w:r w:rsidRPr="00717785">
        <w:rPr>
          <w:sz w:val="24"/>
          <w:szCs w:val="24"/>
        </w:rPr>
        <w:t xml:space="preserve"> annue. A livello nazionale si stima che l’adozione di misure agroambientali quali l’inerbimento, l’agricoltura biologica e il set-aside</w:t>
      </w:r>
      <w:r w:rsidRPr="00717785">
        <w:rPr>
          <w:sz w:val="24"/>
          <w:szCs w:val="24"/>
          <w:vertAlign w:val="superscript"/>
        </w:rPr>
        <w:footnoteReference w:id="10"/>
      </w:r>
      <w:r w:rsidRPr="00717785">
        <w:rPr>
          <w:sz w:val="24"/>
          <w:szCs w:val="24"/>
          <w:vertAlign w:val="superscript"/>
        </w:rPr>
        <w:t xml:space="preserve"> </w:t>
      </w:r>
      <w:r w:rsidRPr="00717785">
        <w:rPr>
          <w:sz w:val="24"/>
          <w:szCs w:val="24"/>
        </w:rPr>
        <w:t>ha prodotto dal 1990 al 2005 un sequestro netto di carbonio di circa 6 Mt CO</w:t>
      </w:r>
      <w:r w:rsidRPr="00717785">
        <w:rPr>
          <w:rFonts w:hint="eastAsia"/>
          <w:sz w:val="24"/>
          <w:szCs w:val="24"/>
        </w:rPr>
        <w:t>₂</w:t>
      </w:r>
      <w:r w:rsidRPr="00717785">
        <w:rPr>
          <w:sz w:val="24"/>
          <w:szCs w:val="24"/>
        </w:rPr>
        <w:t>/anno.</w:t>
      </w:r>
    </w:p>
    <w:p w:rsidR="0093431D" w:rsidRDefault="0093431D" w:rsidP="0093431D">
      <w:pPr>
        <w:pStyle w:val="Corpodeltesto"/>
        <w:numPr>
          <w:ilvl w:val="0"/>
          <w:numId w:val="0"/>
        </w:numPr>
        <w:spacing w:after="120"/>
        <w:rPr>
          <w:szCs w:val="24"/>
        </w:rPr>
      </w:pPr>
    </w:p>
    <w:p w:rsidR="0093431D" w:rsidRDefault="0093431D" w:rsidP="0093431D">
      <w:pPr>
        <w:pStyle w:val="Corpodeltesto"/>
        <w:numPr>
          <w:ilvl w:val="0"/>
          <w:numId w:val="0"/>
        </w:numPr>
        <w:spacing w:after="120"/>
        <w:rPr>
          <w:szCs w:val="24"/>
        </w:rPr>
      </w:pPr>
      <w:r>
        <w:rPr>
          <w:szCs w:val="24"/>
        </w:rPr>
        <w:t>In particolare si tratta di interventi inerenti le foreste (imboschimenti, rimboschimenti, gestioni forestali che accrescano la capacità di assorbimento di carbonio delle foreste esistenti) e, in agricoltura, le pratiche colturali volte a massimizzare il contenuto di carbonio nel suolo (fertilizzazione organica, interramento dei residui colturali, rotazioni colturali con il mantenimento della copertura del suolo ecc…).</w:t>
      </w:r>
    </w:p>
    <w:p w:rsidR="0093431D" w:rsidRDefault="0093431D" w:rsidP="0093431D">
      <w:pPr>
        <w:pStyle w:val="Corpodeltesto"/>
        <w:numPr>
          <w:ilvl w:val="0"/>
          <w:numId w:val="0"/>
        </w:numPr>
        <w:spacing w:after="120"/>
        <w:rPr>
          <w:szCs w:val="24"/>
        </w:rPr>
      </w:pPr>
      <w:r>
        <w:rPr>
          <w:szCs w:val="24"/>
        </w:rPr>
        <w:t>Ai fini del calcolo del bilancio netto dei gas serra prodotti, gli interventi inerenti le forme d’uso del suolo agricolo e forestale potranno essere contabilizzati e certificati generando per l’imprenditore agricolo o forestale che le attua dei “crediti di carbonio” valutati in termini di €/tonnellate di anidride carbonica equivalente non emessa.</w:t>
      </w:r>
    </w:p>
    <w:p w:rsidR="0093431D" w:rsidRDefault="0093431D" w:rsidP="0093431D">
      <w:pPr>
        <w:pStyle w:val="Corpodeltesto"/>
        <w:numPr>
          <w:ilvl w:val="0"/>
          <w:numId w:val="0"/>
        </w:numPr>
        <w:spacing w:after="120"/>
        <w:rPr>
          <w:szCs w:val="24"/>
        </w:rPr>
      </w:pPr>
      <w:r>
        <w:rPr>
          <w:szCs w:val="24"/>
        </w:rPr>
        <w:t>L’organismo adibito a tale compito in Italia è stato individuato nel Registro Nazionale dei serbatoi agro-forestali che dovrà dotarsi di un sistema informativo territoriale che dia conto dell’evoluzione dell’uso del suolo a determinati intervalli di tempo e del contenuto di carbonio delle diverse tipologie agrarie e forestali.</w:t>
      </w:r>
    </w:p>
    <w:p w:rsidR="0093431D" w:rsidRDefault="0093431D" w:rsidP="0093431D">
      <w:pPr>
        <w:pStyle w:val="Corpodeltesto"/>
        <w:numPr>
          <w:ilvl w:val="0"/>
          <w:numId w:val="0"/>
        </w:numPr>
        <w:spacing w:after="120"/>
        <w:rPr>
          <w:szCs w:val="24"/>
        </w:rPr>
      </w:pPr>
      <w:r>
        <w:rPr>
          <w:szCs w:val="24"/>
        </w:rPr>
        <w:t xml:space="preserve">La regione Marche attraverso il Servizio Suoli dell’ASSAM ha avviato in tal senso una serie di iniziative: realizzazione di una Carta di Copertura delle Terre in scala 1:50.000 che dia conto delle modalità di uso delle terre nelle Marche, sviluppo di una metodologia per l’aggiornamento annuale di tale carta che evidenzi le variazioni d’uso, inventario dei suoli e delle lettiere del territorio regionale  con un dettaglio rappresentabile in scala 1:50.000,  analisi gli stock di carbonio presenti nei suoli marchigiani, collaborazione con l’Ufficio Europeo per il suolo J.R.S.- Ispra per la validazione di un modello di certificazione europeo per la determinazione della sostanza organica nei suoli agricoli. Tra i primi risultati di tale lavoro vi sono le carte del Carbonio Organico nei Suoli  e </w:t>
      </w:r>
      <w:smartTag w:uri="urn:schemas-microsoft-com:office:smarttags" w:element="PersonName">
        <w:smartTagPr>
          <w:attr w:name="ProductID" w:val="la Carta"/>
        </w:smartTagPr>
        <w:r>
          <w:rPr>
            <w:szCs w:val="24"/>
          </w:rPr>
          <w:t>la Carta</w:t>
        </w:r>
      </w:smartTag>
      <w:r>
        <w:rPr>
          <w:szCs w:val="24"/>
        </w:rPr>
        <w:t xml:space="preserve"> della Sostanza organica nei suoli quest’ultima riportata nel paragrafo “la qualità del suolo” del </w:t>
      </w:r>
      <w:r w:rsidRPr="003D45A2">
        <w:rPr>
          <w:szCs w:val="24"/>
          <w:highlight w:val="lightGray"/>
        </w:rPr>
        <w:t>capitolo XX</w:t>
      </w:r>
      <w:r>
        <w:rPr>
          <w:szCs w:val="24"/>
        </w:rPr>
        <w:t>.</w:t>
      </w:r>
    </w:p>
    <w:p w:rsidR="0093431D" w:rsidRDefault="0093431D" w:rsidP="0093431D">
      <w:pPr>
        <w:pStyle w:val="Corpodeltesto"/>
        <w:numPr>
          <w:ilvl w:val="0"/>
          <w:numId w:val="0"/>
        </w:numPr>
        <w:spacing w:after="120"/>
        <w:rPr>
          <w:szCs w:val="24"/>
        </w:rPr>
      </w:pPr>
      <w:r>
        <w:rPr>
          <w:szCs w:val="24"/>
        </w:rPr>
        <w:t>Per quanto riguarda nello specifico il settore forestale, il ruolo fondamentale delle superfici arboree per l’assorbimento della CO</w:t>
      </w:r>
      <w:r>
        <w:rPr>
          <w:szCs w:val="24"/>
          <w:vertAlign w:val="subscript"/>
        </w:rPr>
        <w:t>2</w:t>
      </w:r>
      <w:r>
        <w:rPr>
          <w:szCs w:val="24"/>
        </w:rPr>
        <w:t xml:space="preserve">, in qualità di assorbitori (sinks) netti di emissioni, sottolineato nelle </w:t>
      </w:r>
      <w:r>
        <w:rPr>
          <w:szCs w:val="24"/>
        </w:rPr>
        <w:lastRenderedPageBreak/>
        <w:t>“Linee guida per le politiche e misure nazionali di riduzione delle emissioni dei gas serra”</w:t>
      </w:r>
      <w:r>
        <w:rPr>
          <w:szCs w:val="24"/>
          <w:vertAlign w:val="superscript"/>
        </w:rPr>
        <w:footnoteReference w:id="11"/>
      </w:r>
      <w:r>
        <w:rPr>
          <w:szCs w:val="24"/>
        </w:rPr>
        <w:t xml:space="preserve"> viene ribadito nel PEAR che stima in 0,112 Mton CO</w:t>
      </w:r>
      <w:r>
        <w:rPr>
          <w:szCs w:val="24"/>
          <w:vertAlign w:val="subscript"/>
        </w:rPr>
        <w:t xml:space="preserve">2 </w:t>
      </w:r>
      <w:r>
        <w:rPr>
          <w:szCs w:val="24"/>
        </w:rPr>
        <w:t>equivalenti il potenziale di assorbimento di carbonio nelle Marche nel periodo 2008-2012 per effetto, sia della applicazione di adeguati metodi di gestione del patrimonio forestale attuale, che della realizzazione di nuovi impianti su aree agricole e su aree soggette a dissesto idrogeologico. Negli ultimi decenni nelle Marche si è registrato un notevole incremento della superficie boscata, legato a due fenomeni trainanti: l’abbandono delle zone rurali marginali e la diminuzione della richiesta di legname con conseguente diminuzione dell’attività di taglio. I boschi di neoformazione sono pari al 7% del totale della superficie boscata mentre i rimboschimenti ne rappresentano l’8%.</w:t>
      </w:r>
    </w:p>
    <w:p w:rsidR="0093431D" w:rsidRDefault="0093431D" w:rsidP="0093431D">
      <w:pPr>
        <w:pStyle w:val="Corpodeltesto"/>
        <w:numPr>
          <w:ilvl w:val="0"/>
          <w:numId w:val="0"/>
        </w:numPr>
        <w:spacing w:after="120"/>
        <w:rPr>
          <w:szCs w:val="24"/>
        </w:rPr>
      </w:pPr>
      <w:r>
        <w:rPr>
          <w:szCs w:val="24"/>
        </w:rPr>
        <w:t>Il protocollo di Kyoto tra i mezzi individuati per la riduzione delle emissioni gassose in atmosfera individua anche l’integrazione dell’uso dei combustibili fossili con i biocombustibili, cioè biomasse o prodotti derivanti da esse aventi caratteristiche fisico-chimiche tali da renderli utilizzabili in processi di combustione o altra trasformazione termochimica.</w:t>
      </w:r>
    </w:p>
    <w:p w:rsidR="0093431D" w:rsidRPr="00FE4242" w:rsidRDefault="0093431D" w:rsidP="0093431D">
      <w:pPr>
        <w:pStyle w:val="Titolo4"/>
        <w:spacing w:before="360" w:after="240"/>
        <w:ind w:left="862" w:hanging="862"/>
      </w:pPr>
      <w:r w:rsidRPr="00FE4242">
        <w:t>Energie rinnovabili</w:t>
      </w:r>
    </w:p>
    <w:p w:rsidR="0093431D" w:rsidRPr="00FE4242" w:rsidRDefault="0093431D" w:rsidP="0093431D">
      <w:pPr>
        <w:pStyle w:val="Corpodeltesto"/>
        <w:rPr>
          <w:sz w:val="22"/>
          <w:szCs w:val="22"/>
        </w:rPr>
      </w:pPr>
      <w:r w:rsidRPr="00FE4242">
        <w:rPr>
          <w:sz w:val="22"/>
          <w:szCs w:val="22"/>
        </w:rPr>
        <w:t>In risposta alle emergenze climatico - energetiche e agli obiettivi di Lisbona e di Göteborg, il Piano d’azione del Consiglio europeo 2007-2009 “Politica energetica per l’Europa” ed il più ampio pacchetto legislativo “Energia - Cambiamenti climatici”, approvato dal Parlamento europeo il 17 dicembre 2008 puntano alla ristrutturazione del settore energetico attraverso un approccio integrato tra politiche ed il principio del 20.20.20, vale a dire: riduzione, rispetto ai livelli del 1990, delle emissioni di gas serra del 20% (e di ulteriore riduzione del 10%, qualora altri paesi sviluppati si impegnino ad analoghe riduzioni delle emissioni, mentre i paesi in via di sviluppo economicamente più avanzati si impegnino a contribuire adeguatamente sulla base delle rispettive responsabilità e capacità); aumento dell’efficienza energetica del 20% entro il 2020, utilizzando per il 20% fonti rinnovabili e diversificate, per un minimo obbligatorio pari al 10% del mercato dei carburanti; promuovendo, tra l’altro, biocarburanti di “seconda generazione” a minor impatto ambientale, prodotti con specifici criteri di sostenibilità</w:t>
      </w:r>
      <w:r>
        <w:rPr>
          <w:sz w:val="22"/>
          <w:szCs w:val="22"/>
        </w:rPr>
        <w:t xml:space="preserve">. </w:t>
      </w:r>
      <w:r w:rsidRPr="00FE4242">
        <w:rPr>
          <w:sz w:val="22"/>
          <w:szCs w:val="22"/>
        </w:rPr>
        <w:t>La crescente rilevanza assegnata dalla politica comunitaria allo sviluppo delle energie rinnovabili trova riscontro nei nuovi Orientamenti strategici comunitari (OSC) e nel Regolamento (CE) n. 74/2009 che ha inserito quella dello sviluppo delle energie rinnovabili tra le nuove sfide della politica di sviluppo rurale.</w:t>
      </w:r>
    </w:p>
    <w:p w:rsidR="0093431D" w:rsidRPr="00FE4242" w:rsidRDefault="0093431D" w:rsidP="0093431D">
      <w:pPr>
        <w:pStyle w:val="Corpodeltesto"/>
        <w:rPr>
          <w:sz w:val="22"/>
          <w:szCs w:val="22"/>
        </w:rPr>
      </w:pPr>
      <w:r w:rsidRPr="00FE4242">
        <w:rPr>
          <w:sz w:val="22"/>
          <w:szCs w:val="22"/>
        </w:rPr>
        <w:t>Anche in Italia le politiche e i programmi adottati, a partire dal Programma Nazionale Energia Rinnovabile da Biomasse e dal Programma Nazionale Valorizzazione Biomasse Agricole e Forestali PNVBAF (che hanno entrambi puntato sulle filiere agroforestali per la riduzione dell’uso di fonti fossili e per la produzione di 8-10 Mtep di energia entro il 2012), hanno previsto vari strumenti per lo sviluppo di bioenergia, tra cui incentivi alla produzione, certificati verdi, credito agevolato agli investimenti, meccanismi competitivi di affidamento, green pricing, misure fiscali, garanzia di origine. In particolare, con la legge finanziaria del 2007 nonché con strumenti normativi integrativi, sono stati definiti interventi organici volti allo sviluppo della filiera agro-energetica su piccola scala e su base territoriale: la liberalizzazione del mercato energetico (decreto leg.vo n. 26/2007), la promozione della cogenerazione (decreto leg.vo n. 20/2007) e delle energie rinnovabili in generale (“Piano nazionale sull’efficienza energetica, sulle energie rinnovabili e sull’eco-industria”- 19/2/2007), con la possibilità di realizzare piccole centrali elettriche a cogenerazione alimentate a biomasse (legna), di produrre biocarburanti soprattutto in una logica di recupero degli scarti di produzione agricola, di realizzare distillerie di bioetanolo e impianti per la produzione di biodiesel.</w:t>
      </w:r>
    </w:p>
    <w:p w:rsidR="0093431D" w:rsidRPr="00FE4242" w:rsidRDefault="0093431D" w:rsidP="0093431D">
      <w:pPr>
        <w:pStyle w:val="Corpodeltesto"/>
        <w:rPr>
          <w:sz w:val="22"/>
          <w:szCs w:val="22"/>
        </w:rPr>
      </w:pPr>
      <w:r w:rsidRPr="00FE4242">
        <w:rPr>
          <w:sz w:val="22"/>
          <w:szCs w:val="22"/>
        </w:rPr>
        <w:t>In termini di consumi energetici finali, il maggior contributo proviene dal settore dei trasporti (34 % circa) dal residenziale e terziario (32%) e dall’industria (31,4%), seguiti con netto distacco dall’agricoltura che, con un consumo nel 2007 pari soltanto a 3,3 milioni circa di TEP(2,4%) continua ad essere un forte consumatore soprattutto di prodotti petroliferi (74% delle fonti energetiche) e di energia elettrica (14%), e soltanto per il 4,5% circa di energia da fonti rinnovabili.</w:t>
      </w:r>
    </w:p>
    <w:p w:rsidR="0093431D" w:rsidRPr="00FE4242" w:rsidRDefault="0093431D" w:rsidP="0093431D">
      <w:pPr>
        <w:pStyle w:val="Corpodeltesto"/>
        <w:rPr>
          <w:sz w:val="22"/>
          <w:szCs w:val="22"/>
        </w:rPr>
      </w:pPr>
      <w:r w:rsidRPr="00FE4242">
        <w:rPr>
          <w:sz w:val="22"/>
          <w:szCs w:val="22"/>
        </w:rPr>
        <w:t xml:space="preserve">In Italia le fonti di energia rinnovabile agroforestali e alimentari sono costituite fondamentalmente da biomasse forestali, residui agricoli, forestali e della lavorazione del legno, agroindustriali e dell’industria alimentare, rifiuti organici e reflui zootecnici, colture energetiche. La biomassa forestale (cedui a corta rotazione, legna da ardere, ecc.) rappresenta una delle principali fonti per la produzione di energia </w:t>
      </w:r>
      <w:r w:rsidRPr="00FE4242">
        <w:rPr>
          <w:sz w:val="22"/>
          <w:szCs w:val="22"/>
        </w:rPr>
        <w:lastRenderedPageBreak/>
        <w:t>rinnovabile, peraltro in espansione soprattutto per quanto riguarda l’utilizzo di cippato e pellet per caldaie domestiche, con possibilità per l’azienda agricola e forestale di trasformazione per l’autoconsumo e/o su scala locale (filiera corta)</w:t>
      </w:r>
    </w:p>
    <w:p w:rsidR="0093431D" w:rsidRDefault="0093431D" w:rsidP="0093431D">
      <w:pPr>
        <w:pStyle w:val="Corpodeltesto"/>
        <w:rPr>
          <w:sz w:val="22"/>
          <w:szCs w:val="22"/>
        </w:rPr>
      </w:pPr>
    </w:p>
    <w:p w:rsidR="0093431D" w:rsidRPr="00FE4242" w:rsidRDefault="0093431D" w:rsidP="0093431D">
      <w:pPr>
        <w:pStyle w:val="Corpodeltesto"/>
        <w:rPr>
          <w:sz w:val="22"/>
          <w:szCs w:val="22"/>
        </w:rPr>
      </w:pPr>
      <w:r w:rsidRPr="00FE4242">
        <w:rPr>
          <w:sz w:val="22"/>
          <w:szCs w:val="22"/>
        </w:rPr>
        <w:t>A livello regionale si riportano i dati forniti dal Servizio Ambiente e Paesaggio che attualmente sta svolgendo la revisione del Rapporto sullo Stato dell’Ambiente della Regione Marche.</w:t>
      </w:r>
    </w:p>
    <w:p w:rsidR="0093431D" w:rsidRPr="00FE4242" w:rsidRDefault="0093431D" w:rsidP="0093431D">
      <w:pPr>
        <w:ind w:left="720" w:hanging="720"/>
        <w:rPr>
          <w:rFonts w:ascii="Arial" w:hAnsi="Arial" w:cs="Arial"/>
          <w:b/>
          <w:sz w:val="20"/>
        </w:rPr>
      </w:pPr>
    </w:p>
    <w:p w:rsidR="0093431D" w:rsidRPr="00FE4242" w:rsidRDefault="0093431D" w:rsidP="0093431D">
      <w:pPr>
        <w:ind w:left="720" w:hanging="720"/>
        <w:rPr>
          <w:rFonts w:ascii="Arial" w:hAnsi="Arial" w:cs="Arial"/>
          <w:sz w:val="18"/>
          <w:szCs w:val="18"/>
        </w:rPr>
      </w:pPr>
      <w:r w:rsidRPr="00FE4242">
        <w:rPr>
          <w:rFonts w:ascii="Arial" w:hAnsi="Arial" w:cs="Arial"/>
          <w:sz w:val="18"/>
          <w:szCs w:val="18"/>
        </w:rPr>
        <w:t>Figura. 1 Produzione di energia elettrica interna lorda per fonte. Anni 2000/2007</w:t>
      </w:r>
    </w:p>
    <w:p w:rsidR="0093431D" w:rsidRPr="00FE4242" w:rsidRDefault="0093431D" w:rsidP="0093431D">
      <w:pPr>
        <w:pStyle w:val="Corpodeltesto"/>
        <w:rPr>
          <w:szCs w:val="24"/>
        </w:rPr>
      </w:pPr>
      <w:r>
        <w:rPr>
          <w:noProof/>
        </w:rPr>
        <w:drawing>
          <wp:inline distT="0" distB="0" distL="0" distR="0">
            <wp:extent cx="4114800" cy="2809875"/>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srcRect/>
                    <a:stretch>
                      <a:fillRect/>
                    </a:stretch>
                  </pic:blipFill>
                  <pic:spPr bwMode="auto">
                    <a:xfrm>
                      <a:off x="0" y="0"/>
                      <a:ext cx="4114800" cy="2809875"/>
                    </a:xfrm>
                    <a:prstGeom prst="rect">
                      <a:avLst/>
                    </a:prstGeom>
                    <a:noFill/>
                    <a:ln w="9525">
                      <a:noFill/>
                      <a:miter lim="800000"/>
                      <a:headEnd/>
                      <a:tailEnd/>
                    </a:ln>
                  </pic:spPr>
                </pic:pic>
              </a:graphicData>
            </a:graphic>
          </wp:inline>
        </w:drawing>
      </w:r>
    </w:p>
    <w:p w:rsidR="0093431D" w:rsidRPr="00FE4242" w:rsidRDefault="0093431D" w:rsidP="0093431D">
      <w:pPr>
        <w:jc w:val="both"/>
        <w:rPr>
          <w:rFonts w:ascii="Arial" w:hAnsi="Arial" w:cs="Arial"/>
          <w:i/>
          <w:noProof/>
          <w:sz w:val="18"/>
          <w:szCs w:val="18"/>
        </w:rPr>
      </w:pPr>
      <w:r w:rsidRPr="00FE4242">
        <w:rPr>
          <w:rFonts w:ascii="Arial" w:hAnsi="Arial" w:cs="Arial"/>
          <w:i/>
          <w:noProof/>
          <w:sz w:val="18"/>
          <w:szCs w:val="18"/>
        </w:rPr>
        <w:t>Fonte: elaborazione Regione Marche su dati Terna (Dati statistici sull’energia elettrica in Italia. Anno 2000-2007)</w:t>
      </w:r>
    </w:p>
    <w:p w:rsidR="0093431D" w:rsidRPr="00FE4242" w:rsidRDefault="0093431D" w:rsidP="0093431D">
      <w:pPr>
        <w:autoSpaceDE w:val="0"/>
        <w:autoSpaceDN w:val="0"/>
        <w:adjustRightInd w:val="0"/>
        <w:jc w:val="both"/>
        <w:rPr>
          <w:rFonts w:ascii="Arial" w:hAnsi="Arial" w:cs="Arial"/>
          <w:sz w:val="20"/>
        </w:rPr>
      </w:pPr>
    </w:p>
    <w:p w:rsidR="0093431D" w:rsidRPr="00FE4242" w:rsidRDefault="0093431D" w:rsidP="0093431D">
      <w:pPr>
        <w:autoSpaceDE w:val="0"/>
        <w:autoSpaceDN w:val="0"/>
        <w:adjustRightInd w:val="0"/>
        <w:spacing w:line="360" w:lineRule="auto"/>
        <w:ind w:firstLine="567"/>
        <w:jc w:val="both"/>
        <w:rPr>
          <w:rFonts w:ascii="Arial" w:hAnsi="Arial" w:cs="Arial"/>
          <w:sz w:val="20"/>
        </w:rPr>
      </w:pPr>
    </w:p>
    <w:p w:rsidR="0093431D" w:rsidRPr="00FE4242" w:rsidRDefault="0093431D" w:rsidP="0093431D">
      <w:pPr>
        <w:pStyle w:val="Corpodeltesto"/>
        <w:rPr>
          <w:sz w:val="22"/>
          <w:szCs w:val="22"/>
        </w:rPr>
      </w:pPr>
      <w:r w:rsidRPr="00FE4242">
        <w:rPr>
          <w:sz w:val="22"/>
          <w:szCs w:val="22"/>
        </w:rPr>
        <w:t xml:space="preserve">La produzione di energia elettrica, nel periodo considerato 2000-2007 è aumentata progressivamente. </w:t>
      </w:r>
      <w:smartTag w:uri="urn:schemas-microsoft-com:office:smarttags" w:element="PersonName">
        <w:smartTagPr>
          <w:attr w:name="ProductID" w:val="La Regione Marche"/>
        </w:smartTagPr>
        <w:smartTag w:uri="urn:schemas-microsoft-com:office:smarttags" w:element="PersonName">
          <w:smartTagPr>
            <w:attr w:name="ProductID" w:val="La Regione"/>
          </w:smartTagPr>
          <w:r w:rsidRPr="00FE4242">
            <w:rPr>
              <w:sz w:val="22"/>
              <w:szCs w:val="22"/>
            </w:rPr>
            <w:t>La Regione</w:t>
          </w:r>
        </w:smartTag>
        <w:r w:rsidRPr="00FE4242">
          <w:rPr>
            <w:sz w:val="22"/>
            <w:szCs w:val="22"/>
          </w:rPr>
          <w:t xml:space="preserve"> Marche</w:t>
        </w:r>
      </w:smartTag>
      <w:r w:rsidRPr="00FE4242">
        <w:rPr>
          <w:sz w:val="22"/>
          <w:szCs w:val="22"/>
        </w:rPr>
        <w:t xml:space="preserve"> è passata da una produzione di 1254,10 Gwh  nel </w:t>
      </w:r>
      <w:smartTag w:uri="urn:schemas-microsoft-com:office:smarttags" w:element="metricconverter">
        <w:smartTagPr>
          <w:attr w:name="ProductID" w:val="2000 a"/>
        </w:smartTagPr>
        <w:r w:rsidRPr="00FE4242">
          <w:rPr>
            <w:sz w:val="22"/>
            <w:szCs w:val="22"/>
          </w:rPr>
          <w:t>2000 a</w:t>
        </w:r>
      </w:smartTag>
      <w:r w:rsidRPr="00FE4242">
        <w:rPr>
          <w:sz w:val="22"/>
          <w:szCs w:val="22"/>
        </w:rPr>
        <w:t xml:space="preserve"> 3.822,00 GWh nel 2007.</w:t>
      </w:r>
    </w:p>
    <w:p w:rsidR="0093431D" w:rsidRPr="00FE4242" w:rsidRDefault="0093431D" w:rsidP="0093431D">
      <w:pPr>
        <w:pStyle w:val="Corpodeltesto"/>
        <w:rPr>
          <w:sz w:val="22"/>
          <w:szCs w:val="22"/>
        </w:rPr>
      </w:pPr>
      <w:r w:rsidRPr="00FE4242">
        <w:rPr>
          <w:sz w:val="22"/>
          <w:szCs w:val="22"/>
        </w:rPr>
        <w:t xml:space="preserve">La figura 1 mostra come la politica energetica regionale abbia di fatto potenziato il termoelettrico tradizionale rispetto allo sviluppo delle fonti rinnovabili. La produzione di energia elettrica da fonte fossile, infatti, passa da 747 GWh (60% della produzione totale) nell’anno </w:t>
      </w:r>
      <w:smartTag w:uri="urn:schemas-microsoft-com:office:smarttags" w:element="metricconverter">
        <w:smartTagPr>
          <w:attr w:name="ProductID" w:val="2000 a"/>
        </w:smartTagPr>
        <w:r w:rsidRPr="00FE4242">
          <w:rPr>
            <w:sz w:val="22"/>
            <w:szCs w:val="22"/>
          </w:rPr>
          <w:t>2000 a</w:t>
        </w:r>
      </w:smartTag>
      <w:r w:rsidRPr="00FE4242">
        <w:rPr>
          <w:sz w:val="22"/>
          <w:szCs w:val="22"/>
        </w:rPr>
        <w:t xml:space="preserve"> 3548,80 GWh (93% della produzione totale) nell’anno 2007. Le variazioni in aumento più consistenti individuabili tra il 2000 e 2001 (+1287,9 GWh) e tra il 2003 e il 2004 (+801,9GWh) derivano rispettivamente dall’apertura e dalla messa a regime delle due centrali  (API di Falconara e SADAM di Jesi).</w:t>
      </w:r>
    </w:p>
    <w:p w:rsidR="0093431D" w:rsidRPr="00FE4242" w:rsidRDefault="0093431D" w:rsidP="0093431D">
      <w:pPr>
        <w:pStyle w:val="Corpodeltesto"/>
        <w:rPr>
          <w:sz w:val="22"/>
          <w:szCs w:val="22"/>
        </w:rPr>
      </w:pPr>
      <w:r w:rsidRPr="00FE4242">
        <w:rPr>
          <w:sz w:val="22"/>
          <w:szCs w:val="22"/>
        </w:rPr>
        <w:t xml:space="preserve">Se si passa poi all’analisi (figura 2) si evidenzia una riduzione della produzione di energia elettrica da fonte rinnovabile che passa dal 507,10 GWh  (40% della produzione totale) nel </w:t>
      </w:r>
      <w:smartTag w:uri="urn:schemas-microsoft-com:office:smarttags" w:element="metricconverter">
        <w:smartTagPr>
          <w:attr w:name="ProductID" w:val="2000 a"/>
        </w:smartTagPr>
        <w:r w:rsidRPr="00FE4242">
          <w:rPr>
            <w:sz w:val="22"/>
            <w:szCs w:val="22"/>
          </w:rPr>
          <w:t>2000 a</w:t>
        </w:r>
      </w:smartTag>
      <w:r w:rsidRPr="00FE4242">
        <w:rPr>
          <w:sz w:val="22"/>
          <w:szCs w:val="22"/>
        </w:rPr>
        <w:t xml:space="preserve"> 273,20 GWh (7% della produzione totale) nel 2007. </w:t>
      </w:r>
    </w:p>
    <w:p w:rsidR="0093431D" w:rsidRPr="00FE4242" w:rsidRDefault="0093431D" w:rsidP="0093431D">
      <w:pPr>
        <w:pStyle w:val="Corpodeltesto"/>
        <w:rPr>
          <w:sz w:val="22"/>
          <w:szCs w:val="22"/>
        </w:rPr>
      </w:pPr>
      <w:r w:rsidRPr="00FE4242">
        <w:rPr>
          <w:sz w:val="22"/>
          <w:szCs w:val="22"/>
        </w:rPr>
        <w:t xml:space="preserve">Dalla valutazione del peso percentuale di ciascuna fonte rinnovabile idroelettrico, biomassa, fotovoltaico, eolico, geotermico (tabella 1) è evidente come nella Regione Marche, la produzione di energia elettrica da fonte rinnovabile risenti fortemente dell’andamento della disponibilità della risorsa idrica. Disponibilità quest’ultima condizionata dai parametri climatici (temperature e regime pluviometrico). La produzione di energia elettrica da fonte idroelettrica si è ridotta del 57% passando da  487,20 (GWh) nel </w:t>
      </w:r>
      <w:smartTag w:uri="urn:schemas-microsoft-com:office:smarttags" w:element="metricconverter">
        <w:smartTagPr>
          <w:attr w:name="ProductID" w:val="2000 a"/>
        </w:smartTagPr>
        <w:r w:rsidRPr="00FE4242">
          <w:rPr>
            <w:sz w:val="22"/>
            <w:szCs w:val="22"/>
          </w:rPr>
          <w:t>2000 a</w:t>
        </w:r>
      </w:smartTag>
      <w:r w:rsidRPr="00FE4242">
        <w:rPr>
          <w:sz w:val="22"/>
          <w:szCs w:val="22"/>
        </w:rPr>
        <w:t xml:space="preserve"> 211,5 (GWh) nel </w:t>
      </w:r>
      <w:smartTag w:uri="urn:schemas-microsoft-com:office:smarttags" w:element="metricconverter">
        <w:smartTagPr>
          <w:attr w:name="ProductID" w:val="2007. In"/>
        </w:smartTagPr>
        <w:r w:rsidRPr="00FE4242">
          <w:rPr>
            <w:sz w:val="22"/>
            <w:szCs w:val="22"/>
          </w:rPr>
          <w:t>2007. In</w:t>
        </w:r>
      </w:smartTag>
      <w:r w:rsidRPr="00FE4242">
        <w:rPr>
          <w:sz w:val="22"/>
          <w:szCs w:val="22"/>
        </w:rPr>
        <w:t xml:space="preserve"> considerazione dei cambiamenti climatici in atto e dell’incapacità di realizzare nuovi sbarramenti ed invasi di grandi dimensioni sulle aste fluviali, lo sfruttamento della fonte idroelettrica può ritenersi vicino alla saturazione. </w:t>
      </w:r>
    </w:p>
    <w:p w:rsidR="0093431D" w:rsidRPr="00FE4242" w:rsidRDefault="0093431D" w:rsidP="0093431D">
      <w:pPr>
        <w:pStyle w:val="Corpodeltesto"/>
        <w:rPr>
          <w:sz w:val="22"/>
          <w:szCs w:val="22"/>
        </w:rPr>
      </w:pPr>
      <w:r w:rsidRPr="00FE4242">
        <w:rPr>
          <w:sz w:val="22"/>
          <w:szCs w:val="22"/>
        </w:rPr>
        <w:t>Un andamento positivo seppur ancora molto debole, è invece mostrato dalla produzione di energia elettrica da biomasse (+1,6% tra il 2000 e 2007) e dal fotovoltaico che si sta sviluppando grazie agli importanti incentivi previsti dalla normativa statale sul conto energia</w:t>
      </w:r>
      <w:r w:rsidRPr="00717785">
        <w:rPr>
          <w:sz w:val="22"/>
          <w:szCs w:val="22"/>
          <w:vertAlign w:val="superscript"/>
        </w:rPr>
        <w:footnoteReference w:id="12"/>
      </w:r>
      <w:r>
        <w:rPr>
          <w:sz w:val="22"/>
          <w:szCs w:val="22"/>
        </w:rPr>
        <w:t>.</w:t>
      </w:r>
      <w:r w:rsidRPr="00FE4242">
        <w:rPr>
          <w:sz w:val="22"/>
          <w:szCs w:val="22"/>
        </w:rPr>
        <w:t xml:space="preserve"> Risulta invece nullo il contributo della fonte eolica, geotermica.</w:t>
      </w:r>
    </w:p>
    <w:p w:rsidR="0093431D" w:rsidRPr="00FE4242" w:rsidRDefault="0093431D" w:rsidP="0093431D">
      <w:pPr>
        <w:spacing w:line="360" w:lineRule="auto"/>
        <w:ind w:firstLine="567"/>
        <w:jc w:val="both"/>
        <w:rPr>
          <w:rFonts w:ascii="Arial" w:hAnsi="Arial" w:cs="Arial"/>
          <w:sz w:val="20"/>
        </w:rPr>
      </w:pPr>
    </w:p>
    <w:p w:rsidR="0093431D" w:rsidRPr="00FE4242" w:rsidRDefault="0093431D" w:rsidP="0093431D">
      <w:pPr>
        <w:pStyle w:val="Corpodeltesto"/>
        <w:rPr>
          <w:rFonts w:ascii="Arial" w:hAnsi="Arial" w:cs="Arial"/>
          <w:b/>
          <w:sz w:val="18"/>
          <w:szCs w:val="18"/>
        </w:rPr>
      </w:pPr>
      <w:r w:rsidRPr="00FE4242">
        <w:rPr>
          <w:rFonts w:ascii="Arial" w:hAnsi="Arial" w:cs="Arial"/>
          <w:b/>
          <w:sz w:val="18"/>
          <w:szCs w:val="18"/>
        </w:rPr>
        <w:t>Fig.2 - Produzione di energia elettrica da fonte rinnovabile/produzione totale. Anni 2000 - 2007</w:t>
      </w:r>
    </w:p>
    <w:p w:rsidR="0093431D" w:rsidRPr="00FE4242" w:rsidRDefault="0093431D" w:rsidP="0093431D">
      <w:pPr>
        <w:pStyle w:val="Corpodeltesto"/>
        <w:jc w:val="center"/>
        <w:rPr>
          <w:szCs w:val="24"/>
        </w:rPr>
      </w:pPr>
      <w:r>
        <w:rPr>
          <w:rFonts w:ascii="Arial" w:hAnsi="Arial" w:cs="Arial"/>
          <w:noProof/>
          <w:sz w:val="20"/>
        </w:rPr>
        <w:lastRenderedPageBreak/>
        <w:drawing>
          <wp:inline distT="0" distB="0" distL="0" distR="0">
            <wp:extent cx="3543300" cy="2286000"/>
            <wp:effectExtent l="0" t="0" r="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srcRect/>
                    <a:stretch>
                      <a:fillRect/>
                    </a:stretch>
                  </pic:blipFill>
                  <pic:spPr bwMode="auto">
                    <a:xfrm>
                      <a:off x="0" y="0"/>
                      <a:ext cx="3543300" cy="2286000"/>
                    </a:xfrm>
                    <a:prstGeom prst="rect">
                      <a:avLst/>
                    </a:prstGeom>
                    <a:noFill/>
                    <a:ln w="9525">
                      <a:noFill/>
                      <a:miter lim="800000"/>
                      <a:headEnd/>
                      <a:tailEnd/>
                    </a:ln>
                  </pic:spPr>
                </pic:pic>
              </a:graphicData>
            </a:graphic>
          </wp:inline>
        </w:drawing>
      </w:r>
    </w:p>
    <w:p w:rsidR="0093431D" w:rsidRPr="00FE4242" w:rsidRDefault="0093431D" w:rsidP="0093431D">
      <w:pPr>
        <w:autoSpaceDE w:val="0"/>
        <w:autoSpaceDN w:val="0"/>
        <w:adjustRightInd w:val="0"/>
        <w:jc w:val="both"/>
        <w:rPr>
          <w:rFonts w:ascii="Arial" w:hAnsi="Arial" w:cs="Arial"/>
          <w:sz w:val="18"/>
          <w:szCs w:val="18"/>
        </w:rPr>
      </w:pPr>
    </w:p>
    <w:p w:rsidR="0093431D" w:rsidRPr="00FE4242" w:rsidRDefault="0093431D" w:rsidP="0093431D">
      <w:pPr>
        <w:autoSpaceDE w:val="0"/>
        <w:autoSpaceDN w:val="0"/>
        <w:adjustRightInd w:val="0"/>
        <w:jc w:val="both"/>
        <w:rPr>
          <w:rFonts w:ascii="Arial" w:hAnsi="Arial" w:cs="Arial"/>
          <w:sz w:val="18"/>
          <w:szCs w:val="18"/>
        </w:rPr>
      </w:pPr>
    </w:p>
    <w:p w:rsidR="0093431D" w:rsidRPr="00FE4242" w:rsidRDefault="0093431D" w:rsidP="0093431D">
      <w:pPr>
        <w:autoSpaceDE w:val="0"/>
        <w:autoSpaceDN w:val="0"/>
        <w:adjustRightInd w:val="0"/>
        <w:jc w:val="both"/>
        <w:rPr>
          <w:rFonts w:ascii="Arial" w:hAnsi="Arial" w:cs="Arial"/>
          <w:sz w:val="18"/>
          <w:szCs w:val="18"/>
        </w:rPr>
      </w:pPr>
      <w:r w:rsidRPr="00FE4242">
        <w:rPr>
          <w:rFonts w:ascii="Arial" w:hAnsi="Arial" w:cs="Arial"/>
          <w:sz w:val="18"/>
          <w:szCs w:val="18"/>
        </w:rPr>
        <w:t>Tabella.1 Produzione di energia elettrica interna lorda per fonte. Anno 2007</w:t>
      </w:r>
    </w:p>
    <w:p w:rsidR="0093431D" w:rsidRPr="00FE4242" w:rsidRDefault="0093431D" w:rsidP="0093431D">
      <w:pPr>
        <w:autoSpaceDE w:val="0"/>
        <w:autoSpaceDN w:val="0"/>
        <w:adjustRightInd w:val="0"/>
        <w:jc w:val="both"/>
        <w:rPr>
          <w:szCs w:val="24"/>
        </w:rPr>
      </w:pPr>
    </w:p>
    <w:tbl>
      <w:tblPr>
        <w:tblW w:w="3425" w:type="dxa"/>
        <w:jc w:val="center"/>
        <w:tblCellMar>
          <w:left w:w="70" w:type="dxa"/>
          <w:right w:w="70" w:type="dxa"/>
        </w:tblCellMar>
        <w:tblLook w:val="0000"/>
      </w:tblPr>
      <w:tblGrid>
        <w:gridCol w:w="1805"/>
        <w:gridCol w:w="900"/>
        <w:gridCol w:w="720"/>
      </w:tblGrid>
      <w:tr w:rsidR="0093431D" w:rsidRPr="00FE4242" w:rsidTr="00BA1F65">
        <w:trPr>
          <w:trHeight w:val="480"/>
          <w:jc w:val="center"/>
        </w:trPr>
        <w:tc>
          <w:tcPr>
            <w:tcW w:w="1805" w:type="dxa"/>
            <w:tcBorders>
              <w:top w:val="single" w:sz="4" w:space="0" w:color="auto"/>
              <w:left w:val="single" w:sz="4" w:space="0" w:color="auto"/>
              <w:bottom w:val="single" w:sz="4" w:space="0" w:color="auto"/>
              <w:right w:val="single" w:sz="4" w:space="0" w:color="auto"/>
            </w:tcBorders>
            <w:shd w:val="clear" w:color="auto" w:fill="auto"/>
            <w:vAlign w:val="bottom"/>
          </w:tcPr>
          <w:p w:rsidR="0093431D" w:rsidRPr="00FE4242" w:rsidRDefault="0093431D" w:rsidP="00BA1F65">
            <w:pPr>
              <w:jc w:val="center"/>
              <w:rPr>
                <w:rFonts w:ascii="Arial" w:hAnsi="Arial" w:cs="Arial"/>
                <w:b/>
                <w:bCs/>
                <w:sz w:val="18"/>
                <w:szCs w:val="18"/>
              </w:rPr>
            </w:pPr>
            <w:r w:rsidRPr="00FE4242">
              <w:rPr>
                <w:rFonts w:ascii="Arial" w:hAnsi="Arial" w:cs="Arial"/>
                <w:b/>
                <w:bCs/>
                <w:sz w:val="18"/>
                <w:szCs w:val="18"/>
              </w:rPr>
              <w:t>Fonte</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center"/>
              <w:rPr>
                <w:rFonts w:ascii="Arial" w:hAnsi="Arial" w:cs="Arial"/>
                <w:b/>
                <w:bCs/>
                <w:sz w:val="20"/>
              </w:rPr>
            </w:pPr>
            <w:r w:rsidRPr="00FE4242">
              <w:rPr>
                <w:rFonts w:ascii="Arial" w:hAnsi="Arial" w:cs="Arial"/>
                <w:b/>
                <w:bCs/>
                <w:sz w:val="20"/>
              </w:rPr>
              <w:t>GWh</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center"/>
              <w:rPr>
                <w:rFonts w:ascii="Arial" w:hAnsi="Arial" w:cs="Arial"/>
                <w:b/>
                <w:bCs/>
                <w:sz w:val="20"/>
              </w:rPr>
            </w:pPr>
          </w:p>
          <w:p w:rsidR="0093431D" w:rsidRPr="00FE4242" w:rsidRDefault="0093431D" w:rsidP="00BA1F65">
            <w:pPr>
              <w:jc w:val="center"/>
              <w:rPr>
                <w:rFonts w:ascii="Arial" w:hAnsi="Arial" w:cs="Arial"/>
                <w:b/>
                <w:bCs/>
                <w:sz w:val="20"/>
              </w:rPr>
            </w:pPr>
            <w:r w:rsidRPr="00FE4242">
              <w:rPr>
                <w:rFonts w:ascii="Arial" w:hAnsi="Arial" w:cs="Arial"/>
                <w:b/>
                <w:bCs/>
                <w:sz w:val="20"/>
              </w:rPr>
              <w:t>%</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sz w:val="18"/>
                <w:szCs w:val="18"/>
              </w:rPr>
            </w:pPr>
            <w:r w:rsidRPr="00FE4242">
              <w:rPr>
                <w:rFonts w:ascii="Arial" w:hAnsi="Arial" w:cs="Arial"/>
                <w:sz w:val="18"/>
                <w:szCs w:val="18"/>
              </w:rPr>
              <w:t>idroelettrica</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sz w:val="18"/>
                <w:szCs w:val="18"/>
              </w:rPr>
            </w:pPr>
            <w:r w:rsidRPr="00FE4242">
              <w:rPr>
                <w:rFonts w:ascii="Arial" w:hAnsi="Arial" w:cs="Arial"/>
                <w:sz w:val="18"/>
                <w:szCs w:val="18"/>
              </w:rPr>
              <w:t>211,5</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sz w:val="18"/>
                <w:szCs w:val="18"/>
              </w:rPr>
            </w:pPr>
            <w:r w:rsidRPr="00FE4242">
              <w:rPr>
                <w:rFonts w:ascii="Arial" w:hAnsi="Arial" w:cs="Arial"/>
                <w:sz w:val="18"/>
                <w:szCs w:val="18"/>
              </w:rPr>
              <w:t>5,53</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sz w:val="18"/>
                <w:szCs w:val="18"/>
              </w:rPr>
            </w:pPr>
            <w:r w:rsidRPr="00FE4242">
              <w:rPr>
                <w:rFonts w:ascii="Arial" w:hAnsi="Arial" w:cs="Arial"/>
                <w:sz w:val="18"/>
                <w:szCs w:val="18"/>
              </w:rPr>
              <w:t>termoelettrica tradizionale</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sz w:val="18"/>
                <w:szCs w:val="18"/>
              </w:rPr>
            </w:pPr>
            <w:r w:rsidRPr="00FE4242">
              <w:rPr>
                <w:rFonts w:ascii="Arial" w:hAnsi="Arial" w:cs="Arial"/>
                <w:sz w:val="18"/>
                <w:szCs w:val="18"/>
              </w:rPr>
              <w:t>3.548,80</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sz w:val="18"/>
                <w:szCs w:val="18"/>
              </w:rPr>
            </w:pPr>
            <w:r w:rsidRPr="00FE4242">
              <w:rPr>
                <w:rFonts w:ascii="Arial" w:hAnsi="Arial" w:cs="Arial"/>
                <w:sz w:val="18"/>
                <w:szCs w:val="18"/>
              </w:rPr>
              <w:t>92,85</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sz w:val="18"/>
                <w:szCs w:val="18"/>
              </w:rPr>
            </w:pPr>
            <w:r w:rsidRPr="00FE4242">
              <w:rPr>
                <w:rFonts w:ascii="Arial" w:hAnsi="Arial" w:cs="Arial"/>
                <w:sz w:val="18"/>
                <w:szCs w:val="18"/>
              </w:rPr>
              <w:t>biomassa</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sz w:val="18"/>
                <w:szCs w:val="18"/>
              </w:rPr>
            </w:pPr>
            <w:r w:rsidRPr="00FE4242">
              <w:rPr>
                <w:rFonts w:ascii="Arial" w:hAnsi="Arial" w:cs="Arial"/>
                <w:sz w:val="18"/>
                <w:szCs w:val="18"/>
              </w:rPr>
              <w:t>60,50</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sz w:val="18"/>
                <w:szCs w:val="18"/>
              </w:rPr>
            </w:pPr>
            <w:r w:rsidRPr="00FE4242">
              <w:rPr>
                <w:rFonts w:ascii="Arial" w:hAnsi="Arial" w:cs="Arial"/>
                <w:sz w:val="18"/>
                <w:szCs w:val="18"/>
              </w:rPr>
              <w:t>1,58</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sz w:val="18"/>
                <w:szCs w:val="18"/>
              </w:rPr>
            </w:pPr>
            <w:r w:rsidRPr="00FE4242">
              <w:rPr>
                <w:rFonts w:ascii="Arial" w:hAnsi="Arial" w:cs="Arial"/>
                <w:sz w:val="18"/>
                <w:szCs w:val="18"/>
              </w:rPr>
              <w:t>geotermica</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sz w:val="18"/>
                <w:szCs w:val="18"/>
              </w:rPr>
            </w:pPr>
            <w:r w:rsidRPr="00FE4242">
              <w:rPr>
                <w:rFonts w:ascii="Arial" w:hAnsi="Arial" w:cs="Arial"/>
                <w:sz w:val="18"/>
                <w:szCs w:val="18"/>
              </w:rPr>
              <w:t>0.0</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sz w:val="18"/>
                <w:szCs w:val="18"/>
              </w:rPr>
            </w:pPr>
            <w:r w:rsidRPr="00FE4242">
              <w:rPr>
                <w:rFonts w:ascii="Arial" w:hAnsi="Arial" w:cs="Arial"/>
                <w:sz w:val="18"/>
                <w:szCs w:val="18"/>
              </w:rPr>
              <w:t>0</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sz w:val="18"/>
                <w:szCs w:val="18"/>
              </w:rPr>
            </w:pPr>
            <w:r w:rsidRPr="00FE4242">
              <w:rPr>
                <w:rFonts w:ascii="Arial" w:hAnsi="Arial" w:cs="Arial"/>
                <w:sz w:val="18"/>
                <w:szCs w:val="18"/>
              </w:rPr>
              <w:t xml:space="preserve">fotovoltaica </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sz w:val="18"/>
                <w:szCs w:val="18"/>
              </w:rPr>
            </w:pPr>
            <w:r w:rsidRPr="00FE4242">
              <w:rPr>
                <w:rFonts w:ascii="Arial" w:hAnsi="Arial" w:cs="Arial"/>
                <w:sz w:val="18"/>
                <w:szCs w:val="18"/>
              </w:rPr>
              <w:t>1,2</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sz w:val="18"/>
                <w:szCs w:val="18"/>
              </w:rPr>
            </w:pPr>
            <w:r w:rsidRPr="00FE4242">
              <w:rPr>
                <w:rFonts w:ascii="Arial" w:hAnsi="Arial" w:cs="Arial"/>
                <w:sz w:val="18"/>
                <w:szCs w:val="18"/>
              </w:rPr>
              <w:t>0.03</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sz w:val="18"/>
                <w:szCs w:val="18"/>
              </w:rPr>
            </w:pPr>
            <w:r w:rsidRPr="00FE4242">
              <w:rPr>
                <w:rFonts w:ascii="Arial" w:hAnsi="Arial" w:cs="Arial"/>
                <w:sz w:val="18"/>
                <w:szCs w:val="18"/>
              </w:rPr>
              <w:t>eolica</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sz w:val="18"/>
                <w:szCs w:val="18"/>
              </w:rPr>
            </w:pPr>
            <w:r w:rsidRPr="00FE4242">
              <w:rPr>
                <w:rFonts w:ascii="Arial" w:hAnsi="Arial" w:cs="Arial"/>
                <w:sz w:val="18"/>
                <w:szCs w:val="18"/>
              </w:rPr>
              <w:t>0.0</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sz w:val="18"/>
                <w:szCs w:val="18"/>
              </w:rPr>
            </w:pPr>
            <w:r w:rsidRPr="00FE4242">
              <w:rPr>
                <w:rFonts w:ascii="Arial" w:hAnsi="Arial" w:cs="Arial"/>
                <w:sz w:val="18"/>
                <w:szCs w:val="18"/>
              </w:rPr>
              <w:t>0</w:t>
            </w:r>
          </w:p>
        </w:tc>
      </w:tr>
      <w:tr w:rsidR="0093431D" w:rsidRPr="00FE4242" w:rsidTr="00BA1F65">
        <w:trPr>
          <w:trHeight w:val="255"/>
          <w:jc w:val="center"/>
        </w:trPr>
        <w:tc>
          <w:tcPr>
            <w:tcW w:w="1805" w:type="dxa"/>
            <w:tcBorders>
              <w:top w:val="nil"/>
              <w:left w:val="single" w:sz="4" w:space="0" w:color="auto"/>
              <w:bottom w:val="single" w:sz="4" w:space="0" w:color="auto"/>
              <w:right w:val="single" w:sz="4" w:space="0" w:color="auto"/>
            </w:tcBorders>
            <w:shd w:val="clear" w:color="auto" w:fill="auto"/>
            <w:noWrap/>
            <w:vAlign w:val="bottom"/>
          </w:tcPr>
          <w:p w:rsidR="0093431D" w:rsidRPr="00FE4242" w:rsidRDefault="0093431D" w:rsidP="00BA1F65">
            <w:pPr>
              <w:rPr>
                <w:rFonts w:ascii="Arial" w:hAnsi="Arial" w:cs="Arial"/>
                <w:b/>
                <w:bCs/>
                <w:sz w:val="18"/>
                <w:szCs w:val="18"/>
              </w:rPr>
            </w:pPr>
            <w:r w:rsidRPr="00FE4242">
              <w:rPr>
                <w:rFonts w:ascii="Arial" w:hAnsi="Arial" w:cs="Arial"/>
                <w:b/>
                <w:bCs/>
                <w:sz w:val="18"/>
                <w:szCs w:val="18"/>
              </w:rPr>
              <w:t>TOTALE</w:t>
            </w:r>
          </w:p>
        </w:tc>
        <w:tc>
          <w:tcPr>
            <w:tcW w:w="900" w:type="dxa"/>
            <w:tcBorders>
              <w:top w:val="single" w:sz="4" w:space="0" w:color="auto"/>
              <w:left w:val="nil"/>
              <w:bottom w:val="single" w:sz="4" w:space="0" w:color="auto"/>
              <w:right w:val="single" w:sz="4" w:space="0" w:color="auto"/>
            </w:tcBorders>
            <w:vAlign w:val="bottom"/>
          </w:tcPr>
          <w:p w:rsidR="0093431D" w:rsidRPr="00FE4242" w:rsidRDefault="0093431D" w:rsidP="00BA1F65">
            <w:pPr>
              <w:jc w:val="right"/>
              <w:rPr>
                <w:rFonts w:ascii="Arial" w:hAnsi="Arial" w:cs="Arial"/>
                <w:b/>
                <w:bCs/>
                <w:sz w:val="18"/>
                <w:szCs w:val="18"/>
              </w:rPr>
            </w:pPr>
            <w:r w:rsidRPr="00FE4242">
              <w:rPr>
                <w:rFonts w:ascii="Arial" w:hAnsi="Arial" w:cs="Arial"/>
                <w:b/>
                <w:bCs/>
                <w:sz w:val="18"/>
                <w:szCs w:val="18"/>
              </w:rPr>
              <w:t>3.822,00</w:t>
            </w:r>
          </w:p>
        </w:tc>
        <w:tc>
          <w:tcPr>
            <w:tcW w:w="720" w:type="dxa"/>
            <w:tcBorders>
              <w:top w:val="single" w:sz="4" w:space="0" w:color="auto"/>
              <w:left w:val="single" w:sz="4" w:space="0" w:color="auto"/>
              <w:bottom w:val="single" w:sz="4" w:space="0" w:color="auto"/>
              <w:right w:val="single" w:sz="4" w:space="0" w:color="auto"/>
            </w:tcBorders>
          </w:tcPr>
          <w:p w:rsidR="0093431D" w:rsidRPr="00FE4242" w:rsidRDefault="0093431D" w:rsidP="00BA1F65">
            <w:pPr>
              <w:jc w:val="right"/>
              <w:rPr>
                <w:rFonts w:ascii="Arial" w:hAnsi="Arial" w:cs="Arial"/>
                <w:b/>
                <w:bCs/>
                <w:sz w:val="18"/>
                <w:szCs w:val="18"/>
              </w:rPr>
            </w:pPr>
          </w:p>
        </w:tc>
      </w:tr>
    </w:tbl>
    <w:p w:rsidR="0093431D" w:rsidRPr="00FE4242" w:rsidRDefault="0093431D" w:rsidP="0093431D">
      <w:pPr>
        <w:rPr>
          <w:rFonts w:ascii="Arial" w:hAnsi="Arial" w:cs="Arial"/>
          <w:i/>
          <w:noProof/>
          <w:sz w:val="18"/>
          <w:szCs w:val="18"/>
        </w:rPr>
      </w:pPr>
    </w:p>
    <w:p w:rsidR="0093431D" w:rsidRPr="000F2719" w:rsidRDefault="0093431D" w:rsidP="0093431D">
      <w:pPr>
        <w:rPr>
          <w:rFonts w:ascii="Arial" w:hAnsi="Arial" w:cs="Arial"/>
          <w:i/>
          <w:noProof/>
          <w:sz w:val="18"/>
          <w:szCs w:val="18"/>
        </w:rPr>
      </w:pPr>
      <w:r w:rsidRPr="00FE4242">
        <w:rPr>
          <w:rFonts w:ascii="Arial" w:hAnsi="Arial" w:cs="Arial"/>
          <w:i/>
          <w:noProof/>
          <w:sz w:val="18"/>
          <w:szCs w:val="18"/>
        </w:rPr>
        <w:t>Fonte: elaborazione Regione Marche su dati Terna (Dati statistici sull’energia elettrica in Italia. Anno 2000-2007)</w:t>
      </w:r>
    </w:p>
    <w:p w:rsidR="0093431D" w:rsidRDefault="0093431D" w:rsidP="0093431D">
      <w:pPr>
        <w:pStyle w:val="Corpodeltesto"/>
        <w:numPr>
          <w:ilvl w:val="0"/>
          <w:numId w:val="0"/>
        </w:numPr>
        <w:spacing w:after="120"/>
        <w:rPr>
          <w:szCs w:val="24"/>
        </w:rPr>
      </w:pPr>
    </w:p>
    <w:p w:rsidR="0093431D" w:rsidRPr="005B26DD" w:rsidRDefault="0093431D" w:rsidP="0093431D">
      <w:pPr>
        <w:jc w:val="both"/>
        <w:rPr>
          <w:sz w:val="22"/>
          <w:szCs w:val="22"/>
        </w:rPr>
      </w:pPr>
      <w:r w:rsidRPr="005B26DD">
        <w:rPr>
          <w:sz w:val="22"/>
          <w:szCs w:val="22"/>
        </w:rPr>
        <w:t>Per quanto riguarda la produzione di energia derivante da fonti rinnovabili, i dati forniti dal Servizio Ambiente e Paesaggio della Regione Marche vengono riportati in tabella</w:t>
      </w:r>
    </w:p>
    <w:p w:rsidR="0093431D" w:rsidRPr="005B26DD" w:rsidRDefault="0093431D" w:rsidP="0093431D">
      <w:pPr>
        <w:jc w:val="both"/>
        <w:rPr>
          <w:rFonts w:ascii="Arial" w:hAnsi="Arial" w:cs="Arial"/>
          <w:sz w:val="18"/>
          <w:szCs w:val="18"/>
        </w:rPr>
      </w:pPr>
    </w:p>
    <w:p w:rsidR="0093431D" w:rsidRPr="005B26DD" w:rsidRDefault="0093431D" w:rsidP="0093431D">
      <w:pPr>
        <w:rPr>
          <w:rFonts w:ascii="Arial" w:hAnsi="Arial" w:cs="Arial"/>
          <w:sz w:val="18"/>
          <w:szCs w:val="18"/>
        </w:rPr>
      </w:pPr>
      <w:r w:rsidRPr="005B26DD">
        <w:rPr>
          <w:rFonts w:ascii="Arial" w:hAnsi="Arial" w:cs="Arial"/>
          <w:sz w:val="18"/>
          <w:szCs w:val="18"/>
        </w:rPr>
        <w:t>Tabella 2 - Disponibilità di energia per fonte. Anno 2005</w:t>
      </w:r>
    </w:p>
    <w:p w:rsidR="0093431D" w:rsidRPr="005B26DD" w:rsidRDefault="0093431D" w:rsidP="0093431D">
      <w:pPr>
        <w:rPr>
          <w:rFonts w:ascii="Arial" w:hAnsi="Arial" w:cs="Arial"/>
          <w:sz w:val="20"/>
        </w:rPr>
      </w:pPr>
    </w:p>
    <w:tbl>
      <w:tblPr>
        <w:tblW w:w="0" w:type="auto"/>
        <w:tblInd w:w="70" w:type="dxa"/>
        <w:tblLayout w:type="fixed"/>
        <w:tblCellMar>
          <w:left w:w="70" w:type="dxa"/>
          <w:right w:w="70" w:type="dxa"/>
        </w:tblCellMar>
        <w:tblLook w:val="0000"/>
      </w:tblPr>
      <w:tblGrid>
        <w:gridCol w:w="2268"/>
        <w:gridCol w:w="1332"/>
        <w:gridCol w:w="1080"/>
        <w:gridCol w:w="1177"/>
        <w:gridCol w:w="1134"/>
        <w:gridCol w:w="1014"/>
        <w:gridCol w:w="926"/>
      </w:tblGrid>
      <w:tr w:rsidR="0093431D" w:rsidRPr="005B26DD" w:rsidTr="00BA1F65">
        <w:trPr>
          <w:trHeight w:val="255"/>
        </w:trPr>
        <w:tc>
          <w:tcPr>
            <w:tcW w:w="2268" w:type="dxa"/>
            <w:vMerge w:val="restart"/>
            <w:tcBorders>
              <w:top w:val="single" w:sz="4" w:space="0" w:color="auto"/>
              <w:left w:val="single" w:sz="4" w:space="0" w:color="auto"/>
              <w:bottom w:val="single" w:sz="4" w:space="0" w:color="auto"/>
              <w:right w:val="nil"/>
            </w:tcBorders>
            <w:shd w:val="clear" w:color="auto" w:fill="auto"/>
            <w:vAlign w:val="bottom"/>
          </w:tcPr>
          <w:p w:rsidR="0093431D" w:rsidRPr="005B26DD" w:rsidRDefault="0093431D" w:rsidP="00BA1F65">
            <w:pPr>
              <w:rPr>
                <w:rFonts w:ascii="Arial" w:hAnsi="Arial" w:cs="Arial"/>
                <w:b/>
                <w:bCs/>
                <w:sz w:val="18"/>
                <w:szCs w:val="18"/>
              </w:rPr>
            </w:pPr>
            <w:r w:rsidRPr="005B26DD">
              <w:rPr>
                <w:rFonts w:ascii="Arial" w:hAnsi="Arial" w:cs="Arial"/>
                <w:b/>
                <w:bCs/>
                <w:sz w:val="18"/>
                <w:szCs w:val="18"/>
              </w:rPr>
              <w:t>Disponibilità</w:t>
            </w:r>
          </w:p>
        </w:tc>
        <w:tc>
          <w:tcPr>
            <w:tcW w:w="6663" w:type="dxa"/>
            <w:gridSpan w:val="6"/>
            <w:tcBorders>
              <w:top w:val="single" w:sz="4" w:space="0" w:color="auto"/>
              <w:left w:val="single" w:sz="4" w:space="0" w:color="auto"/>
              <w:bottom w:val="single" w:sz="4" w:space="0" w:color="auto"/>
              <w:right w:val="single" w:sz="4" w:space="0" w:color="000000"/>
            </w:tcBorders>
            <w:shd w:val="clear" w:color="auto" w:fill="auto"/>
            <w:noWrap/>
            <w:vAlign w:val="bottom"/>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Fonti Energetiche (ktep)</w:t>
            </w:r>
          </w:p>
        </w:tc>
      </w:tr>
      <w:tr w:rsidR="0093431D" w:rsidRPr="005B26DD" w:rsidTr="00BA1F65">
        <w:trPr>
          <w:trHeight w:val="510"/>
        </w:trPr>
        <w:tc>
          <w:tcPr>
            <w:tcW w:w="2268" w:type="dxa"/>
            <w:vMerge/>
            <w:tcBorders>
              <w:top w:val="single" w:sz="4" w:space="0" w:color="000000"/>
              <w:left w:val="single" w:sz="4" w:space="0" w:color="auto"/>
              <w:bottom w:val="single" w:sz="4" w:space="0" w:color="auto"/>
              <w:right w:val="nil"/>
            </w:tcBorders>
            <w:vAlign w:val="center"/>
          </w:tcPr>
          <w:p w:rsidR="0093431D" w:rsidRPr="005B26DD" w:rsidRDefault="0093431D" w:rsidP="00BA1F65">
            <w:pPr>
              <w:rPr>
                <w:rFonts w:ascii="Arial" w:hAnsi="Arial" w:cs="Arial"/>
                <w:b/>
                <w:bCs/>
                <w:sz w:val="18"/>
                <w:szCs w:val="18"/>
              </w:rPr>
            </w:pPr>
          </w:p>
        </w:tc>
        <w:tc>
          <w:tcPr>
            <w:tcW w:w="1332" w:type="dxa"/>
            <w:tcBorders>
              <w:top w:val="nil"/>
              <w:left w:val="single" w:sz="4" w:space="0" w:color="auto"/>
              <w:bottom w:val="single" w:sz="4" w:space="0" w:color="auto"/>
              <w:right w:val="single" w:sz="4" w:space="0" w:color="auto"/>
            </w:tcBorders>
            <w:shd w:val="clear" w:color="auto" w:fill="auto"/>
            <w:vAlign w:val="center"/>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combustibili solidi</w:t>
            </w:r>
          </w:p>
        </w:tc>
        <w:tc>
          <w:tcPr>
            <w:tcW w:w="1080" w:type="dxa"/>
            <w:tcBorders>
              <w:top w:val="nil"/>
              <w:left w:val="nil"/>
              <w:bottom w:val="single" w:sz="4" w:space="0" w:color="auto"/>
              <w:right w:val="single" w:sz="4" w:space="0" w:color="auto"/>
            </w:tcBorders>
            <w:shd w:val="clear" w:color="auto" w:fill="auto"/>
            <w:vAlign w:val="center"/>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prodotti petroliferi</w:t>
            </w:r>
          </w:p>
        </w:tc>
        <w:tc>
          <w:tcPr>
            <w:tcW w:w="1177" w:type="dxa"/>
            <w:tcBorders>
              <w:top w:val="nil"/>
              <w:left w:val="nil"/>
              <w:bottom w:val="single" w:sz="4" w:space="0" w:color="auto"/>
              <w:right w:val="single" w:sz="4" w:space="0" w:color="auto"/>
            </w:tcBorders>
            <w:shd w:val="clear" w:color="auto" w:fill="auto"/>
            <w:vAlign w:val="center"/>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combustibili gassosi</w:t>
            </w:r>
          </w:p>
        </w:tc>
        <w:tc>
          <w:tcPr>
            <w:tcW w:w="1134" w:type="dxa"/>
            <w:tcBorders>
              <w:top w:val="nil"/>
              <w:left w:val="nil"/>
              <w:bottom w:val="single" w:sz="4" w:space="0" w:color="auto"/>
              <w:right w:val="single" w:sz="4" w:space="0" w:color="auto"/>
            </w:tcBorders>
            <w:shd w:val="clear" w:color="auto" w:fill="auto"/>
            <w:vAlign w:val="center"/>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rinnovabili</w:t>
            </w:r>
          </w:p>
        </w:tc>
        <w:tc>
          <w:tcPr>
            <w:tcW w:w="1014" w:type="dxa"/>
            <w:tcBorders>
              <w:top w:val="nil"/>
              <w:left w:val="nil"/>
              <w:bottom w:val="single" w:sz="4" w:space="0" w:color="auto"/>
              <w:right w:val="single" w:sz="4" w:space="0" w:color="auto"/>
            </w:tcBorders>
            <w:shd w:val="clear" w:color="auto" w:fill="auto"/>
            <w:vAlign w:val="center"/>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energia elettrica</w:t>
            </w:r>
          </w:p>
        </w:tc>
        <w:tc>
          <w:tcPr>
            <w:tcW w:w="926" w:type="dxa"/>
            <w:tcBorders>
              <w:top w:val="nil"/>
              <w:left w:val="nil"/>
              <w:bottom w:val="single" w:sz="4" w:space="0" w:color="auto"/>
              <w:right w:val="single" w:sz="4" w:space="0" w:color="auto"/>
            </w:tcBorders>
            <w:shd w:val="clear" w:color="auto" w:fill="auto"/>
            <w:vAlign w:val="center"/>
          </w:tcPr>
          <w:p w:rsidR="0093431D" w:rsidRPr="005B26DD" w:rsidRDefault="0093431D" w:rsidP="00BA1F65">
            <w:pPr>
              <w:jc w:val="center"/>
              <w:rPr>
                <w:rFonts w:ascii="Arial" w:hAnsi="Arial" w:cs="Arial"/>
                <w:b/>
                <w:bCs/>
                <w:sz w:val="18"/>
                <w:szCs w:val="18"/>
              </w:rPr>
            </w:pPr>
            <w:r w:rsidRPr="005B26DD">
              <w:rPr>
                <w:rFonts w:ascii="Arial" w:hAnsi="Arial" w:cs="Arial"/>
                <w:b/>
                <w:bCs/>
                <w:sz w:val="18"/>
                <w:szCs w:val="18"/>
              </w:rPr>
              <w:t>Totale</w:t>
            </w:r>
          </w:p>
        </w:tc>
      </w:tr>
      <w:tr w:rsidR="0093431D" w:rsidRPr="005B26DD" w:rsidTr="00BA1F65">
        <w:trPr>
          <w:trHeight w:val="255"/>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bottom"/>
          </w:tcPr>
          <w:p w:rsidR="0093431D" w:rsidRPr="005B26DD" w:rsidRDefault="0093431D" w:rsidP="00BA1F65">
            <w:pPr>
              <w:rPr>
                <w:rFonts w:ascii="Arial" w:hAnsi="Arial" w:cs="Arial"/>
                <w:b/>
                <w:sz w:val="18"/>
                <w:szCs w:val="18"/>
              </w:rPr>
            </w:pPr>
            <w:r w:rsidRPr="005B26DD">
              <w:rPr>
                <w:rFonts w:ascii="Arial" w:hAnsi="Arial" w:cs="Arial"/>
                <w:b/>
                <w:sz w:val="18"/>
                <w:szCs w:val="18"/>
              </w:rPr>
              <w:t xml:space="preserve">Produzione </w:t>
            </w:r>
          </w:p>
        </w:tc>
        <w:tc>
          <w:tcPr>
            <w:tcW w:w="1332"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sz w:val="18"/>
                <w:szCs w:val="18"/>
              </w:rPr>
            </w:pPr>
            <w:r w:rsidRPr="005B26DD">
              <w:rPr>
                <w:rFonts w:ascii="Arial" w:hAnsi="Arial" w:cs="Arial"/>
                <w:b/>
                <w:sz w:val="18"/>
                <w:szCs w:val="18"/>
              </w:rPr>
              <w:t>106</w:t>
            </w:r>
          </w:p>
        </w:tc>
        <w:tc>
          <w:tcPr>
            <w:tcW w:w="1080"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sz w:val="18"/>
                <w:szCs w:val="18"/>
              </w:rPr>
            </w:pPr>
            <w:r w:rsidRPr="005B26DD">
              <w:rPr>
                <w:rFonts w:ascii="Arial" w:hAnsi="Arial" w:cs="Arial"/>
                <w:b/>
                <w:sz w:val="18"/>
                <w:szCs w:val="18"/>
              </w:rPr>
              <w:t>96</w:t>
            </w:r>
          </w:p>
        </w:tc>
        <w:tc>
          <w:tcPr>
            <w:tcW w:w="1177"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sz w:val="18"/>
                <w:szCs w:val="18"/>
              </w:rPr>
            </w:pPr>
            <w:r w:rsidRPr="005B26DD">
              <w:rPr>
                <w:rFonts w:ascii="Arial" w:hAnsi="Arial" w:cs="Arial"/>
                <w:b/>
                <w:sz w:val="18"/>
                <w:szCs w:val="18"/>
              </w:rPr>
              <w:t>2876</w:t>
            </w:r>
          </w:p>
        </w:tc>
        <w:tc>
          <w:tcPr>
            <w:tcW w:w="113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sz w:val="18"/>
                <w:szCs w:val="18"/>
              </w:rPr>
            </w:pPr>
            <w:r w:rsidRPr="005B26DD">
              <w:rPr>
                <w:rFonts w:ascii="Arial" w:hAnsi="Arial" w:cs="Arial"/>
                <w:b/>
                <w:sz w:val="18"/>
                <w:szCs w:val="18"/>
              </w:rPr>
              <w:t>175</w:t>
            </w:r>
          </w:p>
        </w:tc>
        <w:tc>
          <w:tcPr>
            <w:tcW w:w="101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sz w:val="18"/>
                <w:szCs w:val="18"/>
              </w:rPr>
            </w:pPr>
            <w:r w:rsidRPr="005B26DD">
              <w:rPr>
                <w:rFonts w:ascii="Arial" w:hAnsi="Arial" w:cs="Arial"/>
                <w:b/>
                <w:sz w:val="18"/>
                <w:szCs w:val="18"/>
              </w:rPr>
              <w:t> -</w:t>
            </w:r>
          </w:p>
        </w:tc>
        <w:tc>
          <w:tcPr>
            <w:tcW w:w="926"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sz w:val="18"/>
                <w:szCs w:val="18"/>
              </w:rPr>
            </w:pPr>
            <w:r w:rsidRPr="005B26DD">
              <w:rPr>
                <w:rFonts w:ascii="Arial" w:hAnsi="Arial" w:cs="Arial"/>
                <w:b/>
                <w:sz w:val="18"/>
                <w:szCs w:val="18"/>
              </w:rPr>
              <w:t>3.253</w:t>
            </w:r>
          </w:p>
        </w:tc>
      </w:tr>
      <w:tr w:rsidR="0093431D" w:rsidRPr="005B26DD" w:rsidTr="00BA1F65">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93431D" w:rsidRPr="005B26DD" w:rsidRDefault="0093431D" w:rsidP="00BA1F65">
            <w:pPr>
              <w:rPr>
                <w:rFonts w:ascii="Arial" w:hAnsi="Arial" w:cs="Arial"/>
                <w:sz w:val="18"/>
                <w:szCs w:val="18"/>
              </w:rPr>
            </w:pPr>
            <w:r w:rsidRPr="005B26DD">
              <w:rPr>
                <w:rFonts w:ascii="Arial" w:hAnsi="Arial" w:cs="Arial"/>
                <w:sz w:val="18"/>
                <w:szCs w:val="18"/>
              </w:rPr>
              <w:t>Saldo in entrata</w:t>
            </w:r>
          </w:p>
        </w:tc>
        <w:tc>
          <w:tcPr>
            <w:tcW w:w="1332"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3</w:t>
            </w:r>
          </w:p>
        </w:tc>
        <w:tc>
          <w:tcPr>
            <w:tcW w:w="1080"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3.501</w:t>
            </w:r>
          </w:p>
        </w:tc>
        <w:tc>
          <w:tcPr>
            <w:tcW w:w="1177"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113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1</w:t>
            </w:r>
          </w:p>
        </w:tc>
        <w:tc>
          <w:tcPr>
            <w:tcW w:w="101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886</w:t>
            </w:r>
          </w:p>
        </w:tc>
        <w:tc>
          <w:tcPr>
            <w:tcW w:w="926"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4.391</w:t>
            </w:r>
          </w:p>
        </w:tc>
      </w:tr>
      <w:tr w:rsidR="0093431D" w:rsidRPr="005B26DD" w:rsidTr="00BA1F65">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93431D" w:rsidRPr="005B26DD" w:rsidRDefault="0093431D" w:rsidP="00BA1F65">
            <w:pPr>
              <w:rPr>
                <w:rFonts w:ascii="Arial" w:hAnsi="Arial" w:cs="Arial"/>
                <w:sz w:val="18"/>
                <w:szCs w:val="18"/>
              </w:rPr>
            </w:pPr>
            <w:r w:rsidRPr="005B26DD">
              <w:rPr>
                <w:rFonts w:ascii="Arial" w:hAnsi="Arial" w:cs="Arial"/>
                <w:sz w:val="18"/>
                <w:szCs w:val="18"/>
              </w:rPr>
              <w:t>Saldo in uscita</w:t>
            </w:r>
          </w:p>
        </w:tc>
        <w:tc>
          <w:tcPr>
            <w:tcW w:w="1332"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1080"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1.380</w:t>
            </w:r>
          </w:p>
        </w:tc>
        <w:tc>
          <w:tcPr>
            <w:tcW w:w="1177"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1.486</w:t>
            </w:r>
          </w:p>
        </w:tc>
        <w:tc>
          <w:tcPr>
            <w:tcW w:w="113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6</w:t>
            </w:r>
          </w:p>
        </w:tc>
        <w:tc>
          <w:tcPr>
            <w:tcW w:w="101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926"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2.872</w:t>
            </w:r>
          </w:p>
        </w:tc>
      </w:tr>
      <w:tr w:rsidR="0093431D" w:rsidRPr="005B26DD" w:rsidTr="00BA1F65">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93431D" w:rsidRPr="005B26DD" w:rsidRDefault="0093431D" w:rsidP="00BA1F65">
            <w:pPr>
              <w:rPr>
                <w:rFonts w:ascii="Arial" w:hAnsi="Arial" w:cs="Arial"/>
                <w:sz w:val="18"/>
                <w:szCs w:val="18"/>
              </w:rPr>
            </w:pPr>
            <w:r w:rsidRPr="005B26DD">
              <w:rPr>
                <w:rFonts w:ascii="Arial" w:hAnsi="Arial" w:cs="Arial"/>
                <w:sz w:val="18"/>
                <w:szCs w:val="18"/>
              </w:rPr>
              <w:t>Variazione scorte</w:t>
            </w:r>
          </w:p>
        </w:tc>
        <w:tc>
          <w:tcPr>
            <w:tcW w:w="1332"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1080"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-243</w:t>
            </w:r>
          </w:p>
        </w:tc>
        <w:tc>
          <w:tcPr>
            <w:tcW w:w="1177"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113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101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 </w:t>
            </w:r>
          </w:p>
        </w:tc>
        <w:tc>
          <w:tcPr>
            <w:tcW w:w="926"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sz w:val="18"/>
                <w:szCs w:val="18"/>
              </w:rPr>
            </w:pPr>
            <w:r w:rsidRPr="005B26DD">
              <w:rPr>
                <w:rFonts w:ascii="Arial" w:hAnsi="Arial" w:cs="Arial"/>
                <w:sz w:val="18"/>
                <w:szCs w:val="18"/>
              </w:rPr>
              <w:t>-243</w:t>
            </w:r>
          </w:p>
        </w:tc>
      </w:tr>
      <w:tr w:rsidR="0093431D" w:rsidRPr="005B26DD" w:rsidTr="00BA1F65">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93431D" w:rsidRPr="005B26DD" w:rsidRDefault="0093431D" w:rsidP="00BA1F65">
            <w:pPr>
              <w:rPr>
                <w:rFonts w:ascii="Arial" w:hAnsi="Arial" w:cs="Arial"/>
                <w:b/>
                <w:bCs/>
                <w:sz w:val="18"/>
                <w:szCs w:val="18"/>
              </w:rPr>
            </w:pPr>
            <w:r w:rsidRPr="005B26DD">
              <w:rPr>
                <w:rFonts w:ascii="Arial" w:hAnsi="Arial" w:cs="Arial"/>
                <w:b/>
                <w:bCs/>
                <w:sz w:val="18"/>
                <w:szCs w:val="18"/>
              </w:rPr>
              <w:t>Consumo interno lordo</w:t>
            </w:r>
          </w:p>
        </w:tc>
        <w:tc>
          <w:tcPr>
            <w:tcW w:w="1332"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bCs/>
                <w:sz w:val="18"/>
                <w:szCs w:val="18"/>
              </w:rPr>
            </w:pPr>
            <w:r w:rsidRPr="005B26DD">
              <w:rPr>
                <w:rFonts w:ascii="Arial" w:hAnsi="Arial" w:cs="Arial"/>
                <w:b/>
                <w:bCs/>
                <w:sz w:val="18"/>
                <w:szCs w:val="18"/>
              </w:rPr>
              <w:t>108</w:t>
            </w:r>
          </w:p>
        </w:tc>
        <w:tc>
          <w:tcPr>
            <w:tcW w:w="1080"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bCs/>
                <w:sz w:val="18"/>
                <w:szCs w:val="18"/>
              </w:rPr>
            </w:pPr>
            <w:r w:rsidRPr="005B26DD">
              <w:rPr>
                <w:rFonts w:ascii="Arial" w:hAnsi="Arial" w:cs="Arial"/>
                <w:b/>
                <w:bCs/>
                <w:sz w:val="18"/>
                <w:szCs w:val="18"/>
              </w:rPr>
              <w:t>2.460</w:t>
            </w:r>
          </w:p>
        </w:tc>
        <w:tc>
          <w:tcPr>
            <w:tcW w:w="1177"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bCs/>
                <w:sz w:val="18"/>
                <w:szCs w:val="18"/>
              </w:rPr>
            </w:pPr>
            <w:r w:rsidRPr="005B26DD">
              <w:rPr>
                <w:rFonts w:ascii="Arial" w:hAnsi="Arial" w:cs="Arial"/>
                <w:b/>
                <w:bCs/>
                <w:sz w:val="18"/>
                <w:szCs w:val="18"/>
              </w:rPr>
              <w:t>1.390</w:t>
            </w:r>
          </w:p>
        </w:tc>
        <w:tc>
          <w:tcPr>
            <w:tcW w:w="113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bCs/>
                <w:sz w:val="18"/>
                <w:szCs w:val="18"/>
              </w:rPr>
            </w:pPr>
            <w:r w:rsidRPr="005B26DD">
              <w:rPr>
                <w:rFonts w:ascii="Arial" w:hAnsi="Arial" w:cs="Arial"/>
                <w:b/>
                <w:bCs/>
                <w:sz w:val="18"/>
                <w:szCs w:val="18"/>
              </w:rPr>
              <w:t>170</w:t>
            </w:r>
          </w:p>
        </w:tc>
        <w:tc>
          <w:tcPr>
            <w:tcW w:w="1014"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bCs/>
                <w:sz w:val="18"/>
                <w:szCs w:val="18"/>
              </w:rPr>
            </w:pPr>
            <w:r w:rsidRPr="005B26DD">
              <w:rPr>
                <w:rFonts w:ascii="Arial" w:hAnsi="Arial" w:cs="Arial"/>
                <w:b/>
                <w:bCs/>
                <w:sz w:val="18"/>
                <w:szCs w:val="18"/>
              </w:rPr>
              <w:t>886</w:t>
            </w:r>
          </w:p>
        </w:tc>
        <w:tc>
          <w:tcPr>
            <w:tcW w:w="926" w:type="dxa"/>
            <w:tcBorders>
              <w:top w:val="nil"/>
              <w:left w:val="nil"/>
              <w:bottom w:val="single" w:sz="4" w:space="0" w:color="auto"/>
              <w:right w:val="single" w:sz="4" w:space="0" w:color="auto"/>
            </w:tcBorders>
            <w:shd w:val="clear" w:color="auto" w:fill="auto"/>
            <w:noWrap/>
            <w:vAlign w:val="bottom"/>
          </w:tcPr>
          <w:p w:rsidR="0093431D" w:rsidRPr="005B26DD" w:rsidRDefault="0093431D" w:rsidP="00BA1F65">
            <w:pPr>
              <w:jc w:val="right"/>
              <w:rPr>
                <w:rFonts w:ascii="Arial" w:hAnsi="Arial" w:cs="Arial"/>
                <w:b/>
                <w:bCs/>
                <w:sz w:val="18"/>
                <w:szCs w:val="18"/>
              </w:rPr>
            </w:pPr>
            <w:r w:rsidRPr="005B26DD">
              <w:rPr>
                <w:rFonts w:ascii="Arial" w:hAnsi="Arial" w:cs="Arial"/>
                <w:b/>
                <w:bCs/>
                <w:sz w:val="18"/>
                <w:szCs w:val="18"/>
              </w:rPr>
              <w:t>5.015</w:t>
            </w:r>
          </w:p>
        </w:tc>
      </w:tr>
    </w:tbl>
    <w:p w:rsidR="0093431D" w:rsidRPr="005B26DD" w:rsidRDefault="0093431D" w:rsidP="0093431D">
      <w:pPr>
        <w:jc w:val="both"/>
        <w:rPr>
          <w:rFonts w:ascii="Arial" w:hAnsi="Arial" w:cs="Arial"/>
          <w:i/>
          <w:sz w:val="18"/>
          <w:szCs w:val="18"/>
        </w:rPr>
      </w:pPr>
    </w:p>
    <w:p w:rsidR="0093431D" w:rsidRPr="002A7F27" w:rsidRDefault="0093431D" w:rsidP="0093431D">
      <w:pPr>
        <w:jc w:val="both"/>
        <w:rPr>
          <w:rFonts w:ascii="Arial" w:hAnsi="Arial" w:cs="Arial"/>
          <w:i/>
          <w:sz w:val="18"/>
          <w:szCs w:val="18"/>
        </w:rPr>
      </w:pPr>
      <w:r w:rsidRPr="005B26DD">
        <w:rPr>
          <w:rFonts w:ascii="Arial" w:hAnsi="Arial" w:cs="Arial"/>
          <w:i/>
          <w:sz w:val="18"/>
          <w:szCs w:val="18"/>
        </w:rPr>
        <w:t>Fonte: ENEA - Bilancio di sintesi dell’energia delle Marche nel 2005 - Rapporto Energia e Ambiente. Anno 2007</w:t>
      </w:r>
    </w:p>
    <w:p w:rsidR="0093431D" w:rsidRDefault="0093431D" w:rsidP="0093431D">
      <w:pPr>
        <w:pStyle w:val="Corpodeltesto"/>
        <w:numPr>
          <w:ilvl w:val="0"/>
          <w:numId w:val="0"/>
        </w:numPr>
        <w:spacing w:after="120"/>
        <w:rPr>
          <w:szCs w:val="24"/>
        </w:rPr>
      </w:pPr>
    </w:p>
    <w:p w:rsidR="0093431D" w:rsidRDefault="0093431D" w:rsidP="0093431D">
      <w:pPr>
        <w:pStyle w:val="Corpodeltesto"/>
        <w:numPr>
          <w:ilvl w:val="0"/>
          <w:numId w:val="0"/>
        </w:numPr>
        <w:spacing w:after="120"/>
        <w:rPr>
          <w:szCs w:val="24"/>
        </w:rPr>
      </w:pPr>
      <w:r>
        <w:rPr>
          <w:szCs w:val="24"/>
        </w:rPr>
        <w:t>L’impiego di biomassa come fonte di energia rinnovabile, secondo quanto rilevato nel Piano Strategico Nazionale, risulta in Italia ancora limitato da problemi di natura tecnica, economica e fiscale, tra cui il PSN evidenzia la frammentazione della proprietà fondiaria e i problemi legati alla logistica e, in particolare, ai trasporti.</w:t>
      </w:r>
    </w:p>
    <w:p w:rsidR="0093431D" w:rsidRDefault="0093431D" w:rsidP="0093431D">
      <w:pPr>
        <w:pStyle w:val="Corpodeltesto"/>
        <w:numPr>
          <w:ilvl w:val="0"/>
          <w:numId w:val="0"/>
        </w:numPr>
        <w:spacing w:after="120"/>
        <w:rPr>
          <w:szCs w:val="24"/>
        </w:rPr>
      </w:pPr>
      <w:r>
        <w:rPr>
          <w:szCs w:val="24"/>
        </w:rPr>
        <w:t xml:space="preserve">In tal senso il documento nazionale propone “l’attivazione di mercati locali e di filiere corte” per favorire lo sviluppo delle grandi potenzialità del settore agricolo e, in particolare, quelle del comparto forestale, nell’impiego e nella valorizzazione della biomassa. </w:t>
      </w:r>
    </w:p>
    <w:p w:rsidR="0093431D" w:rsidRPr="00717785" w:rsidRDefault="0093431D" w:rsidP="0093431D">
      <w:pPr>
        <w:pStyle w:val="Corpodeltesto"/>
        <w:rPr>
          <w:szCs w:val="24"/>
        </w:rPr>
      </w:pPr>
      <w:r w:rsidRPr="00717785">
        <w:rPr>
          <w:szCs w:val="24"/>
        </w:rPr>
        <w:lastRenderedPageBreak/>
        <w:t xml:space="preserve">In Italia le fonti di energia rinnovabile agroforestali e alimentari sono costituite fondamentalmente da biomasse forestali, residui agricoli, forestali e della lavorazione del legno, agroindustriali e dell’industria alimentare, rifiuti organici e reflui zootecnici, colture energetiche. La biomassa forestale (cedui a corta rotazione, legna da ardere, ecc.) rappresenta una delle principali fonti per la produzione di energia rinnovabile, peraltro in espansione soprattutto per quanto riguarda l’utilizzo di cippato e pellet per caldaie domestiche, con possibilità per l’azienda agricola e forestale di trasformazione per l’autoconsumo e/o su scala locale (filiera corta). Nel rispetto di criteri di sostenibilità gestionale delle foreste, possono essere prelevati (Ministero Ambiente e Tutela del Territorio &amp; Itabia) circa </w:t>
      </w:r>
      <w:smartTag w:uri="urn:schemas-microsoft-com:office:smarttags" w:element="metricconverter">
        <w:smartTagPr>
          <w:attr w:name="ProductID" w:val="18 M"/>
        </w:smartTagPr>
        <w:r w:rsidRPr="00717785">
          <w:rPr>
            <w:szCs w:val="24"/>
          </w:rPr>
          <w:t>18 M</w:t>
        </w:r>
      </w:smartTag>
      <w:r w:rsidRPr="00717785">
        <w:rPr>
          <w:szCs w:val="24"/>
        </w:rPr>
        <w:t xml:space="preserve"> di m3 di combustibile, equivalenti a 4000 Ktep/anno. Uno studio effettuato nel 2003 da Itabia stima una disponibilità annua totale di biomassa da residui di origine agroforestale intorno a 21 milioni di tonnellate in sostanza secca, di cui il 36% circa costituiti da residui colturali, il 28,5% da residui sia forestali che dell’industria del legno, la residuale quota pari al 7% circa da residui agroindustriali. I quantitativi di rifiuti organici e reflui zootecnici (discariche di rifiuti zootecnici, civili e industriali) che possono essere utilizzati nella produzione di biogas sono stimati nell’ordine rispettivamente di 140 e 2 milioni di t/anno, con una potenzialità energetica complessiva intorno a 8000 Ktep/anno (Itabia 2003).</w:t>
      </w:r>
    </w:p>
    <w:p w:rsidR="0093431D" w:rsidRDefault="0093431D" w:rsidP="0093431D">
      <w:pPr>
        <w:pStyle w:val="Corpodeltesto"/>
        <w:numPr>
          <w:ilvl w:val="0"/>
          <w:numId w:val="0"/>
        </w:numPr>
        <w:spacing w:after="120"/>
        <w:rPr>
          <w:szCs w:val="24"/>
        </w:rPr>
      </w:pPr>
    </w:p>
    <w:p w:rsidR="0093431D" w:rsidRDefault="0093431D" w:rsidP="0093431D">
      <w:pPr>
        <w:pStyle w:val="Corpodeltesto"/>
        <w:numPr>
          <w:ilvl w:val="0"/>
          <w:numId w:val="0"/>
        </w:numPr>
        <w:spacing w:after="120"/>
        <w:rPr>
          <w:szCs w:val="24"/>
        </w:rPr>
      </w:pPr>
      <w:r>
        <w:rPr>
          <w:szCs w:val="24"/>
        </w:rPr>
        <w:t>A livello di regione Marche il Piano Agricolo Regionale approvato a gennaio 2005 individuava nello sviluppo della produzione di energia da biomassa uno dei percorsi auspicabili di sviluppo della multifunzionalità in agricoltura stabilendo la necessità di approfondire il livello conoscitivo in termini tanto di fattibilità tecnica che di convenienza economica di tali attività.</w:t>
      </w:r>
    </w:p>
    <w:p w:rsidR="0093431D" w:rsidRDefault="0093431D" w:rsidP="0093431D">
      <w:pPr>
        <w:pStyle w:val="Corpodeltesto"/>
        <w:numPr>
          <w:ilvl w:val="0"/>
          <w:numId w:val="0"/>
        </w:numPr>
        <w:spacing w:after="120"/>
        <w:rPr>
          <w:szCs w:val="24"/>
        </w:rPr>
      </w:pPr>
      <w:r>
        <w:rPr>
          <w:szCs w:val="24"/>
        </w:rPr>
        <w:t>In questo contesto sono stati realizzati una serie di studi nell’ambito di programmi di ricerca nazionali e interregionali</w:t>
      </w:r>
      <w:r>
        <w:rPr>
          <w:szCs w:val="24"/>
          <w:vertAlign w:val="superscript"/>
        </w:rPr>
        <w:footnoteReference w:id="13"/>
      </w:r>
      <w:r>
        <w:rPr>
          <w:szCs w:val="24"/>
        </w:rPr>
        <w:t xml:space="preserve"> volti sia a quantificare il potenziale disponibile in termini di biomassa di origine agroforestale (sia residuale che da produzioni dedicate) esprimibile dal territorio marchigiano sia a ad individuare le possibili filiere agro-energetiche di interesse per la regione.</w:t>
      </w:r>
    </w:p>
    <w:p w:rsidR="0093431D" w:rsidRDefault="0093431D" w:rsidP="0093431D">
      <w:pPr>
        <w:pStyle w:val="Corpodeltesto"/>
        <w:numPr>
          <w:ilvl w:val="0"/>
          <w:numId w:val="0"/>
        </w:numPr>
        <w:spacing w:after="120"/>
        <w:rPr>
          <w:szCs w:val="24"/>
        </w:rPr>
      </w:pPr>
      <w:r>
        <w:rPr>
          <w:szCs w:val="24"/>
        </w:rPr>
        <w:t xml:space="preserve">Il Piano Energetico Ambientale Regionale (PEAR) ha trattato il tema dello sviluppo delle biomasse focalizzando l’attenzione sulla stima  sia della potenziale riduzione di emissioni che della potenziale produzione di energia che ne deriverebbe. Il PEAR prevede, riprendendo anche i risultati degli studi sopra citati, 3 principali filoni attivabili: </w:t>
      </w:r>
    </w:p>
    <w:p w:rsidR="0093431D" w:rsidRDefault="0093431D" w:rsidP="0093431D">
      <w:pPr>
        <w:numPr>
          <w:ilvl w:val="0"/>
          <w:numId w:val="2"/>
        </w:numPr>
        <w:tabs>
          <w:tab w:val="clear" w:pos="720"/>
          <w:tab w:val="num" w:pos="360"/>
        </w:tabs>
        <w:spacing w:after="120"/>
        <w:ind w:left="360"/>
        <w:jc w:val="both"/>
        <w:rPr>
          <w:szCs w:val="24"/>
        </w:rPr>
      </w:pPr>
      <w:r>
        <w:rPr>
          <w:szCs w:val="24"/>
        </w:rPr>
        <w:t xml:space="preserve">la produzione di energia rinnovabile da biomasse dedicate o residuali di origine agro–forestale e industriale, </w:t>
      </w:r>
    </w:p>
    <w:p w:rsidR="0093431D" w:rsidRDefault="0093431D" w:rsidP="0093431D">
      <w:pPr>
        <w:numPr>
          <w:ilvl w:val="0"/>
          <w:numId w:val="2"/>
        </w:numPr>
        <w:tabs>
          <w:tab w:val="clear" w:pos="720"/>
          <w:tab w:val="num" w:pos="360"/>
        </w:tabs>
        <w:spacing w:after="120"/>
        <w:ind w:left="360"/>
        <w:jc w:val="both"/>
        <w:rPr>
          <w:szCs w:val="24"/>
        </w:rPr>
      </w:pPr>
      <w:r>
        <w:rPr>
          <w:szCs w:val="24"/>
        </w:rPr>
        <w:t>la produzione di energia rinnovabile da biogas prodotto con processi di fermentazione anaerobica di biomasse per lo più di origine zootecnica (deiezioni animali), ma anche industriale (cascami della lavorazione delle produzioni orticole e fruttifere, fanghi di depurazione dell’industria agro-alimentare, residui dell’industria saccarifera, ecc.);</w:t>
      </w:r>
    </w:p>
    <w:p w:rsidR="0093431D" w:rsidRDefault="0093431D" w:rsidP="0093431D">
      <w:pPr>
        <w:numPr>
          <w:ilvl w:val="0"/>
          <w:numId w:val="2"/>
        </w:numPr>
        <w:tabs>
          <w:tab w:val="clear" w:pos="720"/>
          <w:tab w:val="num" w:pos="360"/>
        </w:tabs>
        <w:spacing w:after="120"/>
        <w:ind w:left="360"/>
        <w:jc w:val="both"/>
        <w:rPr>
          <w:szCs w:val="24"/>
        </w:rPr>
      </w:pPr>
      <w:r>
        <w:rPr>
          <w:szCs w:val="24"/>
        </w:rPr>
        <w:t xml:space="preserve">la produzione di energia rinnovabile da pannelli fotovoltaici o solari installabili per favorire l’ammodernamento e il miglioramento di edifici e strutture agro–silvo–pastorali. </w:t>
      </w:r>
    </w:p>
    <w:p w:rsidR="0093431D" w:rsidRDefault="0093431D" w:rsidP="0093431D">
      <w:pPr>
        <w:pStyle w:val="Corpodeltesto"/>
        <w:numPr>
          <w:ilvl w:val="0"/>
          <w:numId w:val="0"/>
        </w:numPr>
        <w:spacing w:after="120"/>
        <w:rPr>
          <w:szCs w:val="24"/>
        </w:rPr>
      </w:pPr>
      <w:r>
        <w:rPr>
          <w:szCs w:val="24"/>
        </w:rPr>
        <w:t>Riguardo al secondo punto è opportuno, da un lato sottolineare l’importanza della qualità delle biomasse di origine industriale eventualmente utilizzate, dall’altro evidenziare la possibilità di utilizzare, nei digestori, anche biomasse derivanti da colture dedicate.</w:t>
      </w:r>
    </w:p>
    <w:p w:rsidR="0093431D" w:rsidRDefault="0093431D" w:rsidP="0093431D">
      <w:pPr>
        <w:pStyle w:val="Corpodeltesto"/>
        <w:numPr>
          <w:ilvl w:val="0"/>
          <w:numId w:val="0"/>
        </w:numPr>
        <w:spacing w:before="240" w:after="240"/>
        <w:rPr>
          <w:b/>
          <w:highlight w:val="lightGray"/>
        </w:rPr>
      </w:pPr>
      <w:r>
        <w:rPr>
          <w:b/>
          <w:highlight w:val="lightGray"/>
        </w:rPr>
        <w:t>Tabella X.1: Regione Marche PEAR potenziali fonti energetiche rinnovabili delle Marche</w:t>
      </w:r>
    </w:p>
    <w:p w:rsidR="0093431D" w:rsidRDefault="0093431D" w:rsidP="0093431D">
      <w:pPr>
        <w:pStyle w:val="Corpodeltesto"/>
        <w:numPr>
          <w:ilvl w:val="0"/>
          <w:numId w:val="0"/>
        </w:numPr>
        <w:spacing w:after="120"/>
        <w:rPr>
          <w:szCs w:val="24"/>
        </w:rPr>
      </w:pPr>
      <w:r>
        <w:rPr>
          <w:noProof/>
        </w:rPr>
        <w:lastRenderedPageBreak/>
        <w:drawing>
          <wp:inline distT="0" distB="0" distL="0" distR="0">
            <wp:extent cx="5495925" cy="6667500"/>
            <wp:effectExtent l="19050" t="0" r="952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srcRect/>
                    <a:stretch>
                      <a:fillRect/>
                    </a:stretch>
                  </pic:blipFill>
                  <pic:spPr bwMode="auto">
                    <a:xfrm>
                      <a:off x="0" y="0"/>
                      <a:ext cx="5495925" cy="6667500"/>
                    </a:xfrm>
                    <a:prstGeom prst="rect">
                      <a:avLst/>
                    </a:prstGeom>
                    <a:noFill/>
                    <a:ln w="9525">
                      <a:noFill/>
                      <a:miter lim="800000"/>
                      <a:headEnd/>
                      <a:tailEnd/>
                    </a:ln>
                  </pic:spPr>
                </pic:pic>
              </a:graphicData>
            </a:graphic>
          </wp:inline>
        </w:drawing>
      </w:r>
    </w:p>
    <w:p w:rsidR="0093431D" w:rsidRDefault="0093431D" w:rsidP="0093431D">
      <w:pPr>
        <w:pStyle w:val="Corpodeltesto"/>
        <w:numPr>
          <w:ilvl w:val="0"/>
          <w:numId w:val="0"/>
        </w:numPr>
        <w:spacing w:before="240" w:after="120"/>
        <w:rPr>
          <w:szCs w:val="24"/>
        </w:rPr>
      </w:pPr>
      <w:r>
        <w:rPr>
          <w:szCs w:val="24"/>
        </w:rPr>
        <w:t xml:space="preserve">La </w:t>
      </w:r>
      <w:r w:rsidRPr="003D45A2">
        <w:rPr>
          <w:szCs w:val="24"/>
          <w:highlight w:val="lightGray"/>
        </w:rPr>
        <w:t>tabella X e la tabella XX</w:t>
      </w:r>
      <w:r>
        <w:rPr>
          <w:szCs w:val="24"/>
        </w:rPr>
        <w:t xml:space="preserve"> tratte dal PEAR sintetizzano gli interventi idonei per la realtà regionale  e offrono una stima dei costi dello loro realizzazione e delle ricadute degli stessi in termini di risparmio energetico potenziale ed emissioni evitate.</w:t>
      </w:r>
    </w:p>
    <w:p w:rsidR="0093431D" w:rsidRDefault="0093431D" w:rsidP="0093431D">
      <w:pPr>
        <w:pStyle w:val="Corpodeltesto"/>
        <w:numPr>
          <w:ilvl w:val="0"/>
          <w:numId w:val="0"/>
        </w:numPr>
        <w:spacing w:after="120"/>
        <w:rPr>
          <w:szCs w:val="24"/>
        </w:rPr>
      </w:pPr>
      <w:bookmarkStart w:id="3" w:name="OLE_LINK2"/>
      <w:r>
        <w:rPr>
          <w:szCs w:val="24"/>
        </w:rPr>
        <w:t>Complessivamente gli interventi di produzione di energia da biomasse  prospettati nel PEAR genererebbero un risparmio energetico di circa 0,16 Mtep/anno e un’entità di emissioni di CO</w:t>
      </w:r>
      <w:r>
        <w:rPr>
          <w:szCs w:val="24"/>
          <w:vertAlign w:val="subscript"/>
        </w:rPr>
        <w:t>2</w:t>
      </w:r>
      <w:r>
        <w:rPr>
          <w:szCs w:val="24"/>
        </w:rPr>
        <w:t xml:space="preserve">  evitate pari a 480.000 ton/anno.</w:t>
      </w:r>
    </w:p>
    <w:bookmarkEnd w:id="3"/>
    <w:p w:rsidR="0093431D" w:rsidRDefault="0093431D" w:rsidP="0093431D">
      <w:pPr>
        <w:pStyle w:val="Corpodeltesto"/>
        <w:numPr>
          <w:ilvl w:val="0"/>
          <w:numId w:val="0"/>
        </w:numPr>
        <w:spacing w:before="240" w:after="240"/>
        <w:rPr>
          <w:b/>
          <w:highlight w:val="lightGray"/>
        </w:rPr>
      </w:pPr>
      <w:r>
        <w:rPr>
          <w:b/>
          <w:highlight w:val="lightGray"/>
        </w:rPr>
        <w:t>Tabella X.2: Regione Marche PEAR potenziali fonti energetiche rinnovabili delle Marche</w:t>
      </w:r>
    </w:p>
    <w:p w:rsidR="0093431D" w:rsidRDefault="0093431D" w:rsidP="0093431D">
      <w:pPr>
        <w:pStyle w:val="Corpodeltesto"/>
        <w:numPr>
          <w:ilvl w:val="0"/>
          <w:numId w:val="0"/>
        </w:numPr>
        <w:spacing w:after="120"/>
        <w:rPr>
          <w:szCs w:val="24"/>
        </w:rPr>
      </w:pPr>
      <w:r>
        <w:rPr>
          <w:noProof/>
          <w:szCs w:val="24"/>
        </w:rPr>
        <w:lastRenderedPageBreak/>
        <w:drawing>
          <wp:inline distT="0" distB="0" distL="0" distR="0">
            <wp:extent cx="5295900" cy="6162675"/>
            <wp:effectExtent l="1905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a:srcRect/>
                    <a:stretch>
                      <a:fillRect/>
                    </a:stretch>
                  </pic:blipFill>
                  <pic:spPr bwMode="auto">
                    <a:xfrm>
                      <a:off x="0" y="0"/>
                      <a:ext cx="5295900" cy="6162675"/>
                    </a:xfrm>
                    <a:prstGeom prst="rect">
                      <a:avLst/>
                    </a:prstGeom>
                    <a:noFill/>
                    <a:ln w="9525">
                      <a:noFill/>
                      <a:miter lim="800000"/>
                      <a:headEnd/>
                      <a:tailEnd/>
                    </a:ln>
                  </pic:spPr>
                </pic:pic>
              </a:graphicData>
            </a:graphic>
          </wp:inline>
        </w:drawing>
      </w:r>
    </w:p>
    <w:p w:rsidR="0093431D" w:rsidRDefault="0093431D" w:rsidP="0093431D">
      <w:pPr>
        <w:pStyle w:val="Corpodeltesto"/>
        <w:numPr>
          <w:ilvl w:val="0"/>
          <w:numId w:val="0"/>
        </w:numPr>
        <w:spacing w:after="120"/>
        <w:rPr>
          <w:szCs w:val="24"/>
        </w:rPr>
      </w:pPr>
    </w:p>
    <w:p w:rsidR="0093431D" w:rsidRDefault="0093431D" w:rsidP="0093431D">
      <w:pPr>
        <w:pStyle w:val="Corpodeltesto"/>
        <w:numPr>
          <w:ilvl w:val="0"/>
          <w:numId w:val="0"/>
        </w:numPr>
        <w:spacing w:after="120"/>
        <w:rPr>
          <w:szCs w:val="24"/>
        </w:rPr>
      </w:pPr>
      <w:r>
        <w:rPr>
          <w:szCs w:val="24"/>
        </w:rPr>
        <w:t>Per tutte le diverse possibili filiere agroenergetiche attivabili il PEAR sottolinea inoltre la necessità, sulla base del contesto produttivo e ambientale regionale, di concentrare la produzione e l’utilizzo in ambiti territoriali ristretti e di tarare le produzioni su scale di piccola o media dimensione.</w:t>
      </w:r>
    </w:p>
    <w:p w:rsidR="0093431D" w:rsidRDefault="0093431D" w:rsidP="0093431D">
      <w:pPr>
        <w:pStyle w:val="Corpodeltesto"/>
        <w:numPr>
          <w:ilvl w:val="0"/>
          <w:numId w:val="0"/>
        </w:numPr>
        <w:spacing w:after="120"/>
        <w:rPr>
          <w:szCs w:val="24"/>
        </w:rPr>
      </w:pPr>
      <w:r>
        <w:rPr>
          <w:szCs w:val="24"/>
        </w:rPr>
        <w:t>Lo studio “Linee-guida per  lo sviluppo delle filiere bio-energetiche” realizzato dal Dipartimento di Scienze Applicate ai sistemi complessi dell’Università Politecnica delle Marche ha approfondito la fattibilità tecnica e la convenienza economica delle filiere agroenergetiche potenzialmente attivabili nella regione. Lo studio mostra che in ambito regionale le filiere agro-energetiche, tecnicamente realizzabili, si potrebbero basare su:</w:t>
      </w:r>
    </w:p>
    <w:p w:rsidR="0093431D" w:rsidRDefault="0093431D" w:rsidP="0093431D">
      <w:pPr>
        <w:pStyle w:val="Corpodeltesto"/>
        <w:numPr>
          <w:ilvl w:val="0"/>
          <w:numId w:val="6"/>
        </w:numPr>
        <w:spacing w:after="60"/>
        <w:ind w:left="357" w:hanging="357"/>
        <w:rPr>
          <w:szCs w:val="24"/>
        </w:rPr>
      </w:pPr>
      <w:r>
        <w:rPr>
          <w:szCs w:val="24"/>
        </w:rPr>
        <w:t>raccolta e/o produzione di materiale ligno-cellulosico residuale e/o da coltivazioni dedicate per la produzione di calore e/o energia elettrica;</w:t>
      </w:r>
    </w:p>
    <w:p w:rsidR="0093431D" w:rsidRDefault="0093431D" w:rsidP="0093431D">
      <w:pPr>
        <w:pStyle w:val="Corpodeltesto"/>
        <w:numPr>
          <w:ilvl w:val="0"/>
          <w:numId w:val="6"/>
        </w:numPr>
        <w:spacing w:after="60"/>
        <w:ind w:left="357" w:hanging="357"/>
        <w:rPr>
          <w:szCs w:val="24"/>
        </w:rPr>
      </w:pPr>
      <w:r>
        <w:rPr>
          <w:szCs w:val="24"/>
        </w:rPr>
        <w:t>produzione di semi oleaginosi per la produzione di calore e/o energia elettrica e/o biocarburanti;</w:t>
      </w:r>
    </w:p>
    <w:p w:rsidR="0093431D" w:rsidRDefault="0093431D" w:rsidP="0093431D">
      <w:pPr>
        <w:pStyle w:val="Corpodeltesto"/>
        <w:numPr>
          <w:ilvl w:val="0"/>
          <w:numId w:val="6"/>
        </w:numPr>
        <w:spacing w:after="60"/>
        <w:ind w:left="357" w:hanging="357"/>
        <w:rPr>
          <w:szCs w:val="24"/>
        </w:rPr>
      </w:pPr>
      <w:r>
        <w:rPr>
          <w:szCs w:val="24"/>
        </w:rPr>
        <w:t>produzione di colture amilacee o zuccherine per la produzione di biocarburanti;</w:t>
      </w:r>
    </w:p>
    <w:p w:rsidR="0093431D" w:rsidRDefault="0093431D" w:rsidP="0093431D">
      <w:pPr>
        <w:pStyle w:val="Corpodeltesto"/>
        <w:numPr>
          <w:ilvl w:val="0"/>
          <w:numId w:val="6"/>
        </w:numPr>
        <w:spacing w:after="120"/>
        <w:rPr>
          <w:szCs w:val="24"/>
        </w:rPr>
      </w:pPr>
      <w:r>
        <w:rPr>
          <w:szCs w:val="24"/>
        </w:rPr>
        <w:lastRenderedPageBreak/>
        <w:t>produzione di biogas per la produzione di energia elettrica.</w:t>
      </w:r>
    </w:p>
    <w:p w:rsidR="0093431D" w:rsidRDefault="0093431D" w:rsidP="0093431D">
      <w:pPr>
        <w:pStyle w:val="Corpodeltesto"/>
        <w:numPr>
          <w:ilvl w:val="0"/>
          <w:numId w:val="0"/>
        </w:numPr>
        <w:spacing w:after="120"/>
        <w:rPr>
          <w:szCs w:val="24"/>
        </w:rPr>
      </w:pPr>
      <w:r>
        <w:rPr>
          <w:szCs w:val="24"/>
        </w:rPr>
        <w:t>Altre tecnologie (a esempio: gassificazione, pirolisi, applicazioni delle celle a combustibile ecc.) risultano invece realizzabili più in un'ottica sperimentale o di impianti strettamente dimostrativi.</w:t>
      </w:r>
    </w:p>
    <w:p w:rsidR="0093431D" w:rsidRDefault="0093431D" w:rsidP="0093431D">
      <w:pPr>
        <w:pStyle w:val="Corpodeltesto"/>
        <w:numPr>
          <w:ilvl w:val="0"/>
          <w:numId w:val="0"/>
        </w:numPr>
        <w:spacing w:after="120"/>
        <w:rPr>
          <w:szCs w:val="24"/>
        </w:rPr>
      </w:pPr>
      <w:r>
        <w:rPr>
          <w:szCs w:val="24"/>
        </w:rPr>
        <w:t>Lo studio approfondisce inoltre per ciascuna filiera le materie prime utilizzabili e quindi la superficie agricola o forestale interessata, le tecnologie impiegabili, i prodotti e coprodotti energetici, l’energia producibile, la redditività, le ricadute in termini di riduzione delle emissioni di CO</w:t>
      </w:r>
      <w:r>
        <w:rPr>
          <w:szCs w:val="24"/>
          <w:vertAlign w:val="subscript"/>
        </w:rPr>
        <w:t>2</w:t>
      </w:r>
      <w:r>
        <w:rPr>
          <w:szCs w:val="24"/>
        </w:rPr>
        <w:t xml:space="preserve"> e di energia risparmiabile.</w:t>
      </w:r>
    </w:p>
    <w:p w:rsidR="0093431D" w:rsidRDefault="0093431D" w:rsidP="0093431D">
      <w:pPr>
        <w:pStyle w:val="Corpodeltesto"/>
        <w:numPr>
          <w:ilvl w:val="0"/>
          <w:numId w:val="0"/>
        </w:numPr>
        <w:spacing w:after="120"/>
        <w:rPr>
          <w:szCs w:val="24"/>
        </w:rPr>
      </w:pPr>
      <w:r>
        <w:rPr>
          <w:szCs w:val="24"/>
        </w:rPr>
        <w:t>I risultati di tale studio sono stati tenuti in considerazione nella analisi regionale per filiera, descritta nel paragrafo inerente le filiere agroenergetiche, dove sono riportate anche altre considerazioni di ordine economico.</w:t>
      </w:r>
    </w:p>
    <w:p w:rsidR="0093431D" w:rsidRDefault="0093431D" w:rsidP="0093431D">
      <w:pPr>
        <w:pStyle w:val="Corpodeltesto"/>
        <w:numPr>
          <w:ilvl w:val="0"/>
          <w:numId w:val="0"/>
        </w:numPr>
        <w:spacing w:after="120"/>
        <w:rPr>
          <w:szCs w:val="24"/>
        </w:rPr>
      </w:pPr>
      <w:r>
        <w:rPr>
          <w:szCs w:val="24"/>
        </w:rPr>
        <w:t>Per quanto concerne gli aspetti più prettamente ambientali per ciascuna potenziale filiera sono stati considerati</w:t>
      </w:r>
      <w:r w:rsidRPr="006D39FF">
        <w:rPr>
          <w:szCs w:val="24"/>
        </w:rPr>
        <w:t xml:space="preserve"> </w:t>
      </w:r>
      <w:r>
        <w:rPr>
          <w:szCs w:val="24"/>
        </w:rPr>
        <w:t>la capacità di produrre energia rinnovabile per unità di superficie</w:t>
      </w:r>
      <w:r w:rsidRPr="00165580">
        <w:rPr>
          <w:szCs w:val="24"/>
        </w:rPr>
        <w:t xml:space="preserve"> </w:t>
      </w:r>
      <w:r>
        <w:rPr>
          <w:szCs w:val="24"/>
        </w:rPr>
        <w:t>e la riduzione dell’apporto di emissioni di CO</w:t>
      </w:r>
      <w:r w:rsidRPr="00A05303">
        <w:rPr>
          <w:szCs w:val="24"/>
          <w:vertAlign w:val="superscript"/>
        </w:rPr>
        <w:t>2</w:t>
      </w:r>
      <w:r>
        <w:rPr>
          <w:szCs w:val="24"/>
        </w:rPr>
        <w:t xml:space="preserve"> in atmosfera. Secondo quanto evidenziato nella tabella sottostante le filiere di maggiore interesse sin termini di eproduzione di energia rinnovabile sono quelle legno-energia quelle impostate sulle colture dedicate per la produzione di fibra ligneo-cellulosica utilizzata per produrre sia calore sia elettricità e quella del biogas per la produzione di elettricità.</w:t>
      </w:r>
    </w:p>
    <w:p w:rsidR="0093431D" w:rsidRDefault="0093431D" w:rsidP="0093431D">
      <w:pPr>
        <w:pStyle w:val="Corpodeltesto"/>
        <w:numPr>
          <w:ilvl w:val="0"/>
          <w:numId w:val="0"/>
        </w:numPr>
        <w:spacing w:before="240" w:after="240"/>
        <w:rPr>
          <w:b/>
          <w:highlight w:val="lightGray"/>
        </w:rPr>
      </w:pPr>
      <w:r>
        <w:rPr>
          <w:b/>
          <w:highlight w:val="lightGray"/>
        </w:rPr>
        <w:t>Tabella X – Output medi specifici relativi ad aspetti energetici, ambientali ed economici delle differenti filiere agro-energetiche</w:t>
      </w: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81"/>
        <w:gridCol w:w="1139"/>
        <w:gridCol w:w="1440"/>
        <w:gridCol w:w="1080"/>
      </w:tblGrid>
      <w:tr w:rsidR="0093431D" w:rsidTr="00BA1F65">
        <w:tc>
          <w:tcPr>
            <w:tcW w:w="5881" w:type="dxa"/>
            <w:tcBorders>
              <w:top w:val="single" w:sz="4" w:space="0" w:color="auto"/>
              <w:left w:val="single" w:sz="4" w:space="0" w:color="auto"/>
            </w:tcBorders>
          </w:tcPr>
          <w:p w:rsidR="0093431D" w:rsidRDefault="0093431D" w:rsidP="00BA1F65">
            <w:pPr>
              <w:rPr>
                <w:bCs/>
                <w:i/>
                <w:sz w:val="20"/>
              </w:rPr>
            </w:pPr>
          </w:p>
          <w:p w:rsidR="0093431D" w:rsidRDefault="0093431D" w:rsidP="00BA1F65">
            <w:pPr>
              <w:jc w:val="center"/>
              <w:rPr>
                <w:bCs/>
                <w:i/>
                <w:sz w:val="20"/>
              </w:rPr>
            </w:pPr>
            <w:r>
              <w:rPr>
                <w:bCs/>
                <w:i/>
                <w:sz w:val="20"/>
              </w:rPr>
              <w:t>Filiere</w:t>
            </w:r>
          </w:p>
        </w:tc>
        <w:tc>
          <w:tcPr>
            <w:tcW w:w="1139" w:type="dxa"/>
            <w:vAlign w:val="center"/>
          </w:tcPr>
          <w:p w:rsidR="0093431D" w:rsidRDefault="0093431D" w:rsidP="00BA1F65">
            <w:pPr>
              <w:jc w:val="center"/>
              <w:rPr>
                <w:bCs/>
                <w:i/>
                <w:sz w:val="20"/>
              </w:rPr>
            </w:pPr>
            <w:r>
              <w:rPr>
                <w:bCs/>
                <w:i/>
                <w:sz w:val="20"/>
              </w:rPr>
              <w:t xml:space="preserve">Energia rinnovabile </w:t>
            </w:r>
          </w:p>
          <w:p w:rsidR="0093431D" w:rsidRDefault="0093431D" w:rsidP="00BA1F65">
            <w:pPr>
              <w:jc w:val="center"/>
              <w:rPr>
                <w:bCs/>
                <w:i/>
                <w:sz w:val="20"/>
              </w:rPr>
            </w:pPr>
            <w:r>
              <w:rPr>
                <w:bCs/>
                <w:i/>
                <w:sz w:val="20"/>
              </w:rPr>
              <w:t>(tep/ha)</w:t>
            </w:r>
          </w:p>
        </w:tc>
        <w:tc>
          <w:tcPr>
            <w:tcW w:w="1440" w:type="dxa"/>
            <w:vAlign w:val="center"/>
          </w:tcPr>
          <w:p w:rsidR="0093431D" w:rsidRDefault="0093431D" w:rsidP="00BA1F65">
            <w:pPr>
              <w:jc w:val="center"/>
              <w:rPr>
                <w:bCs/>
                <w:i/>
                <w:sz w:val="20"/>
              </w:rPr>
            </w:pPr>
            <w:r>
              <w:rPr>
                <w:bCs/>
                <w:i/>
                <w:sz w:val="20"/>
              </w:rPr>
              <w:t xml:space="preserve">Gas serra </w:t>
            </w:r>
          </w:p>
          <w:p w:rsidR="0093431D" w:rsidRDefault="0093431D" w:rsidP="00BA1F65">
            <w:pPr>
              <w:jc w:val="center"/>
              <w:rPr>
                <w:bCs/>
                <w:i/>
                <w:sz w:val="20"/>
              </w:rPr>
            </w:pPr>
            <w:r>
              <w:rPr>
                <w:bCs/>
                <w:i/>
                <w:sz w:val="20"/>
              </w:rPr>
              <w:t>evitati</w:t>
            </w:r>
          </w:p>
          <w:p w:rsidR="0093431D" w:rsidRDefault="0093431D" w:rsidP="00BA1F65">
            <w:pPr>
              <w:jc w:val="center"/>
              <w:rPr>
                <w:bCs/>
                <w:i/>
                <w:sz w:val="20"/>
              </w:rPr>
            </w:pPr>
            <w:r>
              <w:rPr>
                <w:bCs/>
                <w:i/>
                <w:sz w:val="20"/>
              </w:rPr>
              <w:t>(t CO</w:t>
            </w:r>
            <w:r>
              <w:rPr>
                <w:bCs/>
                <w:i/>
                <w:sz w:val="20"/>
                <w:vertAlign w:val="subscript"/>
              </w:rPr>
              <w:t>2</w:t>
            </w:r>
            <w:r>
              <w:rPr>
                <w:bCs/>
                <w:i/>
                <w:sz w:val="20"/>
              </w:rPr>
              <w:t>/ha)</w:t>
            </w:r>
          </w:p>
        </w:tc>
        <w:tc>
          <w:tcPr>
            <w:tcW w:w="1080" w:type="dxa"/>
            <w:vAlign w:val="center"/>
          </w:tcPr>
          <w:p w:rsidR="0093431D" w:rsidRDefault="0093431D" w:rsidP="00BA1F65">
            <w:pPr>
              <w:jc w:val="center"/>
              <w:rPr>
                <w:bCs/>
                <w:i/>
                <w:sz w:val="20"/>
              </w:rPr>
            </w:pPr>
            <w:r>
              <w:rPr>
                <w:bCs/>
                <w:i/>
                <w:sz w:val="20"/>
              </w:rPr>
              <w:t>PLV</w:t>
            </w:r>
          </w:p>
          <w:p w:rsidR="0093431D" w:rsidRDefault="0093431D" w:rsidP="00BA1F65">
            <w:pPr>
              <w:jc w:val="center"/>
              <w:rPr>
                <w:bCs/>
                <w:i/>
                <w:sz w:val="20"/>
              </w:rPr>
            </w:pPr>
            <w:r>
              <w:rPr>
                <w:bCs/>
                <w:i/>
                <w:sz w:val="20"/>
              </w:rPr>
              <w:t>(€/ha)</w:t>
            </w:r>
          </w:p>
        </w:tc>
      </w:tr>
      <w:tr w:rsidR="0093431D" w:rsidTr="00BA1F65">
        <w:trPr>
          <w:trHeight w:val="331"/>
        </w:trPr>
        <w:tc>
          <w:tcPr>
            <w:tcW w:w="5881" w:type="dxa"/>
          </w:tcPr>
          <w:p w:rsidR="0093431D" w:rsidRDefault="0093431D" w:rsidP="00BA1F65">
            <w:pPr>
              <w:rPr>
                <w:sz w:val="20"/>
              </w:rPr>
            </w:pPr>
            <w:r>
              <w:rPr>
                <w:sz w:val="20"/>
              </w:rPr>
              <w:t>Legno-energia per la produzione di calore con caldaie di piccole/medie dimensioni</w:t>
            </w:r>
          </w:p>
        </w:tc>
        <w:tc>
          <w:tcPr>
            <w:tcW w:w="1139" w:type="dxa"/>
            <w:vAlign w:val="center"/>
          </w:tcPr>
          <w:p w:rsidR="0093431D" w:rsidRDefault="0093431D" w:rsidP="00BA1F65">
            <w:pPr>
              <w:jc w:val="center"/>
              <w:rPr>
                <w:sz w:val="20"/>
              </w:rPr>
            </w:pPr>
            <w:r>
              <w:rPr>
                <w:sz w:val="20"/>
              </w:rPr>
              <w:t>0,6 – 4,5</w:t>
            </w:r>
            <w:r>
              <w:rPr>
                <w:sz w:val="20"/>
                <w:vertAlign w:val="superscript"/>
              </w:rPr>
              <w:t>18</w:t>
            </w:r>
          </w:p>
        </w:tc>
        <w:tc>
          <w:tcPr>
            <w:tcW w:w="1440" w:type="dxa"/>
            <w:vAlign w:val="center"/>
          </w:tcPr>
          <w:p w:rsidR="0093431D" w:rsidRDefault="0093431D" w:rsidP="00BA1F65">
            <w:pPr>
              <w:jc w:val="center"/>
              <w:rPr>
                <w:sz w:val="20"/>
              </w:rPr>
            </w:pPr>
            <w:r>
              <w:rPr>
                <w:sz w:val="20"/>
              </w:rPr>
              <w:t>2 – 14</w:t>
            </w:r>
            <w:r>
              <w:rPr>
                <w:sz w:val="20"/>
                <w:vertAlign w:val="superscript"/>
              </w:rPr>
              <w:t>59</w:t>
            </w:r>
          </w:p>
        </w:tc>
        <w:tc>
          <w:tcPr>
            <w:tcW w:w="1080" w:type="dxa"/>
            <w:vAlign w:val="center"/>
          </w:tcPr>
          <w:p w:rsidR="0093431D" w:rsidRDefault="0093431D" w:rsidP="00BA1F65">
            <w:pPr>
              <w:jc w:val="center"/>
              <w:rPr>
                <w:sz w:val="20"/>
              </w:rPr>
            </w:pPr>
            <w:r>
              <w:rPr>
                <w:sz w:val="20"/>
              </w:rPr>
              <w:t>300 - 1.000</w:t>
            </w:r>
            <w:r w:rsidRPr="00657B68">
              <w:rPr>
                <w:rStyle w:val="Rimandonotaapidipagina"/>
                <w:sz w:val="20"/>
                <w:vertAlign w:val="superscript"/>
              </w:rPr>
              <w:footnoteReference w:id="14"/>
            </w:r>
          </w:p>
        </w:tc>
      </w:tr>
      <w:tr w:rsidR="0093431D" w:rsidTr="00BA1F65">
        <w:tc>
          <w:tcPr>
            <w:tcW w:w="5881" w:type="dxa"/>
          </w:tcPr>
          <w:p w:rsidR="0093431D" w:rsidRDefault="0093431D" w:rsidP="00BA1F65">
            <w:pPr>
              <w:rPr>
                <w:sz w:val="20"/>
              </w:rPr>
            </w:pPr>
            <w:r>
              <w:rPr>
                <w:sz w:val="20"/>
              </w:rPr>
              <w:t>Legno - energia per la produzione di biocombustibili (pellet)</w:t>
            </w:r>
          </w:p>
        </w:tc>
        <w:tc>
          <w:tcPr>
            <w:tcW w:w="1139" w:type="dxa"/>
            <w:vAlign w:val="center"/>
          </w:tcPr>
          <w:p w:rsidR="0093431D" w:rsidRDefault="0093431D" w:rsidP="00BA1F65">
            <w:pPr>
              <w:jc w:val="center"/>
              <w:rPr>
                <w:sz w:val="20"/>
              </w:rPr>
            </w:pPr>
            <w:r>
              <w:rPr>
                <w:sz w:val="20"/>
              </w:rPr>
              <w:t>0,6 – 4,5</w:t>
            </w:r>
            <w:r>
              <w:rPr>
                <w:sz w:val="20"/>
                <w:vertAlign w:val="superscript"/>
              </w:rPr>
              <w:t>18</w:t>
            </w:r>
          </w:p>
        </w:tc>
        <w:tc>
          <w:tcPr>
            <w:tcW w:w="1440" w:type="dxa"/>
            <w:vAlign w:val="center"/>
          </w:tcPr>
          <w:p w:rsidR="0093431D" w:rsidRDefault="0093431D" w:rsidP="00BA1F65">
            <w:pPr>
              <w:jc w:val="center"/>
              <w:rPr>
                <w:sz w:val="20"/>
              </w:rPr>
            </w:pPr>
            <w:r>
              <w:rPr>
                <w:sz w:val="20"/>
              </w:rPr>
              <w:t>2 – 14</w:t>
            </w:r>
            <w:r>
              <w:rPr>
                <w:sz w:val="20"/>
                <w:vertAlign w:val="superscript"/>
              </w:rPr>
              <w:t>59</w:t>
            </w:r>
          </w:p>
        </w:tc>
        <w:tc>
          <w:tcPr>
            <w:tcW w:w="1080" w:type="dxa"/>
            <w:vAlign w:val="center"/>
          </w:tcPr>
          <w:p w:rsidR="0093431D" w:rsidRDefault="0093431D" w:rsidP="00BA1F65">
            <w:pPr>
              <w:jc w:val="center"/>
              <w:rPr>
                <w:sz w:val="20"/>
              </w:rPr>
            </w:pPr>
            <w:r>
              <w:rPr>
                <w:sz w:val="20"/>
              </w:rPr>
              <w:t>300 - 2.000</w:t>
            </w:r>
            <w:r>
              <w:rPr>
                <w:sz w:val="20"/>
                <w:vertAlign w:val="superscript"/>
              </w:rPr>
              <w:t>59</w:t>
            </w:r>
          </w:p>
        </w:tc>
      </w:tr>
      <w:tr w:rsidR="0093431D" w:rsidTr="00BA1F65">
        <w:tc>
          <w:tcPr>
            <w:tcW w:w="5881" w:type="dxa"/>
          </w:tcPr>
          <w:p w:rsidR="0093431D" w:rsidRDefault="0093431D" w:rsidP="00BA1F65">
            <w:pPr>
              <w:rPr>
                <w:sz w:val="20"/>
              </w:rPr>
            </w:pPr>
            <w:r>
              <w:rPr>
                <w:sz w:val="20"/>
              </w:rPr>
              <w:t>Olio-energia di piccole/medie dimensioni per la produzione di</w:t>
            </w:r>
          </w:p>
          <w:p w:rsidR="0093431D" w:rsidRDefault="0093431D" w:rsidP="00BA1F65">
            <w:pPr>
              <w:numPr>
                <w:ilvl w:val="0"/>
                <w:numId w:val="4"/>
              </w:numPr>
              <w:rPr>
                <w:sz w:val="20"/>
              </w:rPr>
            </w:pPr>
            <w:r>
              <w:rPr>
                <w:sz w:val="20"/>
              </w:rPr>
              <w:t xml:space="preserve">biocombustibili (olio) </w:t>
            </w:r>
          </w:p>
          <w:p w:rsidR="0093431D" w:rsidRDefault="0093431D" w:rsidP="00BA1F65">
            <w:pPr>
              <w:numPr>
                <w:ilvl w:val="0"/>
                <w:numId w:val="4"/>
              </w:numPr>
              <w:rPr>
                <w:sz w:val="20"/>
              </w:rPr>
            </w:pPr>
            <w:r>
              <w:rPr>
                <w:sz w:val="20"/>
              </w:rPr>
              <w:t xml:space="preserve">elettricità </w:t>
            </w:r>
          </w:p>
          <w:p w:rsidR="0093431D" w:rsidRDefault="0093431D" w:rsidP="00BA1F65">
            <w:pPr>
              <w:numPr>
                <w:ilvl w:val="0"/>
                <w:numId w:val="4"/>
              </w:numPr>
              <w:rPr>
                <w:sz w:val="20"/>
              </w:rPr>
            </w:pPr>
            <w:r>
              <w:rPr>
                <w:sz w:val="20"/>
              </w:rPr>
              <w:t>elettricità e calore</w:t>
            </w:r>
          </w:p>
        </w:tc>
        <w:tc>
          <w:tcPr>
            <w:tcW w:w="1139" w:type="dxa"/>
          </w:tcPr>
          <w:p w:rsidR="0093431D" w:rsidRDefault="0093431D" w:rsidP="00BA1F65">
            <w:pPr>
              <w:jc w:val="center"/>
              <w:rPr>
                <w:sz w:val="20"/>
              </w:rPr>
            </w:pPr>
            <w:r>
              <w:rPr>
                <w:sz w:val="20"/>
              </w:rPr>
              <w:t>0,8</w:t>
            </w:r>
          </w:p>
        </w:tc>
        <w:tc>
          <w:tcPr>
            <w:tcW w:w="1440" w:type="dxa"/>
          </w:tcPr>
          <w:p w:rsidR="0093431D" w:rsidRDefault="0093431D" w:rsidP="00BA1F65">
            <w:pPr>
              <w:jc w:val="center"/>
              <w:rPr>
                <w:sz w:val="20"/>
              </w:rPr>
            </w:pPr>
            <w:r>
              <w:rPr>
                <w:sz w:val="20"/>
              </w:rPr>
              <w:t>2,4</w:t>
            </w:r>
          </w:p>
        </w:tc>
        <w:tc>
          <w:tcPr>
            <w:tcW w:w="1080" w:type="dxa"/>
            <w:vAlign w:val="center"/>
          </w:tcPr>
          <w:p w:rsidR="0093431D" w:rsidRDefault="0093431D" w:rsidP="00BA1F65">
            <w:pPr>
              <w:jc w:val="center"/>
              <w:rPr>
                <w:sz w:val="20"/>
              </w:rPr>
            </w:pPr>
          </w:p>
          <w:p w:rsidR="0093431D" w:rsidRDefault="0093431D" w:rsidP="00BA1F65">
            <w:pPr>
              <w:jc w:val="center"/>
              <w:rPr>
                <w:sz w:val="20"/>
              </w:rPr>
            </w:pPr>
            <w:r>
              <w:rPr>
                <w:sz w:val="20"/>
              </w:rPr>
              <w:t>550</w:t>
            </w:r>
          </w:p>
          <w:p w:rsidR="0093431D" w:rsidRDefault="0093431D" w:rsidP="00BA1F65">
            <w:pPr>
              <w:jc w:val="center"/>
              <w:rPr>
                <w:sz w:val="20"/>
              </w:rPr>
            </w:pPr>
            <w:r>
              <w:rPr>
                <w:sz w:val="20"/>
              </w:rPr>
              <w:t>600</w:t>
            </w:r>
          </w:p>
          <w:p w:rsidR="0093431D" w:rsidRDefault="0093431D" w:rsidP="00BA1F65">
            <w:pPr>
              <w:jc w:val="center"/>
              <w:rPr>
                <w:sz w:val="20"/>
              </w:rPr>
            </w:pPr>
            <w:r>
              <w:rPr>
                <w:sz w:val="20"/>
              </w:rPr>
              <w:t>950</w:t>
            </w:r>
          </w:p>
        </w:tc>
      </w:tr>
      <w:tr w:rsidR="0093431D" w:rsidTr="00BA1F65">
        <w:tc>
          <w:tcPr>
            <w:tcW w:w="5881" w:type="dxa"/>
          </w:tcPr>
          <w:p w:rsidR="0093431D" w:rsidRDefault="0093431D" w:rsidP="00BA1F65">
            <w:pPr>
              <w:rPr>
                <w:sz w:val="20"/>
              </w:rPr>
            </w:pPr>
            <w:r>
              <w:rPr>
                <w:sz w:val="20"/>
              </w:rPr>
              <w:t>Biogas per la produzione di elettricità</w:t>
            </w:r>
            <w:r>
              <w:rPr>
                <w:rStyle w:val="Rimandonotaapidipagina"/>
                <w:sz w:val="20"/>
              </w:rPr>
              <w:footnoteReference w:id="15"/>
            </w:r>
            <w:r>
              <w:rPr>
                <w:sz w:val="20"/>
              </w:rPr>
              <w:t xml:space="preserve"> </w:t>
            </w:r>
          </w:p>
        </w:tc>
        <w:tc>
          <w:tcPr>
            <w:tcW w:w="1139" w:type="dxa"/>
            <w:vAlign w:val="center"/>
          </w:tcPr>
          <w:p w:rsidR="0093431D" w:rsidRDefault="0093431D" w:rsidP="00BA1F65">
            <w:pPr>
              <w:jc w:val="center"/>
              <w:rPr>
                <w:sz w:val="20"/>
              </w:rPr>
            </w:pPr>
            <w:r>
              <w:rPr>
                <w:sz w:val="20"/>
              </w:rPr>
              <w:t>3,5 - 4,0</w:t>
            </w:r>
          </w:p>
        </w:tc>
        <w:tc>
          <w:tcPr>
            <w:tcW w:w="1440" w:type="dxa"/>
            <w:vAlign w:val="center"/>
          </w:tcPr>
          <w:p w:rsidR="0093431D" w:rsidRDefault="0093431D" w:rsidP="00BA1F65">
            <w:pPr>
              <w:jc w:val="center"/>
              <w:rPr>
                <w:sz w:val="20"/>
              </w:rPr>
            </w:pPr>
            <w:r>
              <w:rPr>
                <w:sz w:val="20"/>
              </w:rPr>
              <w:t>10 - 12</w:t>
            </w:r>
          </w:p>
        </w:tc>
        <w:tc>
          <w:tcPr>
            <w:tcW w:w="1080" w:type="dxa"/>
            <w:vAlign w:val="center"/>
          </w:tcPr>
          <w:p w:rsidR="0093431D" w:rsidRDefault="0093431D" w:rsidP="00BA1F65">
            <w:pPr>
              <w:jc w:val="center"/>
              <w:rPr>
                <w:sz w:val="20"/>
              </w:rPr>
            </w:pPr>
            <w:r>
              <w:rPr>
                <w:sz w:val="20"/>
              </w:rPr>
              <w:t>1.500</w:t>
            </w:r>
          </w:p>
        </w:tc>
      </w:tr>
      <w:tr w:rsidR="0093431D" w:rsidTr="00BA1F65">
        <w:tc>
          <w:tcPr>
            <w:tcW w:w="5881" w:type="dxa"/>
          </w:tcPr>
          <w:p w:rsidR="0093431D" w:rsidRDefault="0093431D" w:rsidP="00BA1F65">
            <w:pPr>
              <w:rPr>
                <w:sz w:val="20"/>
              </w:rPr>
            </w:pPr>
            <w:r>
              <w:rPr>
                <w:sz w:val="20"/>
              </w:rPr>
              <w:t>Colture ligneo-cellulosiche - energia con impianti di medie/grandi dimensioni per la produzione di elettricità</w:t>
            </w:r>
          </w:p>
        </w:tc>
        <w:tc>
          <w:tcPr>
            <w:tcW w:w="1139" w:type="dxa"/>
            <w:vAlign w:val="center"/>
          </w:tcPr>
          <w:p w:rsidR="0093431D" w:rsidRDefault="0093431D" w:rsidP="00BA1F65">
            <w:pPr>
              <w:jc w:val="center"/>
              <w:rPr>
                <w:sz w:val="20"/>
              </w:rPr>
            </w:pPr>
            <w:r>
              <w:rPr>
                <w:sz w:val="20"/>
              </w:rPr>
              <w:t>4</w:t>
            </w:r>
          </w:p>
        </w:tc>
        <w:tc>
          <w:tcPr>
            <w:tcW w:w="1440" w:type="dxa"/>
            <w:vAlign w:val="center"/>
          </w:tcPr>
          <w:p w:rsidR="0093431D" w:rsidRDefault="0093431D" w:rsidP="00BA1F65">
            <w:pPr>
              <w:jc w:val="center"/>
              <w:rPr>
                <w:sz w:val="20"/>
              </w:rPr>
            </w:pPr>
            <w:r>
              <w:rPr>
                <w:sz w:val="20"/>
              </w:rPr>
              <w:t>12</w:t>
            </w:r>
          </w:p>
        </w:tc>
        <w:tc>
          <w:tcPr>
            <w:tcW w:w="1080" w:type="dxa"/>
            <w:vAlign w:val="center"/>
          </w:tcPr>
          <w:p w:rsidR="0093431D" w:rsidRDefault="0093431D" w:rsidP="00BA1F65">
            <w:pPr>
              <w:jc w:val="center"/>
              <w:rPr>
                <w:sz w:val="20"/>
              </w:rPr>
            </w:pPr>
            <w:r>
              <w:rPr>
                <w:sz w:val="20"/>
              </w:rPr>
              <w:t>60 - 600</w:t>
            </w:r>
          </w:p>
        </w:tc>
      </w:tr>
      <w:tr w:rsidR="0093431D" w:rsidTr="00BA1F65">
        <w:tc>
          <w:tcPr>
            <w:tcW w:w="5881" w:type="dxa"/>
          </w:tcPr>
          <w:p w:rsidR="0093431D" w:rsidRDefault="0093431D" w:rsidP="00BA1F65">
            <w:pPr>
              <w:rPr>
                <w:sz w:val="20"/>
              </w:rPr>
            </w:pPr>
            <w:r>
              <w:rPr>
                <w:sz w:val="20"/>
              </w:rPr>
              <w:t>Olio-energia di medie/grandi dimensioni per la produzione di elettricità</w:t>
            </w:r>
          </w:p>
          <w:p w:rsidR="0093431D" w:rsidRDefault="0093431D" w:rsidP="00BA1F65">
            <w:pPr>
              <w:numPr>
                <w:ilvl w:val="0"/>
                <w:numId w:val="4"/>
              </w:numPr>
              <w:rPr>
                <w:sz w:val="20"/>
              </w:rPr>
            </w:pPr>
            <w:r>
              <w:rPr>
                <w:sz w:val="20"/>
              </w:rPr>
              <w:t xml:space="preserve">semi </w:t>
            </w:r>
          </w:p>
          <w:p w:rsidR="0093431D" w:rsidRDefault="0093431D" w:rsidP="00BA1F65">
            <w:pPr>
              <w:numPr>
                <w:ilvl w:val="0"/>
                <w:numId w:val="4"/>
              </w:numPr>
              <w:rPr>
                <w:sz w:val="20"/>
              </w:rPr>
            </w:pPr>
            <w:r>
              <w:rPr>
                <w:sz w:val="20"/>
              </w:rPr>
              <w:t xml:space="preserve">biocombustibili (olio) </w:t>
            </w:r>
          </w:p>
        </w:tc>
        <w:tc>
          <w:tcPr>
            <w:tcW w:w="1139" w:type="dxa"/>
          </w:tcPr>
          <w:p w:rsidR="0093431D" w:rsidRDefault="0093431D" w:rsidP="00BA1F65">
            <w:pPr>
              <w:jc w:val="center"/>
              <w:rPr>
                <w:sz w:val="20"/>
              </w:rPr>
            </w:pPr>
            <w:r>
              <w:rPr>
                <w:sz w:val="20"/>
              </w:rPr>
              <w:t>1</w:t>
            </w:r>
          </w:p>
        </w:tc>
        <w:tc>
          <w:tcPr>
            <w:tcW w:w="1440" w:type="dxa"/>
          </w:tcPr>
          <w:p w:rsidR="0093431D" w:rsidRDefault="0093431D" w:rsidP="00BA1F65">
            <w:pPr>
              <w:jc w:val="center"/>
              <w:rPr>
                <w:sz w:val="20"/>
              </w:rPr>
            </w:pPr>
            <w:r>
              <w:rPr>
                <w:sz w:val="20"/>
              </w:rPr>
              <w:t>3</w:t>
            </w:r>
          </w:p>
        </w:tc>
        <w:tc>
          <w:tcPr>
            <w:tcW w:w="1080" w:type="dxa"/>
            <w:vAlign w:val="center"/>
          </w:tcPr>
          <w:p w:rsidR="0093431D" w:rsidRDefault="0093431D" w:rsidP="00BA1F65">
            <w:pPr>
              <w:jc w:val="center"/>
              <w:rPr>
                <w:sz w:val="20"/>
              </w:rPr>
            </w:pPr>
          </w:p>
          <w:p w:rsidR="0093431D" w:rsidRDefault="0093431D" w:rsidP="00BA1F65">
            <w:pPr>
              <w:jc w:val="center"/>
              <w:rPr>
                <w:sz w:val="20"/>
              </w:rPr>
            </w:pPr>
          </w:p>
          <w:p w:rsidR="0093431D" w:rsidRDefault="0093431D" w:rsidP="00BA1F65">
            <w:pPr>
              <w:jc w:val="center"/>
              <w:rPr>
                <w:sz w:val="20"/>
              </w:rPr>
            </w:pPr>
            <w:r>
              <w:rPr>
                <w:sz w:val="20"/>
              </w:rPr>
              <w:t>500</w:t>
            </w:r>
          </w:p>
          <w:p w:rsidR="0093431D" w:rsidRDefault="0093431D" w:rsidP="00BA1F65">
            <w:pPr>
              <w:jc w:val="center"/>
              <w:rPr>
                <w:sz w:val="20"/>
              </w:rPr>
            </w:pPr>
            <w:r>
              <w:rPr>
                <w:sz w:val="20"/>
              </w:rPr>
              <w:t>550</w:t>
            </w:r>
          </w:p>
        </w:tc>
      </w:tr>
      <w:tr w:rsidR="0093431D" w:rsidTr="00BA1F65">
        <w:tc>
          <w:tcPr>
            <w:tcW w:w="5881" w:type="dxa"/>
          </w:tcPr>
          <w:p w:rsidR="0093431D" w:rsidRDefault="0093431D" w:rsidP="00BA1F65">
            <w:pPr>
              <w:rPr>
                <w:sz w:val="20"/>
              </w:rPr>
            </w:pPr>
            <w:r>
              <w:rPr>
                <w:sz w:val="20"/>
              </w:rPr>
              <w:t>Olio-energia per la produzione di biocombustibili (biodiesel)</w:t>
            </w:r>
          </w:p>
          <w:p w:rsidR="0093431D" w:rsidRDefault="0093431D" w:rsidP="00BA1F65">
            <w:pPr>
              <w:numPr>
                <w:ilvl w:val="0"/>
                <w:numId w:val="5"/>
              </w:numPr>
              <w:rPr>
                <w:sz w:val="20"/>
              </w:rPr>
            </w:pPr>
            <w:r>
              <w:rPr>
                <w:sz w:val="20"/>
              </w:rPr>
              <w:t xml:space="preserve">semi </w:t>
            </w:r>
          </w:p>
          <w:p w:rsidR="0093431D" w:rsidRDefault="0093431D" w:rsidP="00BA1F65">
            <w:pPr>
              <w:numPr>
                <w:ilvl w:val="0"/>
                <w:numId w:val="5"/>
              </w:numPr>
              <w:rPr>
                <w:sz w:val="20"/>
              </w:rPr>
            </w:pPr>
            <w:r>
              <w:rPr>
                <w:sz w:val="20"/>
              </w:rPr>
              <w:t>biocombustibili (olio)</w:t>
            </w:r>
          </w:p>
        </w:tc>
        <w:tc>
          <w:tcPr>
            <w:tcW w:w="1139" w:type="dxa"/>
          </w:tcPr>
          <w:p w:rsidR="0093431D" w:rsidRDefault="0093431D" w:rsidP="00BA1F65">
            <w:pPr>
              <w:jc w:val="center"/>
              <w:rPr>
                <w:sz w:val="20"/>
              </w:rPr>
            </w:pPr>
            <w:r>
              <w:rPr>
                <w:sz w:val="20"/>
              </w:rPr>
              <w:t>1</w:t>
            </w:r>
          </w:p>
        </w:tc>
        <w:tc>
          <w:tcPr>
            <w:tcW w:w="1440" w:type="dxa"/>
          </w:tcPr>
          <w:p w:rsidR="0093431D" w:rsidRDefault="0093431D" w:rsidP="00BA1F65">
            <w:pPr>
              <w:jc w:val="center"/>
              <w:rPr>
                <w:sz w:val="20"/>
              </w:rPr>
            </w:pPr>
            <w:r>
              <w:rPr>
                <w:sz w:val="20"/>
              </w:rPr>
              <w:t>2,5</w:t>
            </w:r>
          </w:p>
        </w:tc>
        <w:tc>
          <w:tcPr>
            <w:tcW w:w="1080" w:type="dxa"/>
            <w:vAlign w:val="center"/>
          </w:tcPr>
          <w:p w:rsidR="0093431D" w:rsidRDefault="0093431D" w:rsidP="00BA1F65">
            <w:pPr>
              <w:jc w:val="center"/>
              <w:rPr>
                <w:sz w:val="20"/>
              </w:rPr>
            </w:pPr>
          </w:p>
          <w:p w:rsidR="0093431D" w:rsidRDefault="0093431D" w:rsidP="00BA1F65">
            <w:pPr>
              <w:jc w:val="center"/>
              <w:rPr>
                <w:sz w:val="20"/>
              </w:rPr>
            </w:pPr>
            <w:r>
              <w:rPr>
                <w:sz w:val="20"/>
              </w:rPr>
              <w:t>500</w:t>
            </w:r>
          </w:p>
          <w:p w:rsidR="0093431D" w:rsidRDefault="0093431D" w:rsidP="00BA1F65">
            <w:pPr>
              <w:jc w:val="center"/>
              <w:rPr>
                <w:sz w:val="20"/>
              </w:rPr>
            </w:pPr>
            <w:r>
              <w:rPr>
                <w:sz w:val="20"/>
              </w:rPr>
              <w:t>550</w:t>
            </w:r>
          </w:p>
        </w:tc>
      </w:tr>
      <w:tr w:rsidR="0093431D" w:rsidTr="00BA1F65">
        <w:tc>
          <w:tcPr>
            <w:tcW w:w="5881" w:type="dxa"/>
          </w:tcPr>
          <w:p w:rsidR="0093431D" w:rsidRDefault="0093431D" w:rsidP="00BA1F65">
            <w:pPr>
              <w:rPr>
                <w:sz w:val="20"/>
              </w:rPr>
            </w:pPr>
            <w:r>
              <w:rPr>
                <w:sz w:val="20"/>
              </w:rPr>
              <w:t>Alcol-energia per la produzione di biocombustibili (etanolo/ETBE)</w:t>
            </w:r>
          </w:p>
        </w:tc>
        <w:tc>
          <w:tcPr>
            <w:tcW w:w="1139" w:type="dxa"/>
            <w:vAlign w:val="center"/>
          </w:tcPr>
          <w:p w:rsidR="0093431D" w:rsidRDefault="0093431D" w:rsidP="00BA1F65">
            <w:pPr>
              <w:jc w:val="center"/>
              <w:rPr>
                <w:sz w:val="20"/>
              </w:rPr>
            </w:pPr>
            <w:r>
              <w:rPr>
                <w:sz w:val="20"/>
              </w:rPr>
              <w:t xml:space="preserve">- </w:t>
            </w:r>
            <w:r w:rsidRPr="00657B68">
              <w:rPr>
                <w:rStyle w:val="Rimandonotaapidipagina"/>
                <w:sz w:val="20"/>
                <w:vertAlign w:val="superscript"/>
              </w:rPr>
              <w:footnoteReference w:id="16"/>
            </w:r>
          </w:p>
        </w:tc>
        <w:tc>
          <w:tcPr>
            <w:tcW w:w="1440" w:type="dxa"/>
            <w:vAlign w:val="center"/>
          </w:tcPr>
          <w:p w:rsidR="0093431D" w:rsidRDefault="0093431D" w:rsidP="00BA1F65">
            <w:pPr>
              <w:jc w:val="center"/>
              <w:rPr>
                <w:sz w:val="20"/>
              </w:rPr>
            </w:pPr>
            <w:r>
              <w:rPr>
                <w:sz w:val="20"/>
              </w:rPr>
              <w:t>-</w:t>
            </w:r>
          </w:p>
        </w:tc>
        <w:tc>
          <w:tcPr>
            <w:tcW w:w="1080" w:type="dxa"/>
            <w:vAlign w:val="center"/>
          </w:tcPr>
          <w:p w:rsidR="0093431D" w:rsidRDefault="0093431D" w:rsidP="00BA1F65">
            <w:pPr>
              <w:jc w:val="center"/>
              <w:rPr>
                <w:sz w:val="20"/>
              </w:rPr>
            </w:pPr>
            <w:r>
              <w:rPr>
                <w:sz w:val="20"/>
              </w:rPr>
              <w:t>500 - 700</w:t>
            </w:r>
          </w:p>
        </w:tc>
      </w:tr>
    </w:tbl>
    <w:p w:rsidR="0093431D" w:rsidRDefault="0093431D" w:rsidP="0093431D">
      <w:pPr>
        <w:pStyle w:val="Fonte"/>
        <w:spacing w:before="240" w:after="360"/>
      </w:pPr>
      <w:r w:rsidRPr="008F6E98">
        <w:t xml:space="preserve">Fonte : </w:t>
      </w:r>
      <w:r w:rsidRPr="00657B68">
        <w:t>Linee-guida per  lo sviluppo delle filiere bio-energetiche</w:t>
      </w:r>
      <w:r>
        <w:t xml:space="preserve"> – Università politecnica delle Marche</w:t>
      </w:r>
    </w:p>
    <w:p w:rsidR="0093431D" w:rsidRDefault="0093431D" w:rsidP="0093431D">
      <w:pPr>
        <w:pStyle w:val="Corpodeltesto"/>
        <w:numPr>
          <w:ilvl w:val="0"/>
          <w:numId w:val="0"/>
        </w:numPr>
        <w:spacing w:after="120"/>
        <w:rPr>
          <w:szCs w:val="24"/>
        </w:rPr>
      </w:pPr>
      <w:r>
        <w:rPr>
          <w:szCs w:val="24"/>
        </w:rPr>
        <w:t xml:space="preserve">Le filiere basate sugli oli vegetali sono le meno efficienti per quanto riguarda la produzione di energia per unità di superficie. Tuttavia va considerato il fatto che solo 1/3 della produzione ottenuta viene indirizzato al settore energetico, mentre i restanti 2/3 conoscono destinazioni diverse, </w:t>
      </w:r>
      <w:r>
        <w:rPr>
          <w:szCs w:val="24"/>
        </w:rPr>
        <w:lastRenderedPageBreak/>
        <w:t>generalmente utilizzati per l’alimentazione zootecnica. Non è stato considerato il caso di un loro utilizzo a scopi energetici.</w:t>
      </w:r>
    </w:p>
    <w:p w:rsidR="0093431D" w:rsidRDefault="0093431D" w:rsidP="0093431D">
      <w:pPr>
        <w:pStyle w:val="Corpodeltesto"/>
        <w:numPr>
          <w:ilvl w:val="0"/>
          <w:numId w:val="0"/>
        </w:numPr>
        <w:spacing w:after="120"/>
        <w:rPr>
          <w:szCs w:val="24"/>
        </w:rPr>
      </w:pPr>
      <w:r>
        <w:rPr>
          <w:szCs w:val="24"/>
        </w:rPr>
        <w:t>Le stesse considerazioni valgono in materia di riduzione di emissioni di gas serra.</w:t>
      </w:r>
    </w:p>
    <w:p w:rsidR="0093431D" w:rsidRDefault="0093431D" w:rsidP="0093431D">
      <w:pPr>
        <w:pStyle w:val="Corpodeltesto"/>
        <w:numPr>
          <w:ilvl w:val="0"/>
          <w:numId w:val="0"/>
        </w:numPr>
        <w:spacing w:after="120"/>
        <w:rPr>
          <w:szCs w:val="24"/>
        </w:rPr>
      </w:pPr>
      <w:r>
        <w:rPr>
          <w:szCs w:val="24"/>
        </w:rPr>
        <w:t>In ogni caso, la diffusione di sistemi di produzione di energia da fonte rinnovabile, andrebbe sostenuta tenendo sempre in considerazione il bilancio del carbonio del ciclo produttivo, nell’ottica della più efficace riduzione dell’emissione di anidride carbonica ai fini del rispetto del protocollo di Kyoto.</w:t>
      </w:r>
    </w:p>
    <w:p w:rsidR="0093431D" w:rsidRDefault="0093431D" w:rsidP="0093431D">
      <w:pPr>
        <w:pStyle w:val="Corpodeltesto"/>
        <w:numPr>
          <w:ilvl w:val="0"/>
          <w:numId w:val="0"/>
        </w:numPr>
        <w:spacing w:after="120"/>
        <w:rPr>
          <w:szCs w:val="24"/>
        </w:rPr>
      </w:pPr>
      <w:r>
        <w:rPr>
          <w:szCs w:val="24"/>
        </w:rPr>
        <w:t>Sarebbe pertanto da privilegiare l’utilizzo di materiale per la cui produzione, trasporto e trasformazione sia minimo il consumo di energia fossile, in particolare si stabiliscono le seguenti indicazioni di massima: a) la scelta delle filiere da sostenere prioritariamente, va fatta tenendo conto dei costi energetici necessari per la produzione primaria, favorendo le colture che richiedono minime lavorazioni ed assenza di trattamenti con prodotti chimici; b) debbono preferirsi biomasse a minore costo energetico di trasformazione come ad esempio il cippato rispetto al pellettato; c) il materiale non dovrebbe provenire, come risulta da vari studi di settore, da non più di 20-</w:t>
      </w:r>
      <w:smartTag w:uri="urn:schemas-microsoft-com:office:smarttags" w:element="metricconverter">
        <w:smartTagPr>
          <w:attr w:name="ProductID" w:val="30 km"/>
        </w:smartTagPr>
        <w:r>
          <w:rPr>
            <w:szCs w:val="24"/>
          </w:rPr>
          <w:t>30 km</w:t>
        </w:r>
      </w:smartTag>
      <w:r>
        <w:rPr>
          <w:szCs w:val="24"/>
        </w:rPr>
        <w:t xml:space="preserve"> dall’impianto di utilizzo.</w:t>
      </w:r>
    </w:p>
    <w:p w:rsidR="002A79DA" w:rsidRDefault="002A79DA"/>
    <w:sectPr w:rsidR="002A79DA" w:rsidSect="002A79DA">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C44E6" w:rsidRDefault="00BC44E6" w:rsidP="0093431D">
      <w:r>
        <w:separator/>
      </w:r>
    </w:p>
  </w:endnote>
  <w:endnote w:type="continuationSeparator" w:id="1">
    <w:p w:rsidR="00BC44E6" w:rsidRDefault="00BC44E6" w:rsidP="0093431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Verdana">
    <w:panose1 w:val="020B0604030504040204"/>
    <w:charset w:val="00"/>
    <w:family w:val="swiss"/>
    <w:pitch w:val="variable"/>
    <w:sig w:usb0="20000287" w:usb1="00000000" w:usb2="00000000" w:usb3="00000000" w:csb0="0000019F" w:csb1="00000000"/>
  </w:font>
  <w:font w:name="Tahoma">
    <w:panose1 w:val="020B0604030504040204"/>
    <w:charset w:val="00"/>
    <w:family w:val="swiss"/>
    <w:pitch w:val="variable"/>
    <w:sig w:usb0="61002A87" w:usb1="80000000" w:usb2="00000008" w:usb3="00000000" w:csb0="000101FF" w:csb1="00000000"/>
  </w:font>
  <w:font w:name="Palatino Linotype">
    <w:panose1 w:val="02040502050505030304"/>
    <w:charset w:val="00"/>
    <w:family w:val="roman"/>
    <w:pitch w:val="variable"/>
    <w:sig w:usb0="E0000387" w:usb1="40000013"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C44E6" w:rsidRDefault="00BC44E6" w:rsidP="0093431D">
      <w:r>
        <w:separator/>
      </w:r>
    </w:p>
  </w:footnote>
  <w:footnote w:type="continuationSeparator" w:id="1">
    <w:p w:rsidR="00BC44E6" w:rsidRDefault="00BC44E6" w:rsidP="0093431D">
      <w:r>
        <w:continuationSeparator/>
      </w:r>
    </w:p>
  </w:footnote>
  <w:footnote w:id="2">
    <w:p w:rsidR="0093431D" w:rsidRPr="00732E64" w:rsidRDefault="0093431D" w:rsidP="0093431D">
      <w:pPr>
        <w:pStyle w:val="Testonotaapidipagina"/>
      </w:pPr>
      <w:r>
        <w:rPr>
          <w:rStyle w:val="Rimandonotaapidipagina"/>
        </w:rPr>
        <w:footnoteRef/>
      </w:r>
      <w:r w:rsidRPr="006E53F8">
        <w:rPr>
          <w:lang w:val="en-GB"/>
        </w:rPr>
        <w:t xml:space="preserve"> Da “NVZ Designations in Italy</w:t>
      </w:r>
      <w:r>
        <w:rPr>
          <w:lang w:val="en-GB"/>
        </w:rPr>
        <w:t>-</w:t>
      </w:r>
      <w:r w:rsidRPr="006E53F8">
        <w:rPr>
          <w:lang w:val="en-GB"/>
        </w:rPr>
        <w:t xml:space="preserve"> Summary Recommendations, Final Report</w:t>
      </w:r>
      <w:r>
        <w:rPr>
          <w:lang w:val="en-GB"/>
        </w:rPr>
        <w:t xml:space="preserve"> to Ec DG Environment</w:t>
      </w:r>
      <w:r w:rsidRPr="006E53F8">
        <w:rPr>
          <w:lang w:val="en-GB"/>
        </w:rPr>
        <w:t>”</w:t>
      </w:r>
      <w:r>
        <w:rPr>
          <w:lang w:val="en-GB"/>
        </w:rPr>
        <w:t xml:space="preserve"> ADS Consulting Ltd., </w:t>
      </w:r>
      <w:smartTag w:uri="urn:schemas-microsoft-com:office:smarttags" w:element="country-region">
        <w:smartTag w:uri="urn:schemas-microsoft-com:office:smarttags" w:element="place">
          <w:r>
            <w:rPr>
              <w:lang w:val="en-GB"/>
            </w:rPr>
            <w:t>UK</w:t>
          </w:r>
        </w:smartTag>
      </w:smartTag>
      <w:r>
        <w:rPr>
          <w:lang w:val="en-GB"/>
        </w:rPr>
        <w:t xml:space="preserve">. </w:t>
      </w:r>
      <w:r w:rsidRPr="00732E64">
        <w:t>NIVA, Norway. October 2004.</w:t>
      </w:r>
    </w:p>
  </w:footnote>
  <w:footnote w:id="3">
    <w:p w:rsidR="0093431D" w:rsidRDefault="0093431D" w:rsidP="0093431D">
      <w:pPr>
        <w:pStyle w:val="Testonotaapidipagina"/>
      </w:pPr>
      <w:r>
        <w:rPr>
          <w:rStyle w:val="Rimandonotaapidipagina"/>
        </w:rPr>
        <w:footnoteRef/>
      </w:r>
      <w:r>
        <w:t xml:space="preserve"> “Il sistema agricolo e alimentare nelle Marche- Rapporto </w:t>
      </w:r>
      <w:smartTag w:uri="urn:schemas-microsoft-com:office:smarttags" w:element="metricconverter">
        <w:smartTagPr>
          <w:attr w:name="ProductID" w:val="2005”"/>
        </w:smartTagPr>
        <w:r>
          <w:t>2005”</w:t>
        </w:r>
      </w:smartTag>
      <w:r>
        <w:t>, Osservatorio Agroalimentare Marche, INEA, Regione Marche.</w:t>
      </w:r>
    </w:p>
  </w:footnote>
  <w:footnote w:id="4">
    <w:p w:rsidR="0093431D" w:rsidRPr="00315BEC" w:rsidRDefault="0093431D" w:rsidP="0093431D">
      <w:pPr>
        <w:pStyle w:val="Testonotaapidipagina"/>
        <w:rPr>
          <w:lang w:val="en-US"/>
        </w:rPr>
      </w:pPr>
      <w:r w:rsidRPr="00F416C9">
        <w:rPr>
          <w:rStyle w:val="Rimandonotaapidipagina"/>
        </w:rPr>
        <w:footnoteRef/>
      </w:r>
      <w:r w:rsidRPr="00315BEC">
        <w:rPr>
          <w:lang w:val="en-US"/>
        </w:rPr>
        <w:t xml:space="preserve"> EEA- European Environment  Agency, </w:t>
      </w:r>
      <w:r w:rsidRPr="00315BEC">
        <w:rPr>
          <w:i/>
          <w:lang w:val="en-US"/>
        </w:rPr>
        <w:t xml:space="preserve">Impacts of </w:t>
      </w:r>
      <w:smartTag w:uri="urn:schemas-microsoft-com:office:smarttags" w:element="place">
        <w:r w:rsidRPr="00315BEC">
          <w:rPr>
            <w:i/>
            <w:lang w:val="en-US"/>
          </w:rPr>
          <w:t>Europe</w:t>
        </w:r>
      </w:smartTag>
      <w:r w:rsidRPr="00315BEC">
        <w:rPr>
          <w:i/>
          <w:lang w:val="en-US"/>
        </w:rPr>
        <w:t>’s changing climate</w:t>
      </w:r>
      <w:r w:rsidRPr="00315BEC">
        <w:rPr>
          <w:lang w:val="en-US"/>
        </w:rPr>
        <w:t>, EEA Briefing, n. 03-2008.</w:t>
      </w:r>
    </w:p>
  </w:footnote>
  <w:footnote w:id="5">
    <w:p w:rsidR="0093431D" w:rsidRPr="00315BEC" w:rsidRDefault="0093431D" w:rsidP="0093431D">
      <w:pPr>
        <w:pStyle w:val="Testonotaapidipagina"/>
        <w:rPr>
          <w:lang w:val="en-US"/>
        </w:rPr>
      </w:pPr>
      <w:r w:rsidRPr="00F416C9">
        <w:rPr>
          <w:rStyle w:val="Rimandonotaapidipagina"/>
        </w:rPr>
        <w:footnoteRef/>
      </w:r>
      <w:r w:rsidRPr="00F416C9">
        <w:rPr>
          <w:lang w:val="en-GB"/>
        </w:rPr>
        <w:t xml:space="preserve"> </w:t>
      </w:r>
      <w:r w:rsidRPr="00315BEC">
        <w:rPr>
          <w:lang w:val="en-US"/>
        </w:rPr>
        <w:t xml:space="preserve">EEA- European Environment  Agency, </w:t>
      </w:r>
      <w:r w:rsidRPr="00315BEC">
        <w:rPr>
          <w:i/>
          <w:lang w:val="en-US"/>
        </w:rPr>
        <w:t xml:space="preserve">Impacts of </w:t>
      </w:r>
      <w:smartTag w:uri="urn:schemas-microsoft-com:office:smarttags" w:element="place">
        <w:r w:rsidRPr="00315BEC">
          <w:rPr>
            <w:i/>
            <w:lang w:val="en-US"/>
          </w:rPr>
          <w:t>Europe</w:t>
        </w:r>
      </w:smartTag>
      <w:r w:rsidRPr="00315BEC">
        <w:rPr>
          <w:i/>
          <w:lang w:val="en-US"/>
        </w:rPr>
        <w:t>’s changing climate</w:t>
      </w:r>
      <w:r w:rsidRPr="00315BEC">
        <w:rPr>
          <w:lang w:val="en-US"/>
        </w:rPr>
        <w:t>, EEA Briefing, n. 03-2008; la fonte citata è l’</w:t>
      </w:r>
      <w:r w:rsidRPr="00315BEC">
        <w:rPr>
          <w:i/>
          <w:lang w:val="en-US"/>
        </w:rPr>
        <w:t>Intergovernmental Panel on Climate Change</w:t>
      </w:r>
      <w:r w:rsidRPr="00315BEC">
        <w:rPr>
          <w:lang w:val="en-US"/>
        </w:rPr>
        <w:t>.</w:t>
      </w:r>
    </w:p>
  </w:footnote>
  <w:footnote w:id="6">
    <w:p w:rsidR="0093431D" w:rsidRPr="00315BEC" w:rsidRDefault="0093431D" w:rsidP="0093431D">
      <w:pPr>
        <w:pStyle w:val="Testonotaapidipagina"/>
        <w:rPr>
          <w:lang w:val="en-US"/>
        </w:rPr>
      </w:pPr>
      <w:r w:rsidRPr="00F416C9">
        <w:rPr>
          <w:rStyle w:val="Rimandonotaapidipagina"/>
        </w:rPr>
        <w:footnoteRef/>
      </w:r>
      <w:r w:rsidRPr="00315BEC">
        <w:rPr>
          <w:lang w:val="en-US"/>
        </w:rPr>
        <w:t xml:space="preserve"> EEA- European Environment  Agency, </w:t>
      </w:r>
      <w:r w:rsidRPr="00315BEC">
        <w:rPr>
          <w:i/>
          <w:lang w:val="en-US"/>
        </w:rPr>
        <w:t xml:space="preserve">Impacts of </w:t>
      </w:r>
      <w:smartTag w:uri="urn:schemas-microsoft-com:office:smarttags" w:element="place">
        <w:r w:rsidRPr="00315BEC">
          <w:rPr>
            <w:i/>
            <w:lang w:val="en-US"/>
          </w:rPr>
          <w:t>Europe</w:t>
        </w:r>
      </w:smartTag>
      <w:r w:rsidRPr="00315BEC">
        <w:rPr>
          <w:i/>
          <w:lang w:val="en-US"/>
        </w:rPr>
        <w:t>’s changing climate</w:t>
      </w:r>
      <w:r w:rsidRPr="00315BEC">
        <w:rPr>
          <w:lang w:val="en-US"/>
        </w:rPr>
        <w:t>, EEA Briefing, n. 03-2008.</w:t>
      </w:r>
    </w:p>
  </w:footnote>
  <w:footnote w:id="7">
    <w:p w:rsidR="0093431D" w:rsidRPr="00EA58C2" w:rsidRDefault="0093431D" w:rsidP="0093431D">
      <w:pPr>
        <w:pStyle w:val="Testonotaapidipagina"/>
      </w:pPr>
      <w:r w:rsidRPr="00F416C9">
        <w:rPr>
          <w:rStyle w:val="Rimandonotaapidipagina"/>
        </w:rPr>
        <w:footnoteRef/>
      </w:r>
      <w:r w:rsidRPr="00EA58C2">
        <w:t xml:space="preserve"> Rete Rurale Nazionale 2007-2013 – Italia, Contributo tematico per l’aggiornamento del Piano Strategico Nazionale relativamente alla nuova sfida Cambiamenti climatici, aprile 2009.</w:t>
      </w:r>
    </w:p>
  </w:footnote>
  <w:footnote w:id="8">
    <w:p w:rsidR="0093431D" w:rsidRPr="00A559C9" w:rsidRDefault="0093431D" w:rsidP="0093431D">
      <w:pPr>
        <w:pStyle w:val="Testonotaapidipagina"/>
      </w:pPr>
      <w:r w:rsidRPr="00F416C9">
        <w:rPr>
          <w:rStyle w:val="Rimandonotaapidipagina"/>
        </w:rPr>
        <w:footnoteRef/>
      </w:r>
      <w:r w:rsidRPr="00A559C9">
        <w:t xml:space="preserve"> COM(2009)147 final.</w:t>
      </w:r>
    </w:p>
  </w:footnote>
  <w:footnote w:id="9">
    <w:p w:rsidR="0093431D" w:rsidRDefault="0093431D" w:rsidP="0093431D">
      <w:pPr>
        <w:pStyle w:val="Testonotaapidipagina"/>
      </w:pPr>
      <w:r>
        <w:rPr>
          <w:rStyle w:val="Rimandonotaapidipagina"/>
        </w:rPr>
        <w:footnoteRef/>
      </w:r>
      <w:r>
        <w:t xml:space="preserve"> A cura di INEA per l’Osservatorio Agroalimentaredelle Marche.</w:t>
      </w:r>
    </w:p>
  </w:footnote>
  <w:footnote w:id="10">
    <w:p w:rsidR="0093431D" w:rsidRDefault="0093431D" w:rsidP="0093431D">
      <w:pPr>
        <w:pStyle w:val="Testonotaapidipagina"/>
      </w:pPr>
      <w:r>
        <w:rPr>
          <w:rStyle w:val="Rimandonotaapidipagina"/>
        </w:rPr>
        <w:footnoteRef/>
      </w:r>
      <w:r>
        <w:t xml:space="preserve"> Fonte: Mipaaf - ISMEA</w:t>
      </w:r>
    </w:p>
  </w:footnote>
  <w:footnote w:id="11">
    <w:p w:rsidR="0093431D" w:rsidRDefault="0093431D" w:rsidP="0093431D">
      <w:pPr>
        <w:pStyle w:val="Testonotaapidipagina"/>
      </w:pPr>
      <w:r>
        <w:rPr>
          <w:rStyle w:val="Rimandonotaapidipagina"/>
        </w:rPr>
        <w:footnoteRef/>
      </w:r>
      <w:r>
        <w:t xml:space="preserve"> Dlibera CIPE n.123 del 19/12/2002.</w:t>
      </w:r>
    </w:p>
  </w:footnote>
  <w:footnote w:id="12">
    <w:p w:rsidR="0093431D" w:rsidRDefault="0093431D" w:rsidP="0093431D">
      <w:pPr>
        <w:pStyle w:val="Testonotaapidipagina"/>
      </w:pPr>
      <w:r>
        <w:rPr>
          <w:rStyle w:val="Rimandonotaapidipagina"/>
        </w:rPr>
        <w:footnoteRef/>
      </w:r>
      <w:r>
        <w:t xml:space="preserve"> </w:t>
      </w:r>
      <w:r w:rsidRPr="00634052">
        <w:rPr>
          <w:szCs w:val="16"/>
        </w:rPr>
        <w:t>DM 19/02/2007</w:t>
      </w:r>
    </w:p>
  </w:footnote>
  <w:footnote w:id="13">
    <w:p w:rsidR="0093431D" w:rsidRDefault="0093431D" w:rsidP="0093431D">
      <w:pPr>
        <w:pStyle w:val="Testonotaapidipagina"/>
      </w:pPr>
      <w:r>
        <w:rPr>
          <w:rStyle w:val="Rimandonotaapidipagina"/>
        </w:rPr>
        <w:footnoteRef/>
      </w:r>
      <w:r>
        <w:t>Tra cui il  Programma Interregionale “Individuazione e trasferimento delle innovazioni in agricoltura 2001-</w:t>
      </w:r>
      <w:smartTag w:uri="urn:schemas-microsoft-com:office:smarttags" w:element="metricconverter">
        <w:smartTagPr>
          <w:attr w:name="ProductID" w:val="2002”"/>
        </w:smartTagPr>
        <w:r>
          <w:t>2002”</w:t>
        </w:r>
      </w:smartTag>
      <w:r>
        <w:t>, e il Programma Nazionale Biocombustiibili PROBIO, progetto interregionale “Filere biocombustibili dal girasole 2003-</w:t>
      </w:r>
      <w:smartTag w:uri="urn:schemas-microsoft-com:office:smarttags" w:element="metricconverter">
        <w:smartTagPr>
          <w:attr w:name="ProductID" w:val="2006”"/>
        </w:smartTagPr>
        <w:r>
          <w:t>2006”</w:t>
        </w:r>
      </w:smartTag>
    </w:p>
  </w:footnote>
  <w:footnote w:id="14">
    <w:p w:rsidR="0093431D" w:rsidRDefault="0093431D" w:rsidP="0093431D">
      <w:pPr>
        <w:pStyle w:val="Testonotaapidipagina"/>
      </w:pPr>
      <w:r>
        <w:rPr>
          <w:rStyle w:val="Rimandonotaapidipagina"/>
        </w:rPr>
        <w:footnoteRef/>
      </w:r>
      <w:r>
        <w:t xml:space="preserve"> Il primo valore corrisponde al recupero di ramaglie; il secondo a colture dedicate.</w:t>
      </w:r>
    </w:p>
  </w:footnote>
  <w:footnote w:id="15">
    <w:p w:rsidR="0093431D" w:rsidRDefault="0093431D" w:rsidP="0093431D">
      <w:pPr>
        <w:pStyle w:val="Testonotaapidipagina"/>
      </w:pPr>
      <w:r>
        <w:rPr>
          <w:rStyle w:val="Rimandonotaapidipagina"/>
        </w:rPr>
        <w:footnoteRef/>
      </w:r>
      <w:r>
        <w:t xml:space="preserve"> Nell'ipotesi di utilizzare coltivazioni dedicate.</w:t>
      </w:r>
    </w:p>
  </w:footnote>
  <w:footnote w:id="16">
    <w:p w:rsidR="0093431D" w:rsidRDefault="0093431D" w:rsidP="0093431D">
      <w:pPr>
        <w:pStyle w:val="Testonotaapidipagina"/>
      </w:pPr>
      <w:r>
        <w:rPr>
          <w:rStyle w:val="Rimandonotaapidipagina"/>
        </w:rPr>
        <w:footnoteRef/>
      </w:r>
      <w:r>
        <w:t xml:space="preserve"> Il potenziale non viene valutato perché in stretta relazione con le tecnologie di trasformazione.</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431D" w:rsidRDefault="0093431D">
    <w:pPr>
      <w:pStyle w:val="headerlandscape"/>
      <w:tabs>
        <w:tab w:val="right" w:pos="7797"/>
        <w:tab w:val="left" w:pos="8789"/>
      </w:tabs>
    </w:pPr>
    <w:r>
      <w:t>Analisi di contesto</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648FB"/>
    <w:multiLevelType w:val="hybridMultilevel"/>
    <w:tmpl w:val="184A5512"/>
    <w:lvl w:ilvl="0" w:tplc="0638CB90">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
    <w:nsid w:val="059251B6"/>
    <w:multiLevelType w:val="multilevel"/>
    <w:tmpl w:val="924851EE"/>
    <w:lvl w:ilvl="0">
      <w:start w:val="1"/>
      <w:numFmt w:val="decimal"/>
      <w:pStyle w:val="Titolo1"/>
      <w:lvlText w:val="%1."/>
      <w:lvlJc w:val="left"/>
      <w:pPr>
        <w:tabs>
          <w:tab w:val="num" w:pos="432"/>
        </w:tabs>
        <w:ind w:left="432" w:hanging="432"/>
      </w:pPr>
      <w:rPr>
        <w:rFonts w:hint="default"/>
      </w:rPr>
    </w:lvl>
    <w:lvl w:ilvl="1">
      <w:start w:val="1"/>
      <w:numFmt w:val="decimal"/>
      <w:pStyle w:val="Titolo2"/>
      <w:lvlText w:val="%1.%2"/>
      <w:lvlJc w:val="left"/>
      <w:pPr>
        <w:tabs>
          <w:tab w:val="num" w:pos="576"/>
        </w:tabs>
        <w:ind w:left="576" w:hanging="576"/>
      </w:pPr>
      <w:rPr>
        <w:rFonts w:hint="default"/>
      </w:rPr>
    </w:lvl>
    <w:lvl w:ilvl="2">
      <w:start w:val="1"/>
      <w:numFmt w:val="decimal"/>
      <w:pStyle w:val="Titolo3"/>
      <w:lvlText w:val="%1.%2.%3"/>
      <w:lvlJc w:val="left"/>
      <w:pPr>
        <w:tabs>
          <w:tab w:val="num" w:pos="720"/>
        </w:tabs>
        <w:ind w:left="720" w:hanging="720"/>
      </w:pPr>
      <w:rPr>
        <w:rFonts w:hint="default"/>
      </w:rPr>
    </w:lvl>
    <w:lvl w:ilvl="3">
      <w:start w:val="1"/>
      <w:numFmt w:val="decimal"/>
      <w:pStyle w:val="Titolo4"/>
      <w:lvlText w:val="%1.%2.%3.%4"/>
      <w:lvlJc w:val="left"/>
      <w:pPr>
        <w:tabs>
          <w:tab w:val="num" w:pos="1432"/>
        </w:tabs>
        <w:ind w:left="1432" w:hanging="864"/>
      </w:pPr>
      <w:rPr>
        <w:rFonts w:hint="default"/>
      </w:rPr>
    </w:lvl>
    <w:lvl w:ilvl="4">
      <w:start w:val="1"/>
      <w:numFmt w:val="decimal"/>
      <w:pStyle w:val="Titolo5"/>
      <w:lvlText w:val="%1.%2.%3.%4.%5"/>
      <w:lvlJc w:val="left"/>
      <w:pPr>
        <w:tabs>
          <w:tab w:val="num" w:pos="1008"/>
        </w:tabs>
        <w:ind w:left="1008" w:hanging="1008"/>
      </w:pPr>
      <w:rPr>
        <w:rFonts w:hint="default"/>
        <w:sz w:val="24"/>
        <w:szCs w:val="24"/>
      </w:rPr>
    </w:lvl>
    <w:lvl w:ilvl="5">
      <w:start w:val="1"/>
      <w:numFmt w:val="decimal"/>
      <w:pStyle w:val="Titolo6"/>
      <w:lvlText w:val="%1.%2.%3.%4.%5.%6"/>
      <w:lvlJc w:val="left"/>
      <w:pPr>
        <w:tabs>
          <w:tab w:val="num" w:pos="1152"/>
        </w:tabs>
        <w:ind w:left="1152" w:hanging="1152"/>
      </w:pPr>
      <w:rPr>
        <w:rFonts w:hint="default"/>
      </w:rPr>
    </w:lvl>
    <w:lvl w:ilvl="6">
      <w:start w:val="1"/>
      <w:numFmt w:val="decimal"/>
      <w:pStyle w:val="Titolo7"/>
      <w:lvlText w:val="%1.%2.%3.%4.%5.%6.%7"/>
      <w:lvlJc w:val="left"/>
      <w:pPr>
        <w:tabs>
          <w:tab w:val="num" w:pos="1296"/>
        </w:tabs>
        <w:ind w:left="1296" w:hanging="1296"/>
      </w:pPr>
      <w:rPr>
        <w:rFonts w:hint="default"/>
      </w:rPr>
    </w:lvl>
    <w:lvl w:ilvl="7">
      <w:start w:val="1"/>
      <w:numFmt w:val="decimal"/>
      <w:pStyle w:val="Titolo8"/>
      <w:lvlText w:val="%1.%2.%3.%4.%5.%6.%7.%8"/>
      <w:lvlJc w:val="left"/>
      <w:pPr>
        <w:tabs>
          <w:tab w:val="num" w:pos="1440"/>
        </w:tabs>
        <w:ind w:left="1440" w:hanging="1440"/>
      </w:pPr>
      <w:rPr>
        <w:rFonts w:hint="default"/>
      </w:rPr>
    </w:lvl>
    <w:lvl w:ilvl="8">
      <w:start w:val="1"/>
      <w:numFmt w:val="decimal"/>
      <w:pStyle w:val="Titolo9"/>
      <w:lvlText w:val="%1.%2.%3.%4.%5.%6.%7.%8.%9"/>
      <w:lvlJc w:val="left"/>
      <w:pPr>
        <w:tabs>
          <w:tab w:val="num" w:pos="1584"/>
        </w:tabs>
        <w:ind w:left="1584" w:hanging="1584"/>
      </w:pPr>
      <w:rPr>
        <w:rFonts w:hint="default"/>
      </w:rPr>
    </w:lvl>
  </w:abstractNum>
  <w:abstractNum w:abstractNumId="2">
    <w:nsid w:val="15AE58A2"/>
    <w:multiLevelType w:val="hybridMultilevel"/>
    <w:tmpl w:val="EFFC3548"/>
    <w:lvl w:ilvl="0" w:tplc="38DA710C">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1">
      <w:start w:val="1"/>
      <w:numFmt w:val="bullet"/>
      <w:lvlText w:val=""/>
      <w:lvlJc w:val="left"/>
      <w:pPr>
        <w:tabs>
          <w:tab w:val="num" w:pos="1440"/>
        </w:tabs>
        <w:ind w:left="1440" w:hanging="360"/>
      </w:pPr>
      <w:rPr>
        <w:rFonts w:ascii="Symbol" w:hAnsi="Symbol"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nsid w:val="18D60712"/>
    <w:multiLevelType w:val="multilevel"/>
    <w:tmpl w:val="F76C918E"/>
    <w:lvl w:ilvl="0">
      <w:start w:val="1"/>
      <w:numFmt w:val="none"/>
      <w:lvlText w:val="%1"/>
      <w:lvlJc w:val="left"/>
      <w:pPr>
        <w:tabs>
          <w:tab w:val="num" w:pos="432"/>
        </w:tabs>
        <w:ind w:left="432" w:hanging="432"/>
      </w:pPr>
    </w:lvl>
    <w:lvl w:ilvl="1">
      <w:start w:val="1"/>
      <w:numFmt w:val="decimal"/>
      <w:lvlText w:val="%2"/>
      <w:lvlJc w:val="left"/>
      <w:pPr>
        <w:tabs>
          <w:tab w:val="num" w:pos="576"/>
        </w:tabs>
        <w:ind w:left="576" w:hanging="576"/>
      </w:pPr>
    </w:lvl>
    <w:lvl w:ilvl="2">
      <w:start w:val="1"/>
      <w:numFmt w:val="decimal"/>
      <w:pStyle w:val="elencoalfabetico"/>
      <w:lvlText w:val="%1%2.%3"/>
      <w:lvlJc w:val="left"/>
      <w:pPr>
        <w:tabs>
          <w:tab w:val="num" w:pos="720"/>
        </w:tabs>
        <w:ind w:left="720" w:hanging="720"/>
      </w:pPr>
    </w:lvl>
    <w:lvl w:ilvl="3">
      <w:start w:val="1"/>
      <w:numFmt w:val="decimal"/>
      <w:lvlText w:val="%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
    <w:nsid w:val="1D644EC1"/>
    <w:multiLevelType w:val="multilevel"/>
    <w:tmpl w:val="7E003844"/>
    <w:lvl w:ilvl="0">
      <w:start w:val="1"/>
      <w:numFmt w:val="bullet"/>
      <w:pStyle w:val="Testofumetto"/>
      <w:lvlText w:val="&gt;"/>
      <w:lvlJc w:val="left"/>
      <w:pPr>
        <w:tabs>
          <w:tab w:val="num" w:pos="360"/>
        </w:tabs>
        <w:ind w:left="360" w:hanging="360"/>
      </w:pPr>
      <w:rPr>
        <w:rFonts w:ascii="Arial Black" w:hAnsi="Arial Black"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5">
    <w:nsid w:val="2A38621B"/>
    <w:multiLevelType w:val="singleLevel"/>
    <w:tmpl w:val="04100001"/>
    <w:lvl w:ilvl="0">
      <w:start w:val="1"/>
      <w:numFmt w:val="bullet"/>
      <w:lvlText w:val=""/>
      <w:lvlJc w:val="left"/>
      <w:pPr>
        <w:tabs>
          <w:tab w:val="num" w:pos="720"/>
        </w:tabs>
        <w:ind w:left="720" w:hanging="360"/>
      </w:pPr>
      <w:rPr>
        <w:rFonts w:ascii="Symbol" w:hAnsi="Symbol" w:hint="default"/>
      </w:rPr>
    </w:lvl>
  </w:abstractNum>
  <w:abstractNum w:abstractNumId="6">
    <w:nsid w:val="432E06B6"/>
    <w:multiLevelType w:val="hybridMultilevel"/>
    <w:tmpl w:val="4832389A"/>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7">
    <w:nsid w:val="4A305D0C"/>
    <w:multiLevelType w:val="hybridMultilevel"/>
    <w:tmpl w:val="861E91CE"/>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530C3E4E"/>
    <w:multiLevelType w:val="hybridMultilevel"/>
    <w:tmpl w:val="F45E57B8"/>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9">
    <w:nsid w:val="590142B1"/>
    <w:multiLevelType w:val="singleLevel"/>
    <w:tmpl w:val="B1FEEF6C"/>
    <w:lvl w:ilvl="0">
      <w:start w:val="1"/>
      <w:numFmt w:val="lowerLetter"/>
      <w:pStyle w:val="Nota"/>
      <w:lvlText w:val="%1)"/>
      <w:lvlJc w:val="left"/>
      <w:pPr>
        <w:tabs>
          <w:tab w:val="num" w:pos="360"/>
        </w:tabs>
        <w:ind w:left="360" w:hanging="360"/>
      </w:pPr>
    </w:lvl>
  </w:abstractNum>
  <w:abstractNum w:abstractNumId="10">
    <w:nsid w:val="639D3D61"/>
    <w:multiLevelType w:val="hybridMultilevel"/>
    <w:tmpl w:val="E27EA6AC"/>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
    <w:nsid w:val="73AA07C0"/>
    <w:multiLevelType w:val="hybridMultilevel"/>
    <w:tmpl w:val="E9E6A85E"/>
    <w:lvl w:ilvl="0" w:tplc="5630C362">
      <w:start w:val="1"/>
      <w:numFmt w:val="decimal"/>
      <w:lvlText w:val="%1."/>
      <w:lvlJc w:val="left"/>
      <w:pPr>
        <w:tabs>
          <w:tab w:val="num" w:pos="720"/>
        </w:tabs>
        <w:ind w:left="720" w:hanging="360"/>
      </w:pPr>
      <w:rPr>
        <w:rFonts w:hint="default"/>
      </w:rPr>
    </w:lvl>
    <w:lvl w:ilvl="1" w:tplc="514890DE">
      <w:start w:val="1"/>
      <w:numFmt w:val="bullet"/>
      <w:lvlText w:val="-"/>
      <w:lvlJc w:val="left"/>
      <w:pPr>
        <w:tabs>
          <w:tab w:val="num" w:pos="1785"/>
        </w:tabs>
        <w:ind w:left="1785" w:hanging="705"/>
      </w:pPr>
      <w:rPr>
        <w:rFonts w:ascii="Times New Roman" w:eastAsia="Times New Roman" w:hAnsi="Times New Roman" w:cs="Times New Roman" w:hint="default"/>
        <w:b/>
      </w:rPr>
    </w:lvl>
    <w:lvl w:ilvl="2" w:tplc="0410000F">
      <w:start w:val="1"/>
      <w:numFmt w:val="decimal"/>
      <w:lvlText w:val="%3."/>
      <w:lvlJc w:val="left"/>
      <w:pPr>
        <w:tabs>
          <w:tab w:val="num" w:pos="2340"/>
        </w:tabs>
        <w:ind w:left="2340" w:hanging="360"/>
      </w:pPr>
      <w:rPr>
        <w:rFonts w:hint="default"/>
      </w:r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2">
    <w:nsid w:val="7BE2518A"/>
    <w:multiLevelType w:val="hybridMultilevel"/>
    <w:tmpl w:val="AA064274"/>
    <w:lvl w:ilvl="0" w:tplc="38DA710C">
      <w:start w:val="1"/>
      <w:numFmt w:val="bullet"/>
      <w:lvlText w:val="-"/>
      <w:lvlJc w:val="left"/>
      <w:pPr>
        <w:tabs>
          <w:tab w:val="num" w:pos="360"/>
        </w:tabs>
        <w:ind w:left="360" w:hanging="360"/>
      </w:pPr>
      <w:rPr>
        <w:rFonts w:ascii="Times New Roman" w:eastAsia="Times New Roman" w:hAnsi="Times New Roman" w:cs="Times New Roman"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num w:numId="1">
    <w:abstractNumId w:val="1"/>
  </w:num>
  <w:num w:numId="2">
    <w:abstractNumId w:val="5"/>
  </w:num>
  <w:num w:numId="3">
    <w:abstractNumId w:val="0"/>
  </w:num>
  <w:num w:numId="4">
    <w:abstractNumId w:val="7"/>
  </w:num>
  <w:num w:numId="5">
    <w:abstractNumId w:val="10"/>
  </w:num>
  <w:num w:numId="6">
    <w:abstractNumId w:val="6"/>
  </w:num>
  <w:num w:numId="7">
    <w:abstractNumId w:val="3"/>
  </w:num>
  <w:num w:numId="8">
    <w:abstractNumId w:val="9"/>
  </w:num>
  <w:num w:numId="9">
    <w:abstractNumId w:val="4"/>
  </w:num>
  <w:num w:numId="10">
    <w:abstractNumId w:val="12"/>
  </w:num>
  <w:num w:numId="11">
    <w:abstractNumId w:val="2"/>
  </w:num>
  <w:num w:numId="12">
    <w:abstractNumId w:val="8"/>
  </w:num>
  <w:num w:numId="13">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283"/>
  <w:characterSpacingControl w:val="doNotCompress"/>
  <w:footnotePr>
    <w:footnote w:id="0"/>
    <w:footnote w:id="1"/>
  </w:footnotePr>
  <w:endnotePr>
    <w:endnote w:id="0"/>
    <w:endnote w:id="1"/>
  </w:endnotePr>
  <w:compat/>
  <w:rsids>
    <w:rsidRoot w:val="0093431D"/>
    <w:rsid w:val="002A79DA"/>
    <w:rsid w:val="0093431D"/>
    <w:rsid w:val="00BC44E6"/>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ountry-region"/>
  <w:smartTagType w:namespaceuri="urn:schemas-microsoft-com:office:smarttags" w:name="place"/>
  <w:smartTagType w:namespaceuri="urn:schemas-microsoft-com:office:smarttags" w:name="metricconverter"/>
  <w:smartTagType w:namespaceuri="urn:schemas-microsoft-com:office:smarttags" w:name="PersonName"/>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93431D"/>
    <w:pPr>
      <w:spacing w:after="0" w:line="240" w:lineRule="auto"/>
    </w:pPr>
    <w:rPr>
      <w:rFonts w:ascii="Times New Roman" w:eastAsia="Times New Roman" w:hAnsi="Times New Roman" w:cs="Times New Roman"/>
      <w:sz w:val="24"/>
      <w:szCs w:val="20"/>
      <w:lang w:eastAsia="it-IT"/>
    </w:rPr>
  </w:style>
  <w:style w:type="paragraph" w:styleId="Titolo1">
    <w:name w:val="heading 1"/>
    <w:aliases w:val="heading 1"/>
    <w:basedOn w:val="Normale"/>
    <w:next w:val="Normale"/>
    <w:link w:val="Titolo1Carattere"/>
    <w:qFormat/>
    <w:rsid w:val="0093431D"/>
    <w:pPr>
      <w:keepNext/>
      <w:numPr>
        <w:numId w:val="1"/>
      </w:numPr>
      <w:spacing w:before="240" w:after="120"/>
      <w:outlineLvl w:val="0"/>
    </w:pPr>
    <w:rPr>
      <w:b/>
      <w:kern w:val="28"/>
      <w:sz w:val="32"/>
    </w:rPr>
  </w:style>
  <w:style w:type="paragraph" w:styleId="Titolo2">
    <w:name w:val="heading 2"/>
    <w:aliases w:val="heading 2"/>
    <w:basedOn w:val="Normale"/>
    <w:next w:val="Normale"/>
    <w:link w:val="Titolo2Carattere"/>
    <w:qFormat/>
    <w:rsid w:val="0093431D"/>
    <w:pPr>
      <w:keepNext/>
      <w:numPr>
        <w:ilvl w:val="1"/>
        <w:numId w:val="1"/>
      </w:numPr>
      <w:spacing w:before="240" w:after="120"/>
      <w:outlineLvl w:val="1"/>
    </w:pPr>
    <w:rPr>
      <w:b/>
      <w:i/>
    </w:rPr>
  </w:style>
  <w:style w:type="paragraph" w:styleId="Titolo3">
    <w:name w:val="heading 3"/>
    <w:aliases w:val="heading 3,sottoparagrafo,sottoparagrafo1,sottoparagrafo2,sottoparagrafo3,sottoparagrafo11,sottoparagrafo21,sottoparagrafo4,sottoparagrafo12,sottoparagrafo22,sottoparagrafo5,sottoparagrafo6,sottoparagrafo7,sottoparagrafo8,sottoparagrafo9"/>
    <w:basedOn w:val="Normale"/>
    <w:next w:val="Normale"/>
    <w:link w:val="Titolo3Carattere"/>
    <w:qFormat/>
    <w:rsid w:val="0093431D"/>
    <w:pPr>
      <w:keepNext/>
      <w:numPr>
        <w:ilvl w:val="2"/>
        <w:numId w:val="1"/>
      </w:numPr>
      <w:spacing w:before="240" w:after="120" w:line="240" w:lineRule="atLeast"/>
      <w:jc w:val="both"/>
      <w:outlineLvl w:val="2"/>
    </w:pPr>
    <w:rPr>
      <w:b/>
    </w:rPr>
  </w:style>
  <w:style w:type="paragraph" w:styleId="Titolo4">
    <w:name w:val="heading 4"/>
    <w:aliases w:val="heading 4,Sottomisura,Sottomisura Carattere,heading 4 Carattere"/>
    <w:basedOn w:val="Normale"/>
    <w:next w:val="Normale"/>
    <w:link w:val="Titolo4Carattere1"/>
    <w:qFormat/>
    <w:rsid w:val="0093431D"/>
    <w:pPr>
      <w:keepNext/>
      <w:numPr>
        <w:ilvl w:val="3"/>
        <w:numId w:val="1"/>
      </w:numPr>
      <w:spacing w:before="240" w:after="120"/>
      <w:outlineLvl w:val="3"/>
    </w:pPr>
    <w:rPr>
      <w:i/>
    </w:rPr>
  </w:style>
  <w:style w:type="paragraph" w:styleId="Titolo5">
    <w:name w:val="heading 5"/>
    <w:aliases w:val=" N.A.,N.A."/>
    <w:basedOn w:val="Normale"/>
    <w:next w:val="Normale"/>
    <w:link w:val="Titolo5Carattere"/>
    <w:qFormat/>
    <w:rsid w:val="0093431D"/>
    <w:pPr>
      <w:keepNext/>
      <w:numPr>
        <w:ilvl w:val="4"/>
        <w:numId w:val="1"/>
      </w:numPr>
      <w:outlineLvl w:val="4"/>
    </w:pPr>
    <w:rPr>
      <w:b/>
      <w:sz w:val="52"/>
    </w:rPr>
  </w:style>
  <w:style w:type="paragraph" w:styleId="Titolo6">
    <w:name w:val="heading 6"/>
    <w:aliases w:val="N.A.5,N.A.51,Tabfig"/>
    <w:basedOn w:val="Normale"/>
    <w:next w:val="Normale"/>
    <w:link w:val="Titolo6Carattere"/>
    <w:qFormat/>
    <w:rsid w:val="0093431D"/>
    <w:pPr>
      <w:keepNext/>
      <w:numPr>
        <w:ilvl w:val="5"/>
        <w:numId w:val="1"/>
      </w:numPr>
      <w:jc w:val="both"/>
      <w:outlineLvl w:val="5"/>
    </w:pPr>
    <w:rPr>
      <w:b/>
      <w:sz w:val="28"/>
    </w:rPr>
  </w:style>
  <w:style w:type="paragraph" w:styleId="Titolo7">
    <w:name w:val="heading 7"/>
    <w:aliases w:val="N.A.4,N.A.41"/>
    <w:basedOn w:val="Normale"/>
    <w:next w:val="Normale"/>
    <w:link w:val="Titolo7Carattere"/>
    <w:qFormat/>
    <w:rsid w:val="0093431D"/>
    <w:pPr>
      <w:numPr>
        <w:ilvl w:val="6"/>
        <w:numId w:val="1"/>
      </w:numPr>
      <w:spacing w:before="240" w:after="60" w:line="360" w:lineRule="auto"/>
      <w:jc w:val="both"/>
      <w:outlineLvl w:val="6"/>
    </w:pPr>
    <w:rPr>
      <w:rFonts w:ascii="Arial" w:hAnsi="Arial"/>
      <w:sz w:val="20"/>
    </w:rPr>
  </w:style>
  <w:style w:type="paragraph" w:styleId="Titolo8">
    <w:name w:val="heading 8"/>
    <w:aliases w:val="N.A.3,N.A.31"/>
    <w:basedOn w:val="Normale"/>
    <w:next w:val="Normale"/>
    <w:link w:val="Titolo8Carattere"/>
    <w:qFormat/>
    <w:rsid w:val="0093431D"/>
    <w:pPr>
      <w:numPr>
        <w:ilvl w:val="7"/>
        <w:numId w:val="1"/>
      </w:numPr>
      <w:spacing w:before="240" w:after="60" w:line="360" w:lineRule="auto"/>
      <w:jc w:val="both"/>
      <w:outlineLvl w:val="7"/>
    </w:pPr>
    <w:rPr>
      <w:rFonts w:ascii="Arial" w:hAnsi="Arial"/>
      <w:i/>
      <w:sz w:val="20"/>
    </w:rPr>
  </w:style>
  <w:style w:type="paragraph" w:styleId="Titolo9">
    <w:name w:val="heading 9"/>
    <w:aliases w:val="N.A.2,N.A.1"/>
    <w:basedOn w:val="Normale"/>
    <w:next w:val="Normale"/>
    <w:link w:val="Titolo9Carattere"/>
    <w:qFormat/>
    <w:rsid w:val="0093431D"/>
    <w:pPr>
      <w:numPr>
        <w:ilvl w:val="8"/>
        <w:numId w:val="1"/>
      </w:numPr>
      <w:spacing w:before="240" w:after="60" w:line="360" w:lineRule="auto"/>
      <w:jc w:val="both"/>
      <w:outlineLvl w:val="8"/>
    </w:pPr>
    <w:rPr>
      <w:rFonts w:ascii="Arial" w:hAnsi="Arial"/>
      <w:b/>
      <w:i/>
      <w:sz w:val="1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heading 1 Carattere"/>
    <w:basedOn w:val="Carpredefinitoparagrafo"/>
    <w:link w:val="Titolo1"/>
    <w:rsid w:val="0093431D"/>
    <w:rPr>
      <w:rFonts w:ascii="Times New Roman" w:eastAsia="Times New Roman" w:hAnsi="Times New Roman" w:cs="Times New Roman"/>
      <w:b/>
      <w:kern w:val="28"/>
      <w:sz w:val="32"/>
      <w:szCs w:val="20"/>
      <w:lang w:eastAsia="it-IT"/>
    </w:rPr>
  </w:style>
  <w:style w:type="character" w:customStyle="1" w:styleId="Titolo2Carattere">
    <w:name w:val="Titolo 2 Carattere"/>
    <w:aliases w:val="heading 2 Carattere"/>
    <w:basedOn w:val="Carpredefinitoparagrafo"/>
    <w:link w:val="Titolo2"/>
    <w:rsid w:val="0093431D"/>
    <w:rPr>
      <w:rFonts w:ascii="Times New Roman" w:eastAsia="Times New Roman" w:hAnsi="Times New Roman" w:cs="Times New Roman"/>
      <w:b/>
      <w:i/>
      <w:sz w:val="24"/>
      <w:szCs w:val="20"/>
      <w:lang w:eastAsia="it-IT"/>
    </w:rPr>
  </w:style>
  <w:style w:type="character" w:customStyle="1" w:styleId="Titolo3Carattere">
    <w:name w:val="Titolo 3 Carattere"/>
    <w:aliases w:val="heading 3 Carattere,sottoparagrafo Carattere,sottoparagrafo1 Carattere,sottoparagrafo2 Carattere,sottoparagrafo3 Carattere,sottoparagrafo11 Carattere,sottoparagrafo21 Carattere,sottoparagrafo4 Carattere,sottoparagrafo12 Carattere"/>
    <w:basedOn w:val="Carpredefinitoparagrafo"/>
    <w:link w:val="Titolo3"/>
    <w:rsid w:val="0093431D"/>
    <w:rPr>
      <w:rFonts w:ascii="Times New Roman" w:eastAsia="Times New Roman" w:hAnsi="Times New Roman" w:cs="Times New Roman"/>
      <w:b/>
      <w:sz w:val="24"/>
      <w:szCs w:val="20"/>
      <w:lang w:eastAsia="it-IT"/>
    </w:rPr>
  </w:style>
  <w:style w:type="character" w:customStyle="1" w:styleId="Titolo4Carattere">
    <w:name w:val="Titolo 4 Carattere"/>
    <w:basedOn w:val="Carpredefinitoparagrafo"/>
    <w:link w:val="Titolo4"/>
    <w:uiPriority w:val="9"/>
    <w:semiHidden/>
    <w:rsid w:val="0093431D"/>
    <w:rPr>
      <w:rFonts w:asciiTheme="majorHAnsi" w:eastAsiaTheme="majorEastAsia" w:hAnsiTheme="majorHAnsi" w:cstheme="majorBidi"/>
      <w:b/>
      <w:bCs/>
      <w:i/>
      <w:iCs/>
      <w:color w:val="4F81BD" w:themeColor="accent1"/>
      <w:sz w:val="24"/>
      <w:szCs w:val="20"/>
      <w:lang w:eastAsia="it-IT"/>
    </w:rPr>
  </w:style>
  <w:style w:type="character" w:customStyle="1" w:styleId="Titolo5Carattere">
    <w:name w:val="Titolo 5 Carattere"/>
    <w:aliases w:val=" N.A. Carattere,N.A. Carattere"/>
    <w:basedOn w:val="Carpredefinitoparagrafo"/>
    <w:link w:val="Titolo5"/>
    <w:rsid w:val="0093431D"/>
    <w:rPr>
      <w:rFonts w:ascii="Times New Roman" w:eastAsia="Times New Roman" w:hAnsi="Times New Roman" w:cs="Times New Roman"/>
      <w:b/>
      <w:sz w:val="52"/>
      <w:szCs w:val="20"/>
      <w:lang w:eastAsia="it-IT"/>
    </w:rPr>
  </w:style>
  <w:style w:type="character" w:customStyle="1" w:styleId="Titolo6Carattere">
    <w:name w:val="Titolo 6 Carattere"/>
    <w:aliases w:val="N.A.5 Carattere,N.A.51 Carattere,Tabfig Carattere"/>
    <w:basedOn w:val="Carpredefinitoparagrafo"/>
    <w:link w:val="Titolo6"/>
    <w:rsid w:val="0093431D"/>
    <w:rPr>
      <w:rFonts w:ascii="Times New Roman" w:eastAsia="Times New Roman" w:hAnsi="Times New Roman" w:cs="Times New Roman"/>
      <w:b/>
      <w:sz w:val="28"/>
      <w:szCs w:val="20"/>
      <w:lang w:eastAsia="it-IT"/>
    </w:rPr>
  </w:style>
  <w:style w:type="character" w:customStyle="1" w:styleId="Titolo7Carattere">
    <w:name w:val="Titolo 7 Carattere"/>
    <w:aliases w:val="N.A.4 Carattere,N.A.41 Carattere"/>
    <w:basedOn w:val="Carpredefinitoparagrafo"/>
    <w:link w:val="Titolo7"/>
    <w:rsid w:val="0093431D"/>
    <w:rPr>
      <w:rFonts w:ascii="Arial" w:eastAsia="Times New Roman" w:hAnsi="Arial" w:cs="Times New Roman"/>
      <w:sz w:val="20"/>
      <w:szCs w:val="20"/>
      <w:lang w:eastAsia="it-IT"/>
    </w:rPr>
  </w:style>
  <w:style w:type="character" w:customStyle="1" w:styleId="Titolo8Carattere">
    <w:name w:val="Titolo 8 Carattere"/>
    <w:aliases w:val="N.A.3 Carattere,N.A.31 Carattere"/>
    <w:basedOn w:val="Carpredefinitoparagrafo"/>
    <w:link w:val="Titolo8"/>
    <w:rsid w:val="0093431D"/>
    <w:rPr>
      <w:rFonts w:ascii="Arial" w:eastAsia="Times New Roman" w:hAnsi="Arial" w:cs="Times New Roman"/>
      <w:i/>
      <w:sz w:val="20"/>
      <w:szCs w:val="20"/>
      <w:lang w:eastAsia="it-IT"/>
    </w:rPr>
  </w:style>
  <w:style w:type="character" w:customStyle="1" w:styleId="Titolo9Carattere">
    <w:name w:val="Titolo 9 Carattere"/>
    <w:aliases w:val="N.A.2 Carattere,N.A.1 Carattere"/>
    <w:basedOn w:val="Carpredefinitoparagrafo"/>
    <w:link w:val="Titolo9"/>
    <w:rsid w:val="0093431D"/>
    <w:rPr>
      <w:rFonts w:ascii="Arial" w:eastAsia="Times New Roman" w:hAnsi="Arial" w:cs="Times New Roman"/>
      <w:b/>
      <w:i/>
      <w:sz w:val="18"/>
      <w:szCs w:val="20"/>
      <w:lang w:eastAsia="it-IT"/>
    </w:rPr>
  </w:style>
  <w:style w:type="paragraph" w:styleId="Didascalia">
    <w:name w:val="caption"/>
    <w:aliases w:val="Table,Didascalia Carattere Carattere"/>
    <w:basedOn w:val="Normale"/>
    <w:next w:val="Normale"/>
    <w:link w:val="DidascaliaCarattere"/>
    <w:qFormat/>
    <w:rsid w:val="0093431D"/>
    <w:pPr>
      <w:keepNext/>
      <w:tabs>
        <w:tab w:val="left" w:pos="1276"/>
      </w:tabs>
      <w:spacing w:before="240" w:after="120"/>
      <w:ind w:left="1134" w:hanging="1134"/>
      <w:jc w:val="both"/>
    </w:pPr>
    <w:rPr>
      <w:b/>
      <w:i/>
    </w:rPr>
  </w:style>
  <w:style w:type="character" w:styleId="Rimandonotaapidipagina">
    <w:name w:val="footnote reference"/>
    <w:aliases w:val="footnote sign,Rimando nota a piè di pagina-IMONT,Appel note de bas de p,Footnote symbol,Rimando nota a piè di pagina1,Rimando nota a piË di pagina1"/>
    <w:basedOn w:val="Carpredefinitoparagrafo"/>
    <w:semiHidden/>
    <w:rsid w:val="0093431D"/>
    <w:rPr>
      <w:kern w:val="16"/>
      <w:position w:val="6"/>
      <w:sz w:val="16"/>
    </w:rPr>
  </w:style>
  <w:style w:type="paragraph" w:styleId="Testonotaapidipagina">
    <w:name w:val="footnote text"/>
    <w:aliases w:val="foot note text,stile 1,Footnote,Footnote1,Footnote2,Footnote3,Footnote4,Footnote5,Footnote6,Footnote7,Footnote8,Footnote9,Footnote10,Footnote11,Footnote21,Footnote31,Footnote41,Footnote51,Footnote61,Footnote71,Footnote81"/>
    <w:basedOn w:val="Normale"/>
    <w:link w:val="TestonotaapidipaginaCarattere"/>
    <w:semiHidden/>
    <w:rsid w:val="0093431D"/>
    <w:pPr>
      <w:spacing w:line="240" w:lineRule="atLeast"/>
      <w:jc w:val="both"/>
    </w:pPr>
    <w:rPr>
      <w:sz w:val="16"/>
    </w:rPr>
  </w:style>
  <w:style w:type="character" w:customStyle="1" w:styleId="TestonotaapidipaginaCarattere">
    <w:name w:val="Testo nota a piè di pagina Carattere"/>
    <w:aliases w:val="foot note text Carattere,stile 1 Carattere,Footnote Carattere,Footnote1 Carattere,Footnote2 Carattere,Footnote3 Carattere,Footnote4 Carattere,Footnote5 Carattere,Footnote6 Carattere,Footnote7 Carattere"/>
    <w:basedOn w:val="Carpredefinitoparagrafo"/>
    <w:link w:val="Testonotaapidipagina"/>
    <w:rsid w:val="0093431D"/>
    <w:rPr>
      <w:rFonts w:ascii="Times New Roman" w:eastAsia="Times New Roman" w:hAnsi="Times New Roman" w:cs="Times New Roman"/>
      <w:sz w:val="16"/>
      <w:szCs w:val="20"/>
      <w:lang w:eastAsia="it-IT"/>
    </w:rPr>
  </w:style>
  <w:style w:type="paragraph" w:styleId="Corpodeltesto">
    <w:name w:val="Body Text"/>
    <w:basedOn w:val="Normale"/>
    <w:link w:val="CorpodeltestoCarattere"/>
    <w:rsid w:val="0093431D"/>
    <w:pPr>
      <w:numPr>
        <w:ilvl w:val="12"/>
      </w:numPr>
      <w:jc w:val="both"/>
    </w:pPr>
  </w:style>
  <w:style w:type="character" w:customStyle="1" w:styleId="CorpodeltestoCarattere">
    <w:name w:val="Corpo del testo Carattere"/>
    <w:basedOn w:val="Carpredefinitoparagrafo"/>
    <w:link w:val="Corpodeltesto"/>
    <w:rsid w:val="0093431D"/>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rsid w:val="0093431D"/>
    <w:pPr>
      <w:spacing w:before="120" w:line="240" w:lineRule="atLeast"/>
      <w:ind w:right="1467"/>
      <w:jc w:val="both"/>
    </w:pPr>
    <w:rPr>
      <w:sz w:val="20"/>
    </w:rPr>
  </w:style>
  <w:style w:type="character" w:customStyle="1" w:styleId="RientrocorpodeltestoCarattere">
    <w:name w:val="Rientro corpo del testo Carattere"/>
    <w:basedOn w:val="Carpredefinitoparagrafo"/>
    <w:link w:val="Rientrocorpodeltesto"/>
    <w:rsid w:val="0093431D"/>
    <w:rPr>
      <w:rFonts w:ascii="Times New Roman" w:eastAsia="Times New Roman" w:hAnsi="Times New Roman" w:cs="Times New Roman"/>
      <w:sz w:val="20"/>
      <w:szCs w:val="20"/>
      <w:lang w:eastAsia="it-IT"/>
    </w:rPr>
  </w:style>
  <w:style w:type="paragraph" w:customStyle="1" w:styleId="headerlandscape">
    <w:name w:val="header_landscape"/>
    <w:basedOn w:val="Normale"/>
    <w:rsid w:val="0093431D"/>
    <w:pPr>
      <w:pBdr>
        <w:bottom w:val="single" w:sz="6" w:space="1" w:color="auto"/>
      </w:pBdr>
      <w:tabs>
        <w:tab w:val="right" w:pos="13466"/>
      </w:tabs>
      <w:spacing w:after="120"/>
      <w:jc w:val="both"/>
    </w:pPr>
    <w:rPr>
      <w:i/>
      <w:sz w:val="20"/>
    </w:rPr>
  </w:style>
  <w:style w:type="paragraph" w:customStyle="1" w:styleId="Fonte">
    <w:name w:val="Fonte"/>
    <w:basedOn w:val="Normale"/>
    <w:rsid w:val="0093431D"/>
    <w:pPr>
      <w:spacing w:after="240"/>
    </w:pPr>
    <w:rPr>
      <w:i/>
      <w:sz w:val="20"/>
    </w:rPr>
  </w:style>
  <w:style w:type="character" w:customStyle="1" w:styleId="DidascaliaCarattere">
    <w:name w:val="Didascalia Carattere"/>
    <w:aliases w:val="Table Carattere,Didascalia Carattere Carattere Carattere"/>
    <w:basedOn w:val="Carpredefinitoparagrafo"/>
    <w:link w:val="Didascalia"/>
    <w:rsid w:val="0093431D"/>
    <w:rPr>
      <w:rFonts w:ascii="Times New Roman" w:eastAsia="Times New Roman" w:hAnsi="Times New Roman" w:cs="Times New Roman"/>
      <w:b/>
      <w:i/>
      <w:sz w:val="24"/>
      <w:szCs w:val="20"/>
      <w:lang w:eastAsia="it-IT"/>
    </w:rPr>
  </w:style>
  <w:style w:type="character" w:customStyle="1" w:styleId="Titolo4Carattere1">
    <w:name w:val="Titolo 4 Carattere1"/>
    <w:aliases w:val="heading 4 Carattere1,Sottomisura Carattere1,Sottomisura Carattere Carattere,heading 4 Carattere Carattere"/>
    <w:basedOn w:val="Carpredefinitoparagrafo"/>
    <w:link w:val="Titolo4"/>
    <w:rsid w:val="0093431D"/>
    <w:rPr>
      <w:rFonts w:ascii="Times New Roman" w:eastAsia="Times New Roman" w:hAnsi="Times New Roman" w:cs="Times New Roman"/>
      <w:i/>
      <w:sz w:val="24"/>
      <w:szCs w:val="20"/>
      <w:lang w:eastAsia="it-IT"/>
    </w:rPr>
  </w:style>
  <w:style w:type="paragraph" w:customStyle="1" w:styleId="elencoalfabetico">
    <w:name w:val="elenco alfabetico"/>
    <w:basedOn w:val="Normale"/>
    <w:rsid w:val="0093431D"/>
    <w:pPr>
      <w:numPr>
        <w:ilvl w:val="2"/>
        <w:numId w:val="7"/>
      </w:numPr>
      <w:tabs>
        <w:tab w:val="clear" w:pos="720"/>
        <w:tab w:val="num" w:pos="360"/>
      </w:tabs>
      <w:ind w:left="360" w:hanging="360"/>
      <w:jc w:val="both"/>
    </w:pPr>
    <w:rPr>
      <w:sz w:val="22"/>
    </w:rPr>
  </w:style>
  <w:style w:type="paragraph" w:customStyle="1" w:styleId="Nota">
    <w:name w:val="Nota"/>
    <w:basedOn w:val="Titolo2"/>
    <w:rsid w:val="0093431D"/>
    <w:pPr>
      <w:numPr>
        <w:ilvl w:val="0"/>
        <w:numId w:val="8"/>
      </w:numPr>
      <w:spacing w:after="60"/>
    </w:pPr>
    <w:rPr>
      <w:rFonts w:ascii="Verdana" w:hAnsi="Verdana" w:cs="Arial"/>
      <w:b w:val="0"/>
      <w:bCs/>
      <w:i w:val="0"/>
      <w:iCs/>
      <w:szCs w:val="24"/>
    </w:rPr>
  </w:style>
  <w:style w:type="paragraph" w:styleId="Testofumetto">
    <w:name w:val="Balloon Text"/>
    <w:basedOn w:val="Normale"/>
    <w:link w:val="TestofumettoCarattere"/>
    <w:semiHidden/>
    <w:rsid w:val="0093431D"/>
    <w:pPr>
      <w:numPr>
        <w:numId w:val="9"/>
      </w:numPr>
      <w:tabs>
        <w:tab w:val="clear" w:pos="360"/>
      </w:tabs>
      <w:ind w:left="0" w:firstLine="0"/>
    </w:pPr>
    <w:rPr>
      <w:rFonts w:ascii="Tahoma" w:hAnsi="Tahoma" w:cs="Tahoma"/>
      <w:sz w:val="16"/>
      <w:szCs w:val="16"/>
    </w:rPr>
  </w:style>
  <w:style w:type="character" w:customStyle="1" w:styleId="TestofumettoCarattere">
    <w:name w:val="Testo fumetto Carattere"/>
    <w:basedOn w:val="Carpredefinitoparagrafo"/>
    <w:link w:val="Testofumetto"/>
    <w:semiHidden/>
    <w:rsid w:val="0093431D"/>
    <w:rPr>
      <w:rFonts w:ascii="Tahoma" w:eastAsia="Times New Roman" w:hAnsi="Tahoma" w:cs="Tahoma"/>
      <w:sz w:val="16"/>
      <w:szCs w:val="16"/>
      <w:lang w:eastAsia="it-IT"/>
    </w:rPr>
  </w:style>
  <w:style w:type="paragraph" w:customStyle="1" w:styleId="Default">
    <w:name w:val="Default"/>
    <w:rsid w:val="0093431D"/>
    <w:pPr>
      <w:autoSpaceDE w:val="0"/>
      <w:autoSpaceDN w:val="0"/>
      <w:adjustRightInd w:val="0"/>
      <w:spacing w:after="0" w:line="240" w:lineRule="auto"/>
    </w:pPr>
    <w:rPr>
      <w:rFonts w:ascii="Times New Roman" w:eastAsia="Times New Roman" w:hAnsi="Times New Roman" w:cs="Times New Roman"/>
      <w:color w:val="000000"/>
      <w:sz w:val="24"/>
      <w:szCs w:val="24"/>
      <w:lang w:eastAsia="it-I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png"/><Relationship Id="rId18" Type="http://schemas.openxmlformats.org/officeDocument/2006/relationships/image" Target="media/image11.emf"/><Relationship Id="rId3" Type="http://schemas.openxmlformats.org/officeDocument/2006/relationships/settings" Target="settings.xml"/><Relationship Id="rId21" Type="http://schemas.openxmlformats.org/officeDocument/2006/relationships/image" Target="media/image14.emf"/><Relationship Id="rId7" Type="http://schemas.openxmlformats.org/officeDocument/2006/relationships/image" Target="media/image1.emf"/><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emf"/><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12.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29</Pages>
  <Words>10128</Words>
  <Characters>57732</Characters>
  <Application>Microsoft Office Word</Application>
  <DocSecurity>0</DocSecurity>
  <Lines>481</Lines>
  <Paragraphs>135</Paragraphs>
  <ScaleCrop>false</ScaleCrop>
  <Company/>
  <LinksUpToDate>false</LinksUpToDate>
  <CharactersWithSpaces>67725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1</cp:revision>
  <dcterms:created xsi:type="dcterms:W3CDTF">2010-07-08T14:19:00Z</dcterms:created>
  <dcterms:modified xsi:type="dcterms:W3CDTF">2010-07-08T14:20:00Z</dcterms:modified>
</cp:coreProperties>
</file>