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B003" w14:textId="77777777" w:rsidR="007F28A3" w:rsidRDefault="007F28A3" w:rsidP="007F28A3"/>
    <w:p w14:paraId="2D4FB443" w14:textId="77777777" w:rsidR="00FA3765" w:rsidRDefault="00FA3765" w:rsidP="00C34648">
      <w:pPr>
        <w:pStyle w:val="Titolo"/>
      </w:pPr>
    </w:p>
    <w:p w14:paraId="2DB613E9" w14:textId="77777777" w:rsidR="0070130A" w:rsidRDefault="0070130A" w:rsidP="00C34648">
      <w:pPr>
        <w:pStyle w:val="Titolo"/>
      </w:pPr>
    </w:p>
    <w:p w14:paraId="248F3CB5" w14:textId="2513144D" w:rsidR="007F28A3" w:rsidRPr="00C34648" w:rsidRDefault="001F3A3D" w:rsidP="00A33A10">
      <w:pPr>
        <w:pStyle w:val="Titolo"/>
        <w:jc w:val="center"/>
      </w:pPr>
      <w:r w:rsidRPr="00C34648">
        <w:t>L’Italia e la Pac post 2020</w:t>
      </w:r>
    </w:p>
    <w:p w14:paraId="2618A886" w14:textId="252E6A38" w:rsidR="00FA3765" w:rsidRDefault="00CB1ABC" w:rsidP="001F3A3D">
      <w:pPr>
        <w:pStyle w:val="Titolo"/>
        <w:jc w:val="center"/>
        <w:rPr>
          <w:sz w:val="52"/>
        </w:rPr>
      </w:pPr>
      <w:r>
        <w:rPr>
          <w:sz w:val="52"/>
        </w:rPr>
        <w:t>PB 1</w:t>
      </w:r>
    </w:p>
    <w:p w14:paraId="00ADB82B" w14:textId="237F0A96" w:rsidR="00204A57" w:rsidRDefault="00204A57" w:rsidP="00204A57"/>
    <w:p w14:paraId="518E3A53" w14:textId="4620C846" w:rsidR="00204A57" w:rsidRDefault="00204A57" w:rsidP="006664E5">
      <w:pPr>
        <w:pStyle w:val="Titolo"/>
        <w:rPr>
          <w:sz w:val="52"/>
        </w:rPr>
      </w:pPr>
      <w:r w:rsidRPr="00C34648">
        <w:rPr>
          <w:sz w:val="52"/>
        </w:rPr>
        <w:t xml:space="preserve">OS 1: </w:t>
      </w:r>
      <w:r w:rsidR="006664E5">
        <w:rPr>
          <w:sz w:val="52"/>
        </w:rPr>
        <w:t>S</w:t>
      </w:r>
      <w:r w:rsidR="006664E5" w:rsidRPr="006664E5">
        <w:rPr>
          <w:sz w:val="52"/>
        </w:rPr>
        <w:t xml:space="preserve">ostenere un reddito agricolo sostenibile e la resilienza del settore agricolo in tutta l'Unione per migliorare la sicurezza alimentare a lungo termine e la diversità agricola, nonché garantire la sostenibilità economica della produzione agricola </w:t>
      </w:r>
    </w:p>
    <w:p w14:paraId="5BC5E27A" w14:textId="77777777" w:rsidR="00204A57" w:rsidRPr="00204A57" w:rsidRDefault="00204A57" w:rsidP="00204A57"/>
    <w:p w14:paraId="1F61C079" w14:textId="0600FFA7" w:rsidR="00554B1A" w:rsidRDefault="00554B1A" w:rsidP="00554B1A"/>
    <w:p w14:paraId="6F5C56B3" w14:textId="77777777" w:rsidR="00837890" w:rsidRDefault="00837890" w:rsidP="00554B1A"/>
    <w:p w14:paraId="1C343E09" w14:textId="5968AE68" w:rsidR="00554B1A" w:rsidRPr="00101EC6" w:rsidRDefault="00623939" w:rsidP="00837890">
      <w:pPr>
        <w:pStyle w:val="Titolo"/>
        <w:jc w:val="center"/>
        <w:rPr>
          <w:i/>
          <w:sz w:val="52"/>
        </w:rPr>
      </w:pPr>
      <w:r>
        <w:rPr>
          <w:i/>
          <w:sz w:val="52"/>
        </w:rPr>
        <w:t xml:space="preserve">Un </w:t>
      </w:r>
      <w:proofErr w:type="spellStart"/>
      <w:r>
        <w:rPr>
          <w:i/>
          <w:sz w:val="52"/>
        </w:rPr>
        <w:t>a</w:t>
      </w:r>
      <w:r w:rsidR="00CB1ABC">
        <w:rPr>
          <w:i/>
          <w:sz w:val="52"/>
        </w:rPr>
        <w:t>prr</w:t>
      </w:r>
      <w:r>
        <w:rPr>
          <w:i/>
          <w:sz w:val="52"/>
        </w:rPr>
        <w:t>o</w:t>
      </w:r>
      <w:r w:rsidR="00CB1ABC">
        <w:rPr>
          <w:i/>
          <w:sz w:val="52"/>
        </w:rPr>
        <w:t>fondimento</w:t>
      </w:r>
      <w:proofErr w:type="spellEnd"/>
      <w:r w:rsidR="00CB1ABC">
        <w:rPr>
          <w:i/>
          <w:sz w:val="52"/>
        </w:rPr>
        <w:t xml:space="preserve"> </w:t>
      </w:r>
      <w:r w:rsidR="002833CD">
        <w:rPr>
          <w:i/>
          <w:sz w:val="52"/>
        </w:rPr>
        <w:t>sul SGR</w:t>
      </w:r>
      <w:r w:rsidR="00421DBB">
        <w:rPr>
          <w:i/>
          <w:sz w:val="52"/>
        </w:rPr>
        <w:t xml:space="preserve"> </w:t>
      </w:r>
    </w:p>
    <w:p w14:paraId="28AF21CA" w14:textId="77777777" w:rsidR="00BB29D7" w:rsidRDefault="00BB29D7" w:rsidP="00BB29D7"/>
    <w:p w14:paraId="33215DB9" w14:textId="77777777" w:rsidR="00BB29D7" w:rsidRDefault="00BB29D7" w:rsidP="00BB29D7"/>
    <w:p w14:paraId="12A22879" w14:textId="77777777" w:rsidR="00BB29D7" w:rsidRDefault="00BB29D7" w:rsidP="00BB29D7"/>
    <w:p w14:paraId="29BCC04F" w14:textId="77777777" w:rsidR="00BB29D7" w:rsidRDefault="00BB29D7" w:rsidP="00BB29D7"/>
    <w:p w14:paraId="1000A6D5" w14:textId="77777777" w:rsidR="00BB29D7" w:rsidRDefault="00BB29D7" w:rsidP="00BB29D7"/>
    <w:p w14:paraId="2E1CB077" w14:textId="726DB80D" w:rsidR="00BB29D7" w:rsidRDefault="00BB29D7" w:rsidP="00BB29D7"/>
    <w:p w14:paraId="763ACBD3" w14:textId="573AF8F7" w:rsidR="00BB29D7" w:rsidRDefault="00BB29D7" w:rsidP="00BB29D7"/>
    <w:p w14:paraId="0C6E05C2" w14:textId="73DF97C6" w:rsidR="00BB29D7" w:rsidRDefault="00BB29D7" w:rsidP="00BB29D7"/>
    <w:p w14:paraId="63CE7EE3" w14:textId="03E6C354" w:rsidR="00BB29D7" w:rsidRDefault="00BB29D7" w:rsidP="00BB29D7"/>
    <w:p w14:paraId="095C51C8" w14:textId="142E0B40" w:rsidR="00BB29D7" w:rsidRDefault="00BB29D7" w:rsidP="006664E5"/>
    <w:p w14:paraId="06449A94" w14:textId="77777777" w:rsidR="00FA3765" w:rsidRDefault="00FA3765">
      <w:pPr>
        <w:jc w:val="left"/>
        <w:rPr>
          <w:rFonts w:asciiTheme="majorHAnsi" w:eastAsiaTheme="majorEastAsia" w:hAnsiTheme="majorHAnsi" w:cstheme="majorBidi"/>
          <w:spacing w:val="-10"/>
          <w:kern w:val="28"/>
          <w:sz w:val="52"/>
          <w:szCs w:val="56"/>
        </w:rPr>
      </w:pPr>
      <w:r>
        <w:rPr>
          <w:sz w:val="52"/>
        </w:rPr>
        <w:br w:type="page"/>
      </w:r>
    </w:p>
    <w:sdt>
      <w:sdtPr>
        <w:rPr>
          <w:rFonts w:asciiTheme="minorHAnsi" w:eastAsiaTheme="minorHAnsi" w:hAnsiTheme="minorHAnsi" w:cstheme="minorBidi"/>
          <w:color w:val="auto"/>
          <w:sz w:val="22"/>
          <w:szCs w:val="22"/>
          <w:lang w:eastAsia="en-US"/>
        </w:rPr>
        <w:id w:val="-1138181061"/>
        <w:docPartObj>
          <w:docPartGallery w:val="Table of Contents"/>
          <w:docPartUnique/>
        </w:docPartObj>
      </w:sdtPr>
      <w:sdtEndPr>
        <w:rPr>
          <w:b/>
          <w:bCs/>
        </w:rPr>
      </w:sdtEndPr>
      <w:sdtContent>
        <w:p w14:paraId="302D88E2" w14:textId="725FBE4F" w:rsidR="00225920" w:rsidRDefault="00225920">
          <w:pPr>
            <w:pStyle w:val="Titolosommario"/>
          </w:pPr>
          <w:r>
            <w:t>Sommario</w:t>
          </w:r>
        </w:p>
        <w:p w14:paraId="0005B836" w14:textId="4313B68F" w:rsidR="00040C21" w:rsidRDefault="00225920">
          <w:pPr>
            <w:pStyle w:val="Sommario2"/>
            <w:rPr>
              <w:rFonts w:eastAsiaTheme="minorEastAsia"/>
              <w:noProof/>
              <w:lang w:eastAsia="it-IT"/>
            </w:rPr>
          </w:pPr>
          <w:r>
            <w:fldChar w:fldCharType="begin"/>
          </w:r>
          <w:r>
            <w:instrText xml:space="preserve"> TOC \o "1-3" \h \z \u </w:instrText>
          </w:r>
          <w:r>
            <w:fldChar w:fldCharType="separate"/>
          </w:r>
          <w:hyperlink w:anchor="_Toc56584452" w:history="1">
            <w:r w:rsidR="00040C21" w:rsidRPr="009552C9">
              <w:rPr>
                <w:rStyle w:val="Collegamentoipertestuale"/>
                <w:noProof/>
              </w:rPr>
              <w:t>1.</w:t>
            </w:r>
            <w:r w:rsidR="00040C21">
              <w:rPr>
                <w:rFonts w:eastAsiaTheme="minorEastAsia"/>
                <w:noProof/>
                <w:lang w:eastAsia="it-IT"/>
              </w:rPr>
              <w:tab/>
            </w:r>
            <w:r w:rsidR="00040C21" w:rsidRPr="009552C9">
              <w:rPr>
                <w:rStyle w:val="Collegamentoipertestuale"/>
                <w:noProof/>
              </w:rPr>
              <w:t>PARTE I - L’IMPIANTO NORMATIVO DELLE MISURE DI GESTIONE DEL RISCHIO E LE SINERGIE TRA FONDI COMUNITARI E FONDI NAZIONALI</w:t>
            </w:r>
            <w:r w:rsidR="00040C21">
              <w:rPr>
                <w:noProof/>
                <w:webHidden/>
              </w:rPr>
              <w:tab/>
            </w:r>
            <w:r w:rsidR="00040C21">
              <w:rPr>
                <w:noProof/>
                <w:webHidden/>
              </w:rPr>
              <w:fldChar w:fldCharType="begin"/>
            </w:r>
            <w:r w:rsidR="00040C21">
              <w:rPr>
                <w:noProof/>
                <w:webHidden/>
              </w:rPr>
              <w:instrText xml:space="preserve"> PAGEREF _Toc56584452 \h </w:instrText>
            </w:r>
            <w:r w:rsidR="00040C21">
              <w:rPr>
                <w:noProof/>
                <w:webHidden/>
              </w:rPr>
            </w:r>
            <w:r w:rsidR="00040C21">
              <w:rPr>
                <w:noProof/>
                <w:webHidden/>
              </w:rPr>
              <w:fldChar w:fldCharType="separate"/>
            </w:r>
            <w:r w:rsidR="00040C21">
              <w:rPr>
                <w:noProof/>
                <w:webHidden/>
              </w:rPr>
              <w:t>3</w:t>
            </w:r>
            <w:r w:rsidR="00040C21">
              <w:rPr>
                <w:noProof/>
                <w:webHidden/>
              </w:rPr>
              <w:fldChar w:fldCharType="end"/>
            </w:r>
          </w:hyperlink>
        </w:p>
        <w:p w14:paraId="7678A6C3" w14:textId="58B22CFC" w:rsidR="00040C21" w:rsidRDefault="006E647E">
          <w:pPr>
            <w:pStyle w:val="Sommario3"/>
            <w:tabs>
              <w:tab w:val="right" w:leader="dot" w:pos="9628"/>
            </w:tabs>
            <w:rPr>
              <w:rFonts w:eastAsiaTheme="minorEastAsia"/>
              <w:noProof/>
              <w:lang w:eastAsia="it-IT"/>
            </w:rPr>
          </w:pPr>
          <w:hyperlink w:anchor="_Toc56584453" w:history="1">
            <w:r w:rsidR="00040C21" w:rsidRPr="009552C9">
              <w:rPr>
                <w:rStyle w:val="Collegamentoipertestuale"/>
                <w:noProof/>
              </w:rPr>
              <w:t>1.1 La gestione del rischio nel quadro delle politiche agricole unionali (Sviluppo Rurale e OCM)</w:t>
            </w:r>
            <w:r w:rsidR="00040C21">
              <w:rPr>
                <w:noProof/>
                <w:webHidden/>
              </w:rPr>
              <w:tab/>
            </w:r>
            <w:r w:rsidR="00040C21">
              <w:rPr>
                <w:noProof/>
                <w:webHidden/>
              </w:rPr>
              <w:fldChar w:fldCharType="begin"/>
            </w:r>
            <w:r w:rsidR="00040C21">
              <w:rPr>
                <w:noProof/>
                <w:webHidden/>
              </w:rPr>
              <w:instrText xml:space="preserve"> PAGEREF _Toc56584453 \h </w:instrText>
            </w:r>
            <w:r w:rsidR="00040C21">
              <w:rPr>
                <w:noProof/>
                <w:webHidden/>
              </w:rPr>
            </w:r>
            <w:r w:rsidR="00040C21">
              <w:rPr>
                <w:noProof/>
                <w:webHidden/>
              </w:rPr>
              <w:fldChar w:fldCharType="separate"/>
            </w:r>
            <w:r w:rsidR="00040C21">
              <w:rPr>
                <w:noProof/>
                <w:webHidden/>
              </w:rPr>
              <w:t>3</w:t>
            </w:r>
            <w:r w:rsidR="00040C21">
              <w:rPr>
                <w:noProof/>
                <w:webHidden/>
              </w:rPr>
              <w:fldChar w:fldCharType="end"/>
            </w:r>
          </w:hyperlink>
        </w:p>
        <w:p w14:paraId="0DA27B0F" w14:textId="09CC09D4" w:rsidR="00040C21" w:rsidRDefault="006E647E">
          <w:pPr>
            <w:pStyle w:val="Sommario3"/>
            <w:tabs>
              <w:tab w:val="right" w:leader="dot" w:pos="9628"/>
            </w:tabs>
            <w:rPr>
              <w:rFonts w:eastAsiaTheme="minorEastAsia"/>
              <w:noProof/>
              <w:lang w:eastAsia="it-IT"/>
            </w:rPr>
          </w:pPr>
          <w:hyperlink w:anchor="_Toc56584454" w:history="1">
            <w:r w:rsidR="00040C21" w:rsidRPr="009552C9">
              <w:rPr>
                <w:rStyle w:val="Collegamentoipertestuale"/>
                <w:noProof/>
              </w:rPr>
              <w:t>1.2 Le misure di gestione del rischio finanziate con fondi nazionali</w:t>
            </w:r>
            <w:r w:rsidR="00040C21">
              <w:rPr>
                <w:noProof/>
                <w:webHidden/>
              </w:rPr>
              <w:tab/>
            </w:r>
            <w:r w:rsidR="00040C21">
              <w:rPr>
                <w:noProof/>
                <w:webHidden/>
              </w:rPr>
              <w:fldChar w:fldCharType="begin"/>
            </w:r>
            <w:r w:rsidR="00040C21">
              <w:rPr>
                <w:noProof/>
                <w:webHidden/>
              </w:rPr>
              <w:instrText xml:space="preserve"> PAGEREF _Toc56584454 \h </w:instrText>
            </w:r>
            <w:r w:rsidR="00040C21">
              <w:rPr>
                <w:noProof/>
                <w:webHidden/>
              </w:rPr>
            </w:r>
            <w:r w:rsidR="00040C21">
              <w:rPr>
                <w:noProof/>
                <w:webHidden/>
              </w:rPr>
              <w:fldChar w:fldCharType="separate"/>
            </w:r>
            <w:r w:rsidR="00040C21">
              <w:rPr>
                <w:noProof/>
                <w:webHidden/>
              </w:rPr>
              <w:t>4</w:t>
            </w:r>
            <w:r w:rsidR="00040C21">
              <w:rPr>
                <w:noProof/>
                <w:webHidden/>
              </w:rPr>
              <w:fldChar w:fldCharType="end"/>
            </w:r>
          </w:hyperlink>
        </w:p>
        <w:p w14:paraId="2D57A539" w14:textId="7FE806E7" w:rsidR="00040C21" w:rsidRDefault="006E647E">
          <w:pPr>
            <w:pStyle w:val="Sommario2"/>
            <w:rPr>
              <w:rFonts w:eastAsiaTheme="minorEastAsia"/>
              <w:noProof/>
              <w:lang w:eastAsia="it-IT"/>
            </w:rPr>
          </w:pPr>
          <w:hyperlink w:anchor="_Toc56584455" w:history="1">
            <w:r w:rsidR="00040C21" w:rsidRPr="009552C9">
              <w:rPr>
                <w:rStyle w:val="Collegamentoipertestuale"/>
                <w:noProof/>
              </w:rPr>
              <w:t>2.</w:t>
            </w:r>
            <w:r w:rsidR="00040C21">
              <w:rPr>
                <w:rFonts w:eastAsiaTheme="minorEastAsia"/>
                <w:noProof/>
                <w:lang w:eastAsia="it-IT"/>
              </w:rPr>
              <w:tab/>
            </w:r>
            <w:r w:rsidR="00040C21" w:rsidRPr="009552C9">
              <w:rPr>
                <w:rStyle w:val="Collegamentoipertestuale"/>
                <w:noProof/>
              </w:rPr>
              <w:t>PARTE II – LA PREDISPOSIZIONE AL RISCHIO DEGLI AGRICOLTORI</w:t>
            </w:r>
            <w:r w:rsidR="00040C21">
              <w:rPr>
                <w:noProof/>
                <w:webHidden/>
              </w:rPr>
              <w:tab/>
            </w:r>
            <w:r w:rsidR="00040C21">
              <w:rPr>
                <w:noProof/>
                <w:webHidden/>
              </w:rPr>
              <w:fldChar w:fldCharType="begin"/>
            </w:r>
            <w:r w:rsidR="00040C21">
              <w:rPr>
                <w:noProof/>
                <w:webHidden/>
              </w:rPr>
              <w:instrText xml:space="preserve"> PAGEREF _Toc56584455 \h </w:instrText>
            </w:r>
            <w:r w:rsidR="00040C21">
              <w:rPr>
                <w:noProof/>
                <w:webHidden/>
              </w:rPr>
            </w:r>
            <w:r w:rsidR="00040C21">
              <w:rPr>
                <w:noProof/>
                <w:webHidden/>
              </w:rPr>
              <w:fldChar w:fldCharType="separate"/>
            </w:r>
            <w:r w:rsidR="00040C21">
              <w:rPr>
                <w:noProof/>
                <w:webHidden/>
              </w:rPr>
              <w:t>7</w:t>
            </w:r>
            <w:r w:rsidR="00040C21">
              <w:rPr>
                <w:noProof/>
                <w:webHidden/>
              </w:rPr>
              <w:fldChar w:fldCharType="end"/>
            </w:r>
          </w:hyperlink>
        </w:p>
        <w:p w14:paraId="166A4D15" w14:textId="1941CCD9" w:rsidR="00040C21" w:rsidRDefault="006E647E">
          <w:pPr>
            <w:pStyle w:val="Sommario2"/>
            <w:rPr>
              <w:rFonts w:eastAsiaTheme="minorEastAsia"/>
              <w:noProof/>
              <w:lang w:eastAsia="it-IT"/>
            </w:rPr>
          </w:pPr>
          <w:hyperlink w:anchor="_Toc56584456" w:history="1">
            <w:r w:rsidR="00040C21" w:rsidRPr="009552C9">
              <w:rPr>
                <w:rStyle w:val="Collegamentoipertestuale"/>
                <w:noProof/>
              </w:rPr>
              <w:t>2.1 rischi sanitari e ambientali</w:t>
            </w:r>
            <w:r w:rsidR="00040C21">
              <w:rPr>
                <w:noProof/>
                <w:webHidden/>
              </w:rPr>
              <w:tab/>
            </w:r>
            <w:r w:rsidR="00040C21">
              <w:rPr>
                <w:noProof/>
                <w:webHidden/>
              </w:rPr>
              <w:fldChar w:fldCharType="begin"/>
            </w:r>
            <w:r w:rsidR="00040C21">
              <w:rPr>
                <w:noProof/>
                <w:webHidden/>
              </w:rPr>
              <w:instrText xml:space="preserve"> PAGEREF _Toc56584456 \h </w:instrText>
            </w:r>
            <w:r w:rsidR="00040C21">
              <w:rPr>
                <w:noProof/>
                <w:webHidden/>
              </w:rPr>
            </w:r>
            <w:r w:rsidR="00040C21">
              <w:rPr>
                <w:noProof/>
                <w:webHidden/>
              </w:rPr>
              <w:fldChar w:fldCharType="separate"/>
            </w:r>
            <w:r w:rsidR="00040C21">
              <w:rPr>
                <w:noProof/>
                <w:webHidden/>
              </w:rPr>
              <w:t>7</w:t>
            </w:r>
            <w:r w:rsidR="00040C21">
              <w:rPr>
                <w:noProof/>
                <w:webHidden/>
              </w:rPr>
              <w:fldChar w:fldCharType="end"/>
            </w:r>
          </w:hyperlink>
        </w:p>
        <w:p w14:paraId="071BDC26" w14:textId="14290E15" w:rsidR="00040C21" w:rsidRDefault="006E647E">
          <w:pPr>
            <w:pStyle w:val="Sommario2"/>
            <w:rPr>
              <w:rFonts w:eastAsiaTheme="minorEastAsia"/>
              <w:noProof/>
              <w:lang w:eastAsia="it-IT"/>
            </w:rPr>
          </w:pPr>
          <w:hyperlink w:anchor="_Toc56584457" w:history="1">
            <w:r w:rsidR="00040C21" w:rsidRPr="009552C9">
              <w:rPr>
                <w:rStyle w:val="Collegamentoipertestuale"/>
                <w:noProof/>
              </w:rPr>
              <w:t>2.2 Rischi economici (prezzo, produzione e volatilità del reddito)</w:t>
            </w:r>
            <w:r w:rsidR="00040C21">
              <w:rPr>
                <w:noProof/>
                <w:webHidden/>
              </w:rPr>
              <w:tab/>
            </w:r>
            <w:r w:rsidR="00040C21">
              <w:rPr>
                <w:noProof/>
                <w:webHidden/>
              </w:rPr>
              <w:fldChar w:fldCharType="begin"/>
            </w:r>
            <w:r w:rsidR="00040C21">
              <w:rPr>
                <w:noProof/>
                <w:webHidden/>
              </w:rPr>
              <w:instrText xml:space="preserve"> PAGEREF _Toc56584457 \h </w:instrText>
            </w:r>
            <w:r w:rsidR="00040C21">
              <w:rPr>
                <w:noProof/>
                <w:webHidden/>
              </w:rPr>
            </w:r>
            <w:r w:rsidR="00040C21">
              <w:rPr>
                <w:noProof/>
                <w:webHidden/>
              </w:rPr>
              <w:fldChar w:fldCharType="separate"/>
            </w:r>
            <w:r w:rsidR="00040C21">
              <w:rPr>
                <w:noProof/>
                <w:webHidden/>
              </w:rPr>
              <w:t>10</w:t>
            </w:r>
            <w:r w:rsidR="00040C21">
              <w:rPr>
                <w:noProof/>
                <w:webHidden/>
              </w:rPr>
              <w:fldChar w:fldCharType="end"/>
            </w:r>
          </w:hyperlink>
        </w:p>
        <w:p w14:paraId="52D95626" w14:textId="4FC165F6" w:rsidR="00040C21" w:rsidRDefault="006E647E">
          <w:pPr>
            <w:pStyle w:val="Sommario2"/>
            <w:rPr>
              <w:rFonts w:eastAsiaTheme="minorEastAsia"/>
              <w:noProof/>
              <w:lang w:eastAsia="it-IT"/>
            </w:rPr>
          </w:pPr>
          <w:hyperlink w:anchor="_Toc56584458" w:history="1">
            <w:r w:rsidR="00040C21" w:rsidRPr="009552C9">
              <w:rPr>
                <w:rStyle w:val="Collegamentoipertestuale"/>
                <w:noProof/>
              </w:rPr>
              <w:t>3.</w:t>
            </w:r>
            <w:r w:rsidR="00040C21">
              <w:rPr>
                <w:rFonts w:eastAsiaTheme="minorEastAsia"/>
                <w:noProof/>
                <w:lang w:eastAsia="it-IT"/>
              </w:rPr>
              <w:tab/>
            </w:r>
            <w:r w:rsidR="00040C21" w:rsidRPr="009552C9">
              <w:rPr>
                <w:rStyle w:val="Collegamentoipertestuale"/>
                <w:noProof/>
              </w:rPr>
              <w:t>PARTE III – LA CONOSCENZA DEGLI STRUMENTI</w:t>
            </w:r>
            <w:r w:rsidR="00040C21">
              <w:rPr>
                <w:noProof/>
                <w:webHidden/>
              </w:rPr>
              <w:tab/>
            </w:r>
            <w:r w:rsidR="00040C21">
              <w:rPr>
                <w:noProof/>
                <w:webHidden/>
              </w:rPr>
              <w:fldChar w:fldCharType="begin"/>
            </w:r>
            <w:r w:rsidR="00040C21">
              <w:rPr>
                <w:noProof/>
                <w:webHidden/>
              </w:rPr>
              <w:instrText xml:space="preserve"> PAGEREF _Toc56584458 \h </w:instrText>
            </w:r>
            <w:r w:rsidR="00040C21">
              <w:rPr>
                <w:noProof/>
                <w:webHidden/>
              </w:rPr>
            </w:r>
            <w:r w:rsidR="00040C21">
              <w:rPr>
                <w:noProof/>
                <w:webHidden/>
              </w:rPr>
              <w:fldChar w:fldCharType="separate"/>
            </w:r>
            <w:r w:rsidR="00040C21">
              <w:rPr>
                <w:noProof/>
                <w:webHidden/>
              </w:rPr>
              <w:t>12</w:t>
            </w:r>
            <w:r w:rsidR="00040C21">
              <w:rPr>
                <w:noProof/>
                <w:webHidden/>
              </w:rPr>
              <w:fldChar w:fldCharType="end"/>
            </w:r>
          </w:hyperlink>
        </w:p>
        <w:p w14:paraId="76CAE06B" w14:textId="031260F4" w:rsidR="00040C21" w:rsidRDefault="006E647E">
          <w:pPr>
            <w:pStyle w:val="Sommario2"/>
            <w:rPr>
              <w:rFonts w:eastAsiaTheme="minorEastAsia"/>
              <w:noProof/>
              <w:lang w:eastAsia="it-IT"/>
            </w:rPr>
          </w:pPr>
          <w:hyperlink w:anchor="_Toc56584459" w:history="1">
            <w:r w:rsidR="00040C21" w:rsidRPr="009552C9">
              <w:rPr>
                <w:rStyle w:val="Collegamentoipertestuale"/>
                <w:noProof/>
              </w:rPr>
              <w:t>3.1 Gli strumenti di gestione del rischio?</w:t>
            </w:r>
            <w:r w:rsidR="00040C21">
              <w:rPr>
                <w:noProof/>
                <w:webHidden/>
              </w:rPr>
              <w:tab/>
            </w:r>
            <w:r w:rsidR="00040C21">
              <w:rPr>
                <w:noProof/>
                <w:webHidden/>
              </w:rPr>
              <w:fldChar w:fldCharType="begin"/>
            </w:r>
            <w:r w:rsidR="00040C21">
              <w:rPr>
                <w:noProof/>
                <w:webHidden/>
              </w:rPr>
              <w:instrText xml:space="preserve"> PAGEREF _Toc56584459 \h </w:instrText>
            </w:r>
            <w:r w:rsidR="00040C21">
              <w:rPr>
                <w:noProof/>
                <w:webHidden/>
              </w:rPr>
            </w:r>
            <w:r w:rsidR="00040C21">
              <w:rPr>
                <w:noProof/>
                <w:webHidden/>
              </w:rPr>
              <w:fldChar w:fldCharType="separate"/>
            </w:r>
            <w:r w:rsidR="00040C21">
              <w:rPr>
                <w:noProof/>
                <w:webHidden/>
              </w:rPr>
              <w:t>12</w:t>
            </w:r>
            <w:r w:rsidR="00040C21">
              <w:rPr>
                <w:noProof/>
                <w:webHidden/>
              </w:rPr>
              <w:fldChar w:fldCharType="end"/>
            </w:r>
          </w:hyperlink>
        </w:p>
        <w:p w14:paraId="6010694C" w14:textId="1E520AE1" w:rsidR="00040C21" w:rsidRDefault="006E647E">
          <w:pPr>
            <w:pStyle w:val="Sommario2"/>
            <w:rPr>
              <w:rFonts w:eastAsiaTheme="minorEastAsia"/>
              <w:noProof/>
              <w:lang w:eastAsia="it-IT"/>
            </w:rPr>
          </w:pPr>
          <w:hyperlink w:anchor="_Toc56584460" w:history="1">
            <w:r w:rsidR="00040C21" w:rsidRPr="009552C9">
              <w:rPr>
                <w:rStyle w:val="Collegamentoipertestuale"/>
                <w:noProof/>
              </w:rPr>
              <w:t>3.1 I sistemi di consulenza in relazione alla gestione del rischio</w:t>
            </w:r>
            <w:r w:rsidR="00040C21">
              <w:rPr>
                <w:noProof/>
                <w:webHidden/>
              </w:rPr>
              <w:tab/>
            </w:r>
            <w:r w:rsidR="00040C21">
              <w:rPr>
                <w:noProof/>
                <w:webHidden/>
              </w:rPr>
              <w:fldChar w:fldCharType="begin"/>
            </w:r>
            <w:r w:rsidR="00040C21">
              <w:rPr>
                <w:noProof/>
                <w:webHidden/>
              </w:rPr>
              <w:instrText xml:space="preserve"> PAGEREF _Toc56584460 \h </w:instrText>
            </w:r>
            <w:r w:rsidR="00040C21">
              <w:rPr>
                <w:noProof/>
                <w:webHidden/>
              </w:rPr>
            </w:r>
            <w:r w:rsidR="00040C21">
              <w:rPr>
                <w:noProof/>
                <w:webHidden/>
              </w:rPr>
              <w:fldChar w:fldCharType="separate"/>
            </w:r>
            <w:r w:rsidR="00040C21">
              <w:rPr>
                <w:noProof/>
                <w:webHidden/>
              </w:rPr>
              <w:t>14</w:t>
            </w:r>
            <w:r w:rsidR="00040C21">
              <w:rPr>
                <w:noProof/>
                <w:webHidden/>
              </w:rPr>
              <w:fldChar w:fldCharType="end"/>
            </w:r>
          </w:hyperlink>
        </w:p>
        <w:p w14:paraId="70A46F55" w14:textId="65FE0142" w:rsidR="00040C21" w:rsidRDefault="006E647E">
          <w:pPr>
            <w:pStyle w:val="Sommario2"/>
            <w:rPr>
              <w:rFonts w:eastAsiaTheme="minorEastAsia"/>
              <w:noProof/>
              <w:lang w:eastAsia="it-IT"/>
            </w:rPr>
          </w:pPr>
          <w:hyperlink w:anchor="_Toc56584461" w:history="1">
            <w:r w:rsidR="00040C21" w:rsidRPr="009552C9">
              <w:rPr>
                <w:rStyle w:val="Collegamentoipertestuale"/>
                <w:noProof/>
              </w:rPr>
              <w:t>4.</w:t>
            </w:r>
            <w:r w:rsidR="00040C21">
              <w:rPr>
                <w:rFonts w:eastAsiaTheme="minorEastAsia"/>
                <w:noProof/>
                <w:lang w:eastAsia="it-IT"/>
              </w:rPr>
              <w:tab/>
            </w:r>
            <w:r w:rsidR="00040C21" w:rsidRPr="009552C9">
              <w:rPr>
                <w:rStyle w:val="Collegamentoipertestuale"/>
                <w:noProof/>
              </w:rPr>
              <w:t>PARTE IV – UN FOCUS SULLE AZIENDE DEL MEZZOGIORNO</w:t>
            </w:r>
            <w:r w:rsidR="00040C21">
              <w:rPr>
                <w:noProof/>
                <w:webHidden/>
              </w:rPr>
              <w:tab/>
            </w:r>
            <w:r w:rsidR="00040C21">
              <w:rPr>
                <w:noProof/>
                <w:webHidden/>
              </w:rPr>
              <w:fldChar w:fldCharType="begin"/>
            </w:r>
            <w:r w:rsidR="00040C21">
              <w:rPr>
                <w:noProof/>
                <w:webHidden/>
              </w:rPr>
              <w:instrText xml:space="preserve"> PAGEREF _Toc56584461 \h </w:instrText>
            </w:r>
            <w:r w:rsidR="00040C21">
              <w:rPr>
                <w:noProof/>
                <w:webHidden/>
              </w:rPr>
            </w:r>
            <w:r w:rsidR="00040C21">
              <w:rPr>
                <w:noProof/>
                <w:webHidden/>
              </w:rPr>
              <w:fldChar w:fldCharType="separate"/>
            </w:r>
            <w:r w:rsidR="00040C21">
              <w:rPr>
                <w:noProof/>
                <w:webHidden/>
              </w:rPr>
              <w:t>15</w:t>
            </w:r>
            <w:r w:rsidR="00040C21">
              <w:rPr>
                <w:noProof/>
                <w:webHidden/>
              </w:rPr>
              <w:fldChar w:fldCharType="end"/>
            </w:r>
          </w:hyperlink>
        </w:p>
        <w:p w14:paraId="6F501134" w14:textId="22664317" w:rsidR="00040C21" w:rsidRDefault="006E647E">
          <w:pPr>
            <w:pStyle w:val="Sommario1"/>
            <w:rPr>
              <w:rFonts w:eastAsiaTheme="minorEastAsia"/>
              <w:noProof/>
              <w:lang w:eastAsia="it-IT"/>
            </w:rPr>
          </w:pPr>
          <w:hyperlink w:anchor="_Toc56584462" w:history="1">
            <w:r w:rsidR="00040C21" w:rsidRPr="009552C9">
              <w:rPr>
                <w:rStyle w:val="Collegamentoipertestuale"/>
                <w:noProof/>
              </w:rPr>
              <w:t>Riferimenti a documentazione utile</w:t>
            </w:r>
            <w:r w:rsidR="00040C21">
              <w:rPr>
                <w:noProof/>
                <w:webHidden/>
              </w:rPr>
              <w:tab/>
            </w:r>
            <w:r w:rsidR="00040C21">
              <w:rPr>
                <w:noProof/>
                <w:webHidden/>
              </w:rPr>
              <w:fldChar w:fldCharType="begin"/>
            </w:r>
            <w:r w:rsidR="00040C21">
              <w:rPr>
                <w:noProof/>
                <w:webHidden/>
              </w:rPr>
              <w:instrText xml:space="preserve"> PAGEREF _Toc56584462 \h </w:instrText>
            </w:r>
            <w:r w:rsidR="00040C21">
              <w:rPr>
                <w:noProof/>
                <w:webHidden/>
              </w:rPr>
            </w:r>
            <w:r w:rsidR="00040C21">
              <w:rPr>
                <w:noProof/>
                <w:webHidden/>
              </w:rPr>
              <w:fldChar w:fldCharType="separate"/>
            </w:r>
            <w:r w:rsidR="00040C21">
              <w:rPr>
                <w:noProof/>
                <w:webHidden/>
              </w:rPr>
              <w:t>19</w:t>
            </w:r>
            <w:r w:rsidR="00040C21">
              <w:rPr>
                <w:noProof/>
                <w:webHidden/>
              </w:rPr>
              <w:fldChar w:fldCharType="end"/>
            </w:r>
          </w:hyperlink>
        </w:p>
        <w:p w14:paraId="6DB0E582" w14:textId="4AAFD4A5" w:rsidR="00040C21" w:rsidRDefault="006E647E">
          <w:pPr>
            <w:pStyle w:val="Sommario2"/>
            <w:rPr>
              <w:rFonts w:eastAsiaTheme="minorEastAsia"/>
              <w:noProof/>
              <w:lang w:eastAsia="it-IT"/>
            </w:rPr>
          </w:pPr>
          <w:hyperlink w:anchor="_Toc56584463" w:history="1">
            <w:r w:rsidR="00040C21" w:rsidRPr="009552C9">
              <w:rPr>
                <w:rStyle w:val="Collegamentoipertestuale"/>
                <w:noProof/>
              </w:rPr>
              <w:t>Pubblicazioni</w:t>
            </w:r>
            <w:r w:rsidR="00040C21">
              <w:rPr>
                <w:noProof/>
                <w:webHidden/>
              </w:rPr>
              <w:tab/>
            </w:r>
            <w:r w:rsidR="00040C21">
              <w:rPr>
                <w:noProof/>
                <w:webHidden/>
              </w:rPr>
              <w:fldChar w:fldCharType="begin"/>
            </w:r>
            <w:r w:rsidR="00040C21">
              <w:rPr>
                <w:noProof/>
                <w:webHidden/>
              </w:rPr>
              <w:instrText xml:space="preserve"> PAGEREF _Toc56584463 \h </w:instrText>
            </w:r>
            <w:r w:rsidR="00040C21">
              <w:rPr>
                <w:noProof/>
                <w:webHidden/>
              </w:rPr>
            </w:r>
            <w:r w:rsidR="00040C21">
              <w:rPr>
                <w:noProof/>
                <w:webHidden/>
              </w:rPr>
              <w:fldChar w:fldCharType="separate"/>
            </w:r>
            <w:r w:rsidR="00040C21">
              <w:rPr>
                <w:noProof/>
                <w:webHidden/>
              </w:rPr>
              <w:t>19</w:t>
            </w:r>
            <w:r w:rsidR="00040C21">
              <w:rPr>
                <w:noProof/>
                <w:webHidden/>
              </w:rPr>
              <w:fldChar w:fldCharType="end"/>
            </w:r>
          </w:hyperlink>
        </w:p>
        <w:p w14:paraId="5DE91693" w14:textId="3661A28A" w:rsidR="00225920" w:rsidRDefault="00225920">
          <w:r>
            <w:rPr>
              <w:b/>
              <w:bCs/>
            </w:rPr>
            <w:fldChar w:fldCharType="end"/>
          </w:r>
        </w:p>
      </w:sdtContent>
    </w:sdt>
    <w:p w14:paraId="648D52E7" w14:textId="27F52AF9" w:rsidR="00D658F6" w:rsidRPr="00601D0C" w:rsidRDefault="00D658F6" w:rsidP="004B50F9">
      <w:pPr>
        <w:spacing w:before="120" w:after="0"/>
      </w:pPr>
    </w:p>
    <w:p w14:paraId="5DD6EB57" w14:textId="190F5674" w:rsidR="00601D0C" w:rsidRDefault="00601D0C" w:rsidP="00601D0C">
      <w:pPr>
        <w:spacing w:before="120" w:after="0"/>
      </w:pPr>
    </w:p>
    <w:p w14:paraId="0DF6C6DA" w14:textId="6E5CACFA" w:rsidR="00D94CBA" w:rsidRDefault="00BF33A8" w:rsidP="004317FB">
      <w:pPr>
        <w:pStyle w:val="Fontetabellagrafico"/>
        <w:spacing w:before="60"/>
      </w:pPr>
      <w:r>
        <w:rPr>
          <w:sz w:val="20"/>
          <w:szCs w:val="20"/>
        </w:rPr>
        <w:t>a.</w:t>
      </w:r>
      <w:r w:rsidR="00D94CBA">
        <w:br w:type="page"/>
      </w:r>
    </w:p>
    <w:p w14:paraId="124C161E" w14:textId="77777777" w:rsidR="004F5BCE" w:rsidRPr="004F5BCE" w:rsidRDefault="004F5BCE" w:rsidP="004F5BCE">
      <w:pPr>
        <w:rPr>
          <w:color w:val="000000" w:themeColor="text1"/>
        </w:rPr>
      </w:pPr>
    </w:p>
    <w:p w14:paraId="43F7EC94" w14:textId="2F4D87BC" w:rsidR="004F5BCE" w:rsidRDefault="00470F06" w:rsidP="00470F06">
      <w:pPr>
        <w:pStyle w:val="Titolo2"/>
        <w:numPr>
          <w:ilvl w:val="0"/>
          <w:numId w:val="1"/>
        </w:numPr>
      </w:pPr>
      <w:bookmarkStart w:id="0" w:name="_Toc56584452"/>
      <w:r>
        <w:t xml:space="preserve">PARTE I - </w:t>
      </w:r>
      <w:r w:rsidRPr="004F5BCE">
        <w:t>L’IMPIANTO NORMATIVO DELLE MISURE DI GESTIONE DEL RISCHIO E LE SINERGIE TRA FONDI COMUNITARI E FONDI NAZIONALI</w:t>
      </w:r>
      <w:bookmarkEnd w:id="0"/>
      <w:r w:rsidR="004F5BCE" w:rsidRPr="004F5BCE">
        <w:t xml:space="preserve"> </w:t>
      </w:r>
      <w:r>
        <w:t xml:space="preserve">  </w:t>
      </w:r>
    </w:p>
    <w:p w14:paraId="4C5D0A51" w14:textId="77777777" w:rsidR="00470F06" w:rsidRPr="00470F06" w:rsidRDefault="00470F06" w:rsidP="00470F06"/>
    <w:p w14:paraId="193BBA77" w14:textId="77777777" w:rsidR="004F5BCE" w:rsidRPr="004F5BCE" w:rsidRDefault="004F5BCE" w:rsidP="004F5BCE">
      <w:pPr>
        <w:rPr>
          <w:rFonts w:cstheme="minorHAnsi"/>
          <w:b/>
        </w:rPr>
      </w:pPr>
      <w:r w:rsidRPr="004F5BCE">
        <w:rPr>
          <w:rFonts w:cstheme="minorHAnsi"/>
        </w:rPr>
        <w:t>Il sistema di gestione del rischio in agricoltura vanta in Italia una tradizione di lungo corso e ad oggi si caratterizza per un’architettura particolarmente articolata che prevede l’impiego congiunto di strumenti finanziati nell’ambito di programmi di sostegno comunitari e di strumenti sovvenzionati esclusivamente con risorse nazionali.</w:t>
      </w:r>
    </w:p>
    <w:p w14:paraId="236D32C3" w14:textId="77777777" w:rsidR="004F5BCE" w:rsidRPr="00CA7719" w:rsidRDefault="004F5BCE" w:rsidP="004F5BCE">
      <w:pPr>
        <w:pStyle w:val="Paragrafoelenco"/>
        <w:rPr>
          <w:rFonts w:asciiTheme="majorHAnsi" w:hAnsiTheme="majorHAnsi" w:cstheme="majorHAnsi"/>
          <w:b/>
        </w:rPr>
      </w:pPr>
    </w:p>
    <w:p w14:paraId="2F4119EA" w14:textId="42C1F565" w:rsidR="004F5BCE" w:rsidRPr="00CA7719" w:rsidRDefault="004F5BCE" w:rsidP="004F5BCE">
      <w:pPr>
        <w:pStyle w:val="Titolo3"/>
      </w:pPr>
      <w:bookmarkStart w:id="1" w:name="_Toc56584453"/>
      <w:r>
        <w:t xml:space="preserve">1.1 </w:t>
      </w:r>
      <w:r w:rsidRPr="00CA7719">
        <w:t xml:space="preserve">La gestione del rischio nel quadro delle politiche agricole </w:t>
      </w:r>
      <w:proofErr w:type="spellStart"/>
      <w:r w:rsidRPr="00CA7719">
        <w:t>unionali</w:t>
      </w:r>
      <w:proofErr w:type="spellEnd"/>
      <w:r w:rsidRPr="00CA7719">
        <w:t xml:space="preserve"> </w:t>
      </w:r>
      <w:r>
        <w:t>(Sviluppo Rurale e OCM)</w:t>
      </w:r>
      <w:bookmarkEnd w:id="1"/>
    </w:p>
    <w:p w14:paraId="6F8BECE3" w14:textId="77777777" w:rsidR="004F5BCE" w:rsidRPr="004F5BCE" w:rsidRDefault="004F5BCE" w:rsidP="004F5BCE">
      <w:pPr>
        <w:contextualSpacing/>
        <w:rPr>
          <w:rFonts w:cstheme="minorHAnsi"/>
        </w:rPr>
      </w:pPr>
      <w:r w:rsidRPr="004F5BCE">
        <w:rPr>
          <w:rFonts w:cstheme="minorHAnsi"/>
        </w:rPr>
        <w:t xml:space="preserve">Sul fronte degli strumenti di </w:t>
      </w:r>
      <w:r w:rsidRPr="004F5BCE">
        <w:rPr>
          <w:rFonts w:cstheme="minorHAnsi"/>
          <w:i/>
        </w:rPr>
        <w:t>risk management</w:t>
      </w:r>
      <w:r w:rsidRPr="004F5BCE">
        <w:rPr>
          <w:rFonts w:cstheme="minorHAnsi"/>
        </w:rPr>
        <w:t xml:space="preserve"> finanziati nell’ambito delle politiche di sviluppo rurale, l’attuale impianto normativo poggia sull’articolo 36 del regolamento (UE) n. 1305/2013, modificato dal regolamento (UE) 2017/2393, che ha introdotto la misura 17 di gestione del rischio in agricoltura, individuando tre strumenti e altrettante </w:t>
      </w:r>
      <w:proofErr w:type="spellStart"/>
      <w:r w:rsidRPr="004F5BCE">
        <w:rPr>
          <w:rFonts w:cstheme="minorHAnsi"/>
        </w:rPr>
        <w:t>sottomisure</w:t>
      </w:r>
      <w:proofErr w:type="spellEnd"/>
      <w:r w:rsidRPr="004F5BCE">
        <w:rPr>
          <w:rFonts w:cstheme="minorHAnsi"/>
        </w:rPr>
        <w:t>, normate rispettivamente dagli articoli 37, 38 e 39-39bis. Si tratta nello specifico di:</w:t>
      </w:r>
    </w:p>
    <w:p w14:paraId="660BBA39" w14:textId="75C93EAE" w:rsidR="004F5BCE" w:rsidRPr="002A1691" w:rsidRDefault="004F5BCE" w:rsidP="002A1691">
      <w:pPr>
        <w:pStyle w:val="Paragrafoelenco"/>
        <w:numPr>
          <w:ilvl w:val="0"/>
          <w:numId w:val="23"/>
        </w:numPr>
        <w:spacing w:before="240"/>
        <w:rPr>
          <w:rFonts w:cstheme="minorHAnsi"/>
        </w:rPr>
      </w:pPr>
      <w:r w:rsidRPr="002A1691">
        <w:rPr>
          <w:rFonts w:cstheme="minorHAnsi"/>
        </w:rPr>
        <w:t>assicurazioni del raccolto, degli animali e delle piante, contro i rischi di perdite economiche causate da avversità atmosferiche, da epizoozie o fitopatie, da infestazioni parassitarie o dal verificarsi di un’emergenza ambientale (sottomisura 17.1);</w:t>
      </w:r>
    </w:p>
    <w:p w14:paraId="6AF3FCFD" w14:textId="10E7E471" w:rsidR="004F5BCE" w:rsidRPr="002A1691" w:rsidRDefault="004F5BCE" w:rsidP="002A1691">
      <w:pPr>
        <w:pStyle w:val="Paragrafoelenco"/>
        <w:numPr>
          <w:ilvl w:val="0"/>
          <w:numId w:val="23"/>
        </w:numPr>
        <w:spacing w:before="240"/>
        <w:rPr>
          <w:rFonts w:cstheme="minorHAnsi"/>
        </w:rPr>
      </w:pPr>
      <w:r w:rsidRPr="002A1691">
        <w:rPr>
          <w:rFonts w:cstheme="minorHAnsi"/>
        </w:rPr>
        <w:t>fondi di mutualizzazione, per il pagamento di compensazioni agli agricoltori in caso di perdite economiche determinate dalle stesse cause di cui al punto a) (sottomisura 17.2);</w:t>
      </w:r>
    </w:p>
    <w:p w14:paraId="2D3D5F69" w14:textId="77777777" w:rsidR="004F5BCE" w:rsidRPr="002A1691" w:rsidRDefault="004F5BCE" w:rsidP="002A1691">
      <w:pPr>
        <w:pStyle w:val="Paragrafoelenco"/>
        <w:numPr>
          <w:ilvl w:val="0"/>
          <w:numId w:val="23"/>
        </w:numPr>
        <w:spacing w:before="120"/>
        <w:rPr>
          <w:rFonts w:cstheme="minorHAnsi"/>
        </w:rPr>
      </w:pPr>
      <w:r w:rsidRPr="002A1691">
        <w:rPr>
          <w:rFonts w:cstheme="minorHAnsi"/>
        </w:rPr>
        <w:t xml:space="preserve">c-d) strumento per la stabilizzazione del reddito (IST) e per la stabilizzazione del reddito settoriale (IST settoriale), per il pagamento di compensazioni agli agricoltori a fronte di un drastico calo di reddito (sottomisura 17.3). </w:t>
      </w:r>
    </w:p>
    <w:p w14:paraId="26820F65" w14:textId="77777777" w:rsidR="004F5BCE" w:rsidRPr="004F5BCE" w:rsidRDefault="004F5BCE" w:rsidP="004F5BCE">
      <w:pPr>
        <w:spacing w:before="120"/>
        <w:rPr>
          <w:rFonts w:cstheme="minorHAnsi"/>
        </w:rPr>
      </w:pPr>
      <w:r w:rsidRPr="004F5BCE">
        <w:rPr>
          <w:rFonts w:cstheme="minorHAnsi"/>
        </w:rPr>
        <w:t xml:space="preserve">La misura 17 “Gestione del rischio” è stata attivata a livello nazionale con il Programma di sviluppo rurale nazionale (PSRN) 2014-2020, che ha puntato a rafforzare e modernizzare lo strumento delle polizze assicurative agevolate (sottomisura 17.1) e a incentivare l’attivazione di strumenti di </w:t>
      </w:r>
      <w:r w:rsidRPr="004F5BCE">
        <w:rPr>
          <w:rFonts w:cstheme="minorHAnsi"/>
          <w:i/>
        </w:rPr>
        <w:t>risk management</w:t>
      </w:r>
      <w:r w:rsidRPr="004F5BCE">
        <w:rPr>
          <w:rFonts w:cstheme="minorHAnsi"/>
        </w:rPr>
        <w:t xml:space="preserve"> alternativi o complementari alle polizze assicurative tradizionali (i fondi di mutualizzazione e IST relativi alle </w:t>
      </w:r>
      <w:proofErr w:type="spellStart"/>
      <w:r w:rsidRPr="004F5BCE">
        <w:rPr>
          <w:rFonts w:cstheme="minorHAnsi"/>
        </w:rPr>
        <w:t>sottomisure</w:t>
      </w:r>
      <w:proofErr w:type="spellEnd"/>
      <w:r w:rsidRPr="004F5BCE">
        <w:rPr>
          <w:rFonts w:cstheme="minorHAnsi"/>
        </w:rPr>
        <w:t xml:space="preserve"> 17.2 e 17.3), con l’obiettivo di ampliare la gamma degli strumenti di protezione a disposizione degli agricoltori. Le modalità di attuazione operativa dei diversi strumenti di gestione del rischio sono annualmente definite nel Piano di gestione dei rischi in agricoltura (PGRA), emanato con decreto del Ministero delle politiche agricole alimentari e forestali. Con l’ultima versione vigente del Piano (2020), sono stati attivati tutti gli strumenti di gestione del rischio previsti dal PSRN 2014-2020, limitando tuttavia l’azione dei fondi per la stabilizzazione del reddito ai soli IST settoriali</w:t>
      </w:r>
      <w:r w:rsidRPr="004F5BCE">
        <w:rPr>
          <w:rFonts w:cstheme="minorHAnsi"/>
        </w:rPr>
        <w:footnoteReference w:id="1"/>
      </w:r>
      <w:r w:rsidRPr="004F5BCE">
        <w:rPr>
          <w:rFonts w:cstheme="minorHAnsi"/>
        </w:rPr>
        <w:t>.</w:t>
      </w:r>
    </w:p>
    <w:p w14:paraId="66955DC5" w14:textId="77777777" w:rsidR="004F5BCE" w:rsidRPr="004F5BCE" w:rsidRDefault="004F5BCE" w:rsidP="004F5BCE">
      <w:pPr>
        <w:spacing w:before="120"/>
        <w:rPr>
          <w:rFonts w:cstheme="minorHAnsi"/>
        </w:rPr>
      </w:pPr>
      <w:r w:rsidRPr="004F5BCE">
        <w:rPr>
          <w:rFonts w:cstheme="minorHAnsi"/>
        </w:rPr>
        <w:t xml:space="preserve">Sempre nell’ambito delle misure finanziate con fondi del secondo pilastro della PAC, alle politiche gestite a livello nazionale si affiancano anche le misure riconducibili alla gestione del rischio attivate nei PSR regionali. Rientrano tra queste le misure che concorrono alla Focus Area 3b – “sostenere la prevenzione e la gestione dei rischi aziendali”. Si tratta in particolare della misura 5 prevista dall’articolo 18 del regolamento (UE) n. 1305/2013 sul sostegno allo sviluppo rurale, finalizzata a sostenere investimenti per il ripristino del potenziale produttivo agricolo danneggiato da calamità naturali, avversità atmosferiche ed eventi catastrofici e spese per interventi di prevenzione (che nel settore forestale ha un corrispettivo nelle </w:t>
      </w:r>
      <w:proofErr w:type="spellStart"/>
      <w:r w:rsidRPr="004F5BCE">
        <w:rPr>
          <w:rFonts w:cstheme="minorHAnsi"/>
        </w:rPr>
        <w:t>sottomisure</w:t>
      </w:r>
      <w:proofErr w:type="spellEnd"/>
      <w:r w:rsidRPr="004F5BCE">
        <w:rPr>
          <w:rFonts w:cstheme="minorHAnsi"/>
        </w:rPr>
        <w:t xml:space="preserve"> 8.3 “Sostegno alla prevenzione dei danni arrecati alle foreste da incendi, calamità naturali ed eventi catastrofici” e 8.4 “Sostegno al ripristino delle foreste danneggiate da incendi, calamità naturali ed eventi catastrofici”, previste dall’articolo 24 del regolamento (UE) n. 1305/2013), della misura 16 “Cooperazione” e delle misure </w:t>
      </w:r>
      <w:r w:rsidRPr="004F5BCE">
        <w:rPr>
          <w:rFonts w:cstheme="minorHAnsi"/>
        </w:rPr>
        <w:lastRenderedPageBreak/>
        <w:t xml:space="preserve">trasversali 1 “Trasferimento di conoscenze e azioni di informazione” e 2 “Servizi di consulenza”. La gestione del rischio si incardina poi anche tra gli interventi del primo pilastro della PAC, in continuità con la precedente programmazione, e specificamente nel regolamento (UE) n. 1308/2013 sull’organizzazione comune dei mercati (OCM) dei prodotti agricoli, che prevede misure ad hoc di sostegno nei settori vitivinicolo e ortofrutticolo. Nell’arco della programmazione 2014-2020, tuttavia, i fondi OCM sono stati solo parzialmente coinvolti nel sostegno alle misure di gestione del rischio. La misura dell’assicurazione sulle uve da vino, infatti, è stata storicamente finanziata in ambito OCM con lo stanziamento di apposite risorse all’interno del Programma nazionale di sostegno del vino. Poiché, tuttavia, il fabbisogno finanziario del settore, relativamente alle coperture assicurative, si è attestato su livelli sempre nettamente superiori rispetto alle dotazioni disponibili sul primo pilastro, sin dall’inizio della programmazione 2014-2020 lo sviluppo rurale è intervenuto per integrare le provviste, finanziando le eccedenze tramite risorse FEASR. Con il Piano di gestione dei rischi 2019, tuttavia, anche al fine di evitare le complessità gestionali derivanti dalla necessità di coordinare le diverse soglie di danno e di contribuzione previste dall’OCM e dal nuovo regolamento “Omnibus” (regolamento (UE) 2017/2393), è stato sancito il definitivo passaggio delle assicurazioni agevolate per le uve da vino integralmente sul secondo pilastro, in ambito FEASR. </w:t>
      </w:r>
    </w:p>
    <w:p w14:paraId="0B3B44BB" w14:textId="77777777" w:rsidR="004F5BCE" w:rsidRPr="004F5BCE" w:rsidRDefault="004F5BCE" w:rsidP="004F5BCE">
      <w:pPr>
        <w:spacing w:before="120"/>
        <w:rPr>
          <w:rFonts w:cstheme="minorHAnsi"/>
        </w:rPr>
      </w:pPr>
      <w:r w:rsidRPr="004F5BCE">
        <w:rPr>
          <w:rFonts w:cstheme="minorHAnsi"/>
        </w:rPr>
        <w:t xml:space="preserve">Per quanto riguarda invece il comparto ortofrutticolo, le scelte di politica nazionale hanno portato ad attivare, solo a partire dal 2018, il sostegno alle assicurazioni del raccolto anche in ambito OCM, in sinergia con le misure dello sviluppo rurale. L’azione 3 della Strategia nazionale (Strategia nazionale OCM – Ortofrutta 2018-2020) ha infatti introdotto il sostegno alle polizze stipulate dalle Organizzazioni dei produttori (OP) per la parziale copertura delle perdite commerciali conseguenti a calamità naturali, avversità atmosferiche, fitopatie e infestazioni parassitarie. La demarcazione tra fondi OCM e fondi dello sviluppo rurale e l’assenza del doppio finanziamento sono garantite sulla base dell’oggetto dell’assicurazione. L’OCM può finanziare le polizze stipulate dalle OP per il risarcimento delle perdite commerciali dalle stesse subite in conseguenza di calamità naturali, avversità atmosferiche, fitopatie o infestazioni parassitarie, mentre nell’ambito dello sviluppo rurale sono finanziate le tradizionali polizze assicurative sul raccolto stipulate dai produttori ortofrutticoli. </w:t>
      </w:r>
    </w:p>
    <w:p w14:paraId="7BC87E91" w14:textId="2541FA38" w:rsidR="004F5BCE" w:rsidRDefault="004F5BCE" w:rsidP="004F5BCE">
      <w:pPr>
        <w:spacing w:before="240"/>
        <w:rPr>
          <w:rFonts w:cstheme="minorHAnsi"/>
        </w:rPr>
      </w:pPr>
      <w:r w:rsidRPr="004F5BCE">
        <w:rPr>
          <w:rFonts w:cstheme="minorHAnsi"/>
        </w:rPr>
        <w:t xml:space="preserve">Il Sistema integrato di gestione del rischio (SGR), istituito con il decreto ministeriale n. 162 del 12 gennaio 2015 sulla semplificazione della gestione della PAC 2014-2020 (articolo 11), nell’ambito del Sistema informativo agricolo nazionale (SIAN), garantisce, anche con l’incrocio dei dati delle polizze/certificati e dei Piani assicurativi individuali (PAI) sottoscritti dagli agricoltori, il rispetto della regola del “no double funding” e l’assenza di </w:t>
      </w:r>
      <w:proofErr w:type="spellStart"/>
      <w:r w:rsidRPr="004F5BCE">
        <w:rPr>
          <w:rFonts w:cstheme="minorHAnsi"/>
        </w:rPr>
        <w:t>sovracompensazioni</w:t>
      </w:r>
      <w:proofErr w:type="spellEnd"/>
      <w:r w:rsidRPr="004F5BCE">
        <w:rPr>
          <w:rFonts w:cstheme="minorHAnsi"/>
        </w:rPr>
        <w:t xml:space="preserve"> e doppi finanziamenti attraverso l’interscambio dei dati assicurativi relativi all’OCM e al PSRN. </w:t>
      </w:r>
    </w:p>
    <w:p w14:paraId="6F28FB80" w14:textId="77777777" w:rsidR="00CD2E02" w:rsidRPr="004F5BCE" w:rsidRDefault="00CD2E02" w:rsidP="004F5BCE">
      <w:pPr>
        <w:spacing w:before="240"/>
        <w:rPr>
          <w:rFonts w:cstheme="minorHAnsi"/>
        </w:rPr>
      </w:pPr>
    </w:p>
    <w:p w14:paraId="55AC6933" w14:textId="77777777" w:rsidR="004F5BCE" w:rsidRPr="004F5BCE" w:rsidRDefault="004F5BCE" w:rsidP="004F5BCE">
      <w:pPr>
        <w:pStyle w:val="Titolo3"/>
      </w:pPr>
      <w:bookmarkStart w:id="2" w:name="_Toc56584454"/>
      <w:r w:rsidRPr="004F5BCE">
        <w:t>1.2 Le misure di gestione del rischio finanziate con fondi nazionali</w:t>
      </w:r>
      <w:bookmarkEnd w:id="2"/>
      <w:r w:rsidRPr="004F5BCE">
        <w:t xml:space="preserve"> </w:t>
      </w:r>
    </w:p>
    <w:p w14:paraId="524CB25A" w14:textId="77777777" w:rsidR="004F5BCE" w:rsidRPr="004F5BCE" w:rsidRDefault="004F5BCE" w:rsidP="004F5BCE">
      <w:pPr>
        <w:spacing w:before="240"/>
        <w:ind w:left="708"/>
        <w:rPr>
          <w:rFonts w:cstheme="minorHAnsi"/>
        </w:rPr>
      </w:pPr>
      <w:r w:rsidRPr="004F5BCE">
        <w:rPr>
          <w:rFonts w:cstheme="minorHAnsi"/>
        </w:rPr>
        <w:t xml:space="preserve">A) Il decreto legislativo 102/2004 (Fondo di solidarietà nazionale) </w:t>
      </w:r>
    </w:p>
    <w:p w14:paraId="636304F4" w14:textId="77777777" w:rsidR="004F5BCE" w:rsidRPr="004F5BCE" w:rsidRDefault="004F5BCE" w:rsidP="004F5BCE">
      <w:pPr>
        <w:spacing w:before="240"/>
        <w:rPr>
          <w:rFonts w:cstheme="minorHAnsi"/>
        </w:rPr>
      </w:pPr>
      <w:r w:rsidRPr="004F5BCE">
        <w:rPr>
          <w:rFonts w:cstheme="minorHAnsi"/>
        </w:rPr>
        <w:t>Oltre alle misure cofinanziate dall’Unione europea, restano attivi alcuni interventi nazionali a sostegno della gestione del rischio. In particolare, il Fondo di solidarietà nazionale (FSN), istituito con la legge n. 364 del 25 maggio 1970 e attualmente disciplinato dal D.lgs. n. 102/2004, come modificato D.lgs. n. 32/2018, continua a finanziare sia i contributi sulle polizze assicurative contro i danni alle strutture aziendali e per lo smaltimento delle carcasse animali (interventi ex ante) sia quelli sulle spese sostenute dalle imprese agricole per il ripristino dell’attività produttiva (interventi compensativi o ex post) a seguito di danni a produzioni, strutture, infrastrutture e impianti, purché non causati da eventi previsti dal Piano di gestione dei rischi in agricoltura.</w:t>
      </w:r>
    </w:p>
    <w:p w14:paraId="68C1F1CF" w14:textId="77777777" w:rsidR="004F5BCE" w:rsidRPr="004F5BCE" w:rsidRDefault="004F5BCE" w:rsidP="004F5BCE">
      <w:pPr>
        <w:spacing w:before="240"/>
        <w:rPr>
          <w:rFonts w:cstheme="minorHAnsi"/>
        </w:rPr>
      </w:pPr>
      <w:r w:rsidRPr="004F5BCE">
        <w:rPr>
          <w:rFonts w:cstheme="minorHAnsi"/>
        </w:rPr>
        <w:t xml:space="preserve">A valere sulle risorse del FSN sono erogati anche i contributi sui premi assicurativi versati dagli agricoltori per la sottoscrizione delle polizze agricole c.d. “sperimentali”, vale a dire per le polizze </w:t>
      </w:r>
      <w:r w:rsidRPr="004F5BCE">
        <w:rPr>
          <w:rFonts w:cstheme="minorHAnsi"/>
          <w:i/>
        </w:rPr>
        <w:t xml:space="preserve">index </w:t>
      </w:r>
      <w:proofErr w:type="spellStart"/>
      <w:r w:rsidRPr="004F5BCE">
        <w:rPr>
          <w:rFonts w:cstheme="minorHAnsi"/>
          <w:i/>
        </w:rPr>
        <w:t>based</w:t>
      </w:r>
      <w:proofErr w:type="spellEnd"/>
      <w:r w:rsidRPr="004F5BCE">
        <w:rPr>
          <w:rFonts w:cstheme="minorHAnsi"/>
        </w:rPr>
        <w:t xml:space="preserve"> e le polizze ricavo per il frumento duro e tenero.</w:t>
      </w:r>
    </w:p>
    <w:p w14:paraId="66B07D16" w14:textId="77777777" w:rsidR="002A1691" w:rsidRDefault="002A1691" w:rsidP="004F5BCE">
      <w:pPr>
        <w:spacing w:before="240"/>
        <w:ind w:left="708"/>
        <w:rPr>
          <w:rFonts w:cstheme="minorHAnsi"/>
        </w:rPr>
      </w:pPr>
    </w:p>
    <w:p w14:paraId="0AF2330A" w14:textId="77777777" w:rsidR="002A1691" w:rsidRDefault="002A1691" w:rsidP="004F5BCE">
      <w:pPr>
        <w:spacing w:before="240"/>
        <w:ind w:left="708"/>
        <w:rPr>
          <w:rFonts w:cstheme="minorHAnsi"/>
        </w:rPr>
      </w:pPr>
    </w:p>
    <w:p w14:paraId="736684FD" w14:textId="1BBBB3EC" w:rsidR="004F5BCE" w:rsidRPr="004F5BCE" w:rsidRDefault="004F5BCE" w:rsidP="004F5BCE">
      <w:pPr>
        <w:spacing w:before="240"/>
        <w:ind w:left="708"/>
        <w:rPr>
          <w:rFonts w:cstheme="minorHAnsi"/>
        </w:rPr>
      </w:pPr>
      <w:r w:rsidRPr="004F5BCE">
        <w:rPr>
          <w:rFonts w:cstheme="minorHAnsi"/>
        </w:rPr>
        <w:t xml:space="preserve">B) Il Fondo per la riassicurazione dei rischi agricoli </w:t>
      </w:r>
    </w:p>
    <w:p w14:paraId="3F08C23D" w14:textId="01B2300B" w:rsidR="004F5BCE" w:rsidRDefault="004F5BCE" w:rsidP="004F5BCE">
      <w:pPr>
        <w:spacing w:before="240"/>
        <w:rPr>
          <w:rFonts w:cstheme="minorHAnsi"/>
        </w:rPr>
      </w:pPr>
      <w:r w:rsidRPr="004F5BCE">
        <w:rPr>
          <w:rFonts w:cstheme="minorHAnsi"/>
        </w:rPr>
        <w:t xml:space="preserve">L’articolo 127 della legge n. 388 del 2000 ha istituito presso l’Istituto di Servizi per il Mercato Agricolo Alimentare (ISMEA) il Fondo per la riassicurazione dei rischi agricoli al fine di promuovere la sperimentazione e la diffusione di nuovi strumenti assicurativi. Il Fondo, le cui modalità operative di intervento sono definite dai decreti del Ministro delle Politiche Agricole Alimentari e Forestali del 7 novembre 2002 (regolamento) e del 27 febbraio 2008 (piano riassicurativo), provvede alla compensazione dei rischi agricoli coperti da polizze assicurative </w:t>
      </w:r>
      <w:proofErr w:type="spellStart"/>
      <w:r w:rsidRPr="004F5BCE">
        <w:rPr>
          <w:rFonts w:cstheme="minorHAnsi"/>
        </w:rPr>
        <w:t>pluri</w:t>
      </w:r>
      <w:proofErr w:type="spellEnd"/>
      <w:r w:rsidRPr="004F5BCE">
        <w:rPr>
          <w:rFonts w:cstheme="minorHAnsi"/>
        </w:rPr>
        <w:t xml:space="preserve"> e multirischio agevolate, vale a dire con contributo pubblico su una quota della spesa premi. In linea generale, il vantaggio derivante dall’attivazione del fondo riassicurativo consiste in una maggiore disponibilità per le imprese agricole di strumenti innovativi di copertura, strumenti che le compagnie assicurative, in assenza di ricopertura dei rischi (assicurazione di secondo grado), non sarebbero in grado di proporre sul mercato, se non a fronte di premi molto elevati. Al fine di potenziare gli effetti dell’attività del Fondo in una prospettiva di partnership pubblico-privato, nel 2007 è stato costituito il Consorzio italiano di </w:t>
      </w:r>
      <w:proofErr w:type="spellStart"/>
      <w:r w:rsidRPr="004F5BCE">
        <w:rPr>
          <w:rFonts w:cstheme="minorHAnsi"/>
        </w:rPr>
        <w:t>coriassicurazione</w:t>
      </w:r>
      <w:proofErr w:type="spellEnd"/>
      <w:r w:rsidRPr="004F5BCE">
        <w:rPr>
          <w:rFonts w:cstheme="minorHAnsi"/>
        </w:rPr>
        <w:t xml:space="preserve"> contro le calamità naturali in agricoltura. Possono farne parte, oltre al Fondo, tutte le compagnie italiane ed estere regolarmente autorizzate ad esercitare l’assicurazione o la riassicurazione sui rischi agricoli in Italia. </w:t>
      </w:r>
    </w:p>
    <w:p w14:paraId="2BE9B4B8" w14:textId="77777777" w:rsidR="004F5BCE" w:rsidRDefault="004F5BCE" w:rsidP="004F5BCE">
      <w:pPr>
        <w:spacing w:before="240"/>
        <w:rPr>
          <w:rFonts w:cstheme="minorHAnsi"/>
        </w:rPr>
      </w:pPr>
    </w:p>
    <w:p w14:paraId="2FF268FB" w14:textId="15B4CCE1" w:rsidR="004F5BCE" w:rsidRDefault="004F5BCE" w:rsidP="004F5BCE">
      <w:pPr>
        <w:pStyle w:val="Titolotab-grafReport"/>
        <w:numPr>
          <w:ilvl w:val="0"/>
          <w:numId w:val="0"/>
        </w:numPr>
        <w:spacing w:after="120"/>
      </w:pPr>
      <w:r w:rsidRPr="00BC5327">
        <w:t xml:space="preserve">Tabella </w:t>
      </w:r>
      <w:proofErr w:type="gramStart"/>
      <w:r w:rsidRPr="00BC5327">
        <w:t>1.</w:t>
      </w:r>
      <w:r w:rsidR="00BC5327">
        <w:t>1</w:t>
      </w:r>
      <w:r w:rsidRPr="00BC5327">
        <w:t xml:space="preserve">  Numero</w:t>
      </w:r>
      <w:proofErr w:type="gramEnd"/>
      <w:r w:rsidRPr="00BC5327">
        <w:t xml:space="preserve"> di aziende agricole, silvicole e della pesca registrate nel registro delle imprese (valori assoluti, anni 2010 e 2018)</w:t>
      </w:r>
    </w:p>
    <w:p w14:paraId="4E108064" w14:textId="77777777" w:rsidR="004F5BCE" w:rsidRPr="004F5BCE" w:rsidRDefault="004F5BCE" w:rsidP="00BC5327">
      <w:pPr>
        <w:spacing w:before="240"/>
        <w:jc w:val="left"/>
        <w:rPr>
          <w:rFonts w:cstheme="minorHAnsi"/>
        </w:rPr>
      </w:pPr>
      <w:r w:rsidRPr="004F5BCE">
        <w:rPr>
          <w:rFonts w:cstheme="minorHAnsi"/>
          <w:noProof/>
          <w:lang w:eastAsia="it-IT"/>
        </w:rPr>
        <w:drawing>
          <wp:inline distT="0" distB="0" distL="0" distR="0" wp14:anchorId="6A1A5B2F" wp14:editId="102918A2">
            <wp:extent cx="4781550" cy="4260850"/>
            <wp:effectExtent l="0" t="0" r="0" b="635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1550" cy="4260850"/>
                    </a:xfrm>
                    <a:prstGeom prst="rect">
                      <a:avLst/>
                    </a:prstGeom>
                    <a:noFill/>
                    <a:ln>
                      <a:noFill/>
                    </a:ln>
                  </pic:spPr>
                </pic:pic>
              </a:graphicData>
            </a:graphic>
          </wp:inline>
        </w:drawing>
      </w:r>
    </w:p>
    <w:p w14:paraId="64F67188" w14:textId="3FC6BC74" w:rsidR="00D47324" w:rsidRDefault="00D47324" w:rsidP="005064A5">
      <w:pPr>
        <w:pStyle w:val="Fontetab-grafReport"/>
      </w:pPr>
    </w:p>
    <w:p w14:paraId="67ED3795" w14:textId="77777777" w:rsidR="004F5BCE" w:rsidRDefault="004F5BCE" w:rsidP="005064A5">
      <w:pPr>
        <w:pStyle w:val="Fontetab-grafReport"/>
      </w:pPr>
      <w:r>
        <w:br w:type="page"/>
      </w:r>
    </w:p>
    <w:p w14:paraId="07FED460" w14:textId="1ADC7E34" w:rsidR="00BC262C" w:rsidRDefault="00EC42BB" w:rsidP="00C72724">
      <w:pPr>
        <w:pStyle w:val="Titolotab-grafReport"/>
        <w:numPr>
          <w:ilvl w:val="0"/>
          <w:numId w:val="0"/>
        </w:numPr>
        <w:spacing w:after="120"/>
      </w:pPr>
      <w:r w:rsidRPr="00BC5327">
        <w:lastRenderedPageBreak/>
        <w:t xml:space="preserve">Tabella </w:t>
      </w:r>
      <w:proofErr w:type="gramStart"/>
      <w:r w:rsidR="00C758B8" w:rsidRPr="00BC5327">
        <w:t>1.</w:t>
      </w:r>
      <w:r w:rsidR="00BC5327">
        <w:t>2</w:t>
      </w:r>
      <w:r w:rsidR="00C758B8" w:rsidRPr="00BC5327">
        <w:t xml:space="preserve"> </w:t>
      </w:r>
      <w:r w:rsidRPr="00BC5327">
        <w:t xml:space="preserve"> </w:t>
      </w:r>
      <w:r w:rsidR="00E3527B" w:rsidRPr="00BC5327">
        <w:t>Numero</w:t>
      </w:r>
      <w:proofErr w:type="gramEnd"/>
      <w:r w:rsidR="00E3527B" w:rsidRPr="00BC5327">
        <w:t xml:space="preserve"> di aziende agricole, silvicole e della pesca </w:t>
      </w:r>
      <w:r w:rsidR="00BC262C" w:rsidRPr="00BC5327">
        <w:t>registrate</w:t>
      </w:r>
      <w:r w:rsidR="00E3527B" w:rsidRPr="00BC5327">
        <w:t xml:space="preserve"> nel registro delle imprese</w:t>
      </w:r>
      <w:r w:rsidR="00AB3518" w:rsidRPr="00BC5327">
        <w:t xml:space="preserve"> </w:t>
      </w:r>
      <w:r w:rsidRPr="00BC5327">
        <w:t>(valori assoluti, anni 2010</w:t>
      </w:r>
      <w:r w:rsidR="00012461" w:rsidRPr="00BC5327">
        <w:t xml:space="preserve"> e </w:t>
      </w:r>
      <w:r w:rsidR="00BC262C" w:rsidRPr="00BC5327">
        <w:t>2018</w:t>
      </w:r>
      <w:r w:rsidRPr="00BC5327">
        <w:t>)</w:t>
      </w:r>
    </w:p>
    <w:tbl>
      <w:tblPr>
        <w:tblW w:w="9300" w:type="dxa"/>
        <w:tblCellMar>
          <w:left w:w="70" w:type="dxa"/>
          <w:right w:w="70" w:type="dxa"/>
        </w:tblCellMar>
        <w:tblLook w:val="04A0" w:firstRow="1" w:lastRow="0" w:firstColumn="1" w:lastColumn="0" w:noHBand="0" w:noVBand="1"/>
      </w:tblPr>
      <w:tblGrid>
        <w:gridCol w:w="1920"/>
        <w:gridCol w:w="1380"/>
        <w:gridCol w:w="1460"/>
        <w:gridCol w:w="960"/>
        <w:gridCol w:w="1240"/>
        <w:gridCol w:w="960"/>
        <w:gridCol w:w="1380"/>
      </w:tblGrid>
      <w:tr w:rsidR="00D47324" w:rsidRPr="00D47324" w14:paraId="1086F5C8" w14:textId="77777777" w:rsidTr="00D47324">
        <w:trPr>
          <w:trHeight w:val="780"/>
        </w:trPr>
        <w:tc>
          <w:tcPr>
            <w:tcW w:w="1920" w:type="dxa"/>
            <w:vMerge w:val="restart"/>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9EBB8FA"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Imprese registrate</w:t>
            </w:r>
          </w:p>
        </w:tc>
        <w:tc>
          <w:tcPr>
            <w:tcW w:w="2840" w:type="dxa"/>
            <w:gridSpan w:val="2"/>
            <w:tcBorders>
              <w:top w:val="single" w:sz="4" w:space="0" w:color="auto"/>
              <w:left w:val="nil"/>
              <w:bottom w:val="single" w:sz="4" w:space="0" w:color="auto"/>
              <w:right w:val="single" w:sz="4" w:space="0" w:color="auto"/>
            </w:tcBorders>
            <w:shd w:val="clear" w:color="000000" w:fill="B8CCE4"/>
            <w:vAlign w:val="center"/>
            <w:hideMark/>
          </w:tcPr>
          <w:p w14:paraId="53242549"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Coltivazioni agricole e produzione di prodotti animali, caccia e servizi connessi</w:t>
            </w:r>
          </w:p>
        </w:tc>
        <w:tc>
          <w:tcPr>
            <w:tcW w:w="2200" w:type="dxa"/>
            <w:gridSpan w:val="2"/>
            <w:tcBorders>
              <w:top w:val="single" w:sz="4" w:space="0" w:color="auto"/>
              <w:left w:val="nil"/>
              <w:bottom w:val="single" w:sz="4" w:space="0" w:color="auto"/>
              <w:right w:val="single" w:sz="4" w:space="0" w:color="auto"/>
            </w:tcBorders>
            <w:shd w:val="clear" w:color="000000" w:fill="B8CCE4"/>
            <w:vAlign w:val="center"/>
            <w:hideMark/>
          </w:tcPr>
          <w:p w14:paraId="2CB752E3"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Silvicoltura ed utilizzo di aree forestali</w:t>
            </w:r>
          </w:p>
        </w:tc>
        <w:tc>
          <w:tcPr>
            <w:tcW w:w="2340" w:type="dxa"/>
            <w:gridSpan w:val="2"/>
            <w:tcBorders>
              <w:top w:val="single" w:sz="4" w:space="0" w:color="auto"/>
              <w:left w:val="nil"/>
              <w:bottom w:val="single" w:sz="4" w:space="0" w:color="auto"/>
              <w:right w:val="single" w:sz="4" w:space="0" w:color="auto"/>
            </w:tcBorders>
            <w:shd w:val="clear" w:color="000000" w:fill="B8CCE4"/>
            <w:vAlign w:val="center"/>
            <w:hideMark/>
          </w:tcPr>
          <w:p w14:paraId="0FF3A17D"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Pesca e acquacoltura</w:t>
            </w:r>
          </w:p>
        </w:tc>
      </w:tr>
      <w:tr w:rsidR="00D47324" w:rsidRPr="00D47324" w14:paraId="38BE2380" w14:textId="77777777" w:rsidTr="00D47324">
        <w:trPr>
          <w:trHeight w:val="290"/>
        </w:trPr>
        <w:tc>
          <w:tcPr>
            <w:tcW w:w="1920" w:type="dxa"/>
            <w:vMerge/>
            <w:tcBorders>
              <w:top w:val="single" w:sz="4" w:space="0" w:color="auto"/>
              <w:left w:val="single" w:sz="4" w:space="0" w:color="auto"/>
              <w:bottom w:val="single" w:sz="4" w:space="0" w:color="auto"/>
              <w:right w:val="single" w:sz="4" w:space="0" w:color="auto"/>
            </w:tcBorders>
            <w:vAlign w:val="center"/>
            <w:hideMark/>
          </w:tcPr>
          <w:p w14:paraId="248FA411" w14:textId="77777777" w:rsidR="00D47324" w:rsidRPr="00D47324" w:rsidRDefault="00D47324" w:rsidP="00D47324">
            <w:pPr>
              <w:spacing w:after="0"/>
              <w:jc w:val="left"/>
              <w:rPr>
                <w:rFonts w:ascii="Calibri" w:eastAsia="Times New Roman" w:hAnsi="Calibri" w:cs="Calibri"/>
                <w:b/>
                <w:bCs/>
                <w:color w:val="000000"/>
                <w:sz w:val="20"/>
                <w:szCs w:val="20"/>
                <w:lang w:eastAsia="it-IT"/>
              </w:rPr>
            </w:pPr>
          </w:p>
        </w:tc>
        <w:tc>
          <w:tcPr>
            <w:tcW w:w="1380" w:type="dxa"/>
            <w:tcBorders>
              <w:top w:val="nil"/>
              <w:left w:val="nil"/>
              <w:bottom w:val="single" w:sz="4" w:space="0" w:color="auto"/>
              <w:right w:val="single" w:sz="4" w:space="0" w:color="auto"/>
            </w:tcBorders>
            <w:shd w:val="clear" w:color="000000" w:fill="B8CCE4"/>
            <w:vAlign w:val="center"/>
            <w:hideMark/>
          </w:tcPr>
          <w:p w14:paraId="3595F2A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2010</w:t>
            </w:r>
          </w:p>
        </w:tc>
        <w:tc>
          <w:tcPr>
            <w:tcW w:w="1460" w:type="dxa"/>
            <w:tcBorders>
              <w:top w:val="nil"/>
              <w:left w:val="nil"/>
              <w:bottom w:val="single" w:sz="4" w:space="0" w:color="auto"/>
              <w:right w:val="single" w:sz="4" w:space="0" w:color="auto"/>
            </w:tcBorders>
            <w:shd w:val="clear" w:color="000000" w:fill="B8CCE4"/>
            <w:vAlign w:val="center"/>
            <w:hideMark/>
          </w:tcPr>
          <w:p w14:paraId="548B89C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w:t>
            </w:r>
          </w:p>
        </w:tc>
        <w:tc>
          <w:tcPr>
            <w:tcW w:w="960" w:type="dxa"/>
            <w:tcBorders>
              <w:top w:val="nil"/>
              <w:left w:val="nil"/>
              <w:bottom w:val="single" w:sz="4" w:space="0" w:color="auto"/>
              <w:right w:val="single" w:sz="4" w:space="0" w:color="auto"/>
            </w:tcBorders>
            <w:shd w:val="clear" w:color="000000" w:fill="B8CCE4"/>
            <w:vAlign w:val="center"/>
            <w:hideMark/>
          </w:tcPr>
          <w:p w14:paraId="083244B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2010</w:t>
            </w:r>
          </w:p>
        </w:tc>
        <w:tc>
          <w:tcPr>
            <w:tcW w:w="1240" w:type="dxa"/>
            <w:tcBorders>
              <w:top w:val="nil"/>
              <w:left w:val="nil"/>
              <w:bottom w:val="single" w:sz="4" w:space="0" w:color="auto"/>
              <w:right w:val="single" w:sz="4" w:space="0" w:color="auto"/>
            </w:tcBorders>
            <w:shd w:val="clear" w:color="000000" w:fill="B8CCE4"/>
            <w:vAlign w:val="center"/>
            <w:hideMark/>
          </w:tcPr>
          <w:p w14:paraId="0B8389D0"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w:t>
            </w:r>
          </w:p>
        </w:tc>
        <w:tc>
          <w:tcPr>
            <w:tcW w:w="960" w:type="dxa"/>
            <w:tcBorders>
              <w:top w:val="nil"/>
              <w:left w:val="nil"/>
              <w:bottom w:val="single" w:sz="4" w:space="0" w:color="auto"/>
              <w:right w:val="single" w:sz="4" w:space="0" w:color="auto"/>
            </w:tcBorders>
            <w:shd w:val="clear" w:color="000000" w:fill="B8CCE4"/>
            <w:vAlign w:val="center"/>
            <w:hideMark/>
          </w:tcPr>
          <w:p w14:paraId="504A95CD"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2010</w:t>
            </w:r>
          </w:p>
        </w:tc>
        <w:tc>
          <w:tcPr>
            <w:tcW w:w="1380" w:type="dxa"/>
            <w:tcBorders>
              <w:top w:val="nil"/>
              <w:left w:val="nil"/>
              <w:bottom w:val="single" w:sz="4" w:space="0" w:color="auto"/>
              <w:right w:val="single" w:sz="4" w:space="0" w:color="auto"/>
            </w:tcBorders>
            <w:shd w:val="clear" w:color="000000" w:fill="B8CCE4"/>
            <w:vAlign w:val="center"/>
            <w:hideMark/>
          </w:tcPr>
          <w:p w14:paraId="5861BDE0"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w:t>
            </w:r>
          </w:p>
        </w:tc>
      </w:tr>
      <w:tr w:rsidR="00D47324" w:rsidRPr="00D47324" w14:paraId="63582BD8"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164B944"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Abruzzo</w:t>
            </w:r>
          </w:p>
        </w:tc>
        <w:tc>
          <w:tcPr>
            <w:tcW w:w="1380" w:type="dxa"/>
            <w:tcBorders>
              <w:top w:val="nil"/>
              <w:left w:val="nil"/>
              <w:bottom w:val="single" w:sz="4" w:space="0" w:color="auto"/>
              <w:right w:val="single" w:sz="4" w:space="0" w:color="auto"/>
            </w:tcBorders>
            <w:shd w:val="clear" w:color="auto" w:fill="auto"/>
            <w:noWrap/>
            <w:vAlign w:val="bottom"/>
            <w:hideMark/>
          </w:tcPr>
          <w:p w14:paraId="402468C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30.653</w:t>
            </w:r>
          </w:p>
        </w:tc>
        <w:tc>
          <w:tcPr>
            <w:tcW w:w="1460" w:type="dxa"/>
            <w:tcBorders>
              <w:top w:val="nil"/>
              <w:left w:val="nil"/>
              <w:bottom w:val="single" w:sz="4" w:space="0" w:color="auto"/>
              <w:right w:val="single" w:sz="4" w:space="0" w:color="auto"/>
            </w:tcBorders>
            <w:shd w:val="clear" w:color="auto" w:fill="auto"/>
            <w:noWrap/>
            <w:vAlign w:val="bottom"/>
            <w:hideMark/>
          </w:tcPr>
          <w:p w14:paraId="4FD3821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26.262</w:t>
            </w:r>
          </w:p>
        </w:tc>
        <w:tc>
          <w:tcPr>
            <w:tcW w:w="960" w:type="dxa"/>
            <w:tcBorders>
              <w:top w:val="nil"/>
              <w:left w:val="nil"/>
              <w:bottom w:val="single" w:sz="4" w:space="0" w:color="auto"/>
              <w:right w:val="single" w:sz="4" w:space="0" w:color="auto"/>
            </w:tcBorders>
            <w:shd w:val="clear" w:color="auto" w:fill="auto"/>
            <w:noWrap/>
            <w:vAlign w:val="bottom"/>
            <w:hideMark/>
          </w:tcPr>
          <w:p w14:paraId="00336FC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314</w:t>
            </w:r>
          </w:p>
        </w:tc>
        <w:tc>
          <w:tcPr>
            <w:tcW w:w="1240" w:type="dxa"/>
            <w:tcBorders>
              <w:top w:val="nil"/>
              <w:left w:val="nil"/>
              <w:bottom w:val="single" w:sz="4" w:space="0" w:color="auto"/>
              <w:right w:val="single" w:sz="4" w:space="0" w:color="auto"/>
            </w:tcBorders>
            <w:shd w:val="clear" w:color="auto" w:fill="auto"/>
            <w:noWrap/>
            <w:vAlign w:val="bottom"/>
            <w:hideMark/>
          </w:tcPr>
          <w:p w14:paraId="5052CAB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319</w:t>
            </w:r>
          </w:p>
        </w:tc>
        <w:tc>
          <w:tcPr>
            <w:tcW w:w="960" w:type="dxa"/>
            <w:tcBorders>
              <w:top w:val="nil"/>
              <w:left w:val="nil"/>
              <w:bottom w:val="single" w:sz="4" w:space="0" w:color="auto"/>
              <w:right w:val="single" w:sz="4" w:space="0" w:color="auto"/>
            </w:tcBorders>
            <w:shd w:val="clear" w:color="auto" w:fill="auto"/>
            <w:noWrap/>
            <w:vAlign w:val="bottom"/>
            <w:hideMark/>
          </w:tcPr>
          <w:p w14:paraId="1338215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368</w:t>
            </w:r>
          </w:p>
        </w:tc>
        <w:tc>
          <w:tcPr>
            <w:tcW w:w="1380" w:type="dxa"/>
            <w:tcBorders>
              <w:top w:val="nil"/>
              <w:left w:val="nil"/>
              <w:bottom w:val="single" w:sz="4" w:space="0" w:color="auto"/>
              <w:right w:val="single" w:sz="4" w:space="0" w:color="auto"/>
            </w:tcBorders>
            <w:shd w:val="clear" w:color="auto" w:fill="auto"/>
            <w:noWrap/>
            <w:vAlign w:val="bottom"/>
            <w:hideMark/>
          </w:tcPr>
          <w:p w14:paraId="6B6380F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364</w:t>
            </w:r>
          </w:p>
        </w:tc>
      </w:tr>
      <w:tr w:rsidR="00D47324" w:rsidRPr="00D47324" w14:paraId="53B506A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896F7AD"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Basilicata</w:t>
            </w:r>
          </w:p>
        </w:tc>
        <w:tc>
          <w:tcPr>
            <w:tcW w:w="1380" w:type="dxa"/>
            <w:tcBorders>
              <w:top w:val="nil"/>
              <w:left w:val="nil"/>
              <w:bottom w:val="single" w:sz="4" w:space="0" w:color="auto"/>
              <w:right w:val="single" w:sz="4" w:space="0" w:color="auto"/>
            </w:tcBorders>
            <w:shd w:val="clear" w:color="auto" w:fill="auto"/>
            <w:noWrap/>
            <w:vAlign w:val="bottom"/>
            <w:hideMark/>
          </w:tcPr>
          <w:p w14:paraId="62A88B8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19.766</w:t>
            </w:r>
          </w:p>
        </w:tc>
        <w:tc>
          <w:tcPr>
            <w:tcW w:w="1460" w:type="dxa"/>
            <w:tcBorders>
              <w:top w:val="nil"/>
              <w:left w:val="nil"/>
              <w:bottom w:val="single" w:sz="4" w:space="0" w:color="auto"/>
              <w:right w:val="single" w:sz="4" w:space="0" w:color="auto"/>
            </w:tcBorders>
            <w:shd w:val="clear" w:color="auto" w:fill="auto"/>
            <w:noWrap/>
            <w:vAlign w:val="bottom"/>
            <w:hideMark/>
          </w:tcPr>
          <w:p w14:paraId="76FC9DA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18.140</w:t>
            </w:r>
          </w:p>
        </w:tc>
        <w:tc>
          <w:tcPr>
            <w:tcW w:w="960" w:type="dxa"/>
            <w:tcBorders>
              <w:top w:val="nil"/>
              <w:left w:val="nil"/>
              <w:bottom w:val="single" w:sz="4" w:space="0" w:color="auto"/>
              <w:right w:val="single" w:sz="4" w:space="0" w:color="auto"/>
            </w:tcBorders>
            <w:shd w:val="clear" w:color="auto" w:fill="auto"/>
            <w:noWrap/>
            <w:vAlign w:val="bottom"/>
            <w:hideMark/>
          </w:tcPr>
          <w:p w14:paraId="54397FB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232</w:t>
            </w:r>
          </w:p>
        </w:tc>
        <w:tc>
          <w:tcPr>
            <w:tcW w:w="1240" w:type="dxa"/>
            <w:tcBorders>
              <w:top w:val="nil"/>
              <w:left w:val="nil"/>
              <w:bottom w:val="single" w:sz="4" w:space="0" w:color="auto"/>
              <w:right w:val="single" w:sz="4" w:space="0" w:color="auto"/>
            </w:tcBorders>
            <w:shd w:val="clear" w:color="auto" w:fill="auto"/>
            <w:noWrap/>
            <w:vAlign w:val="bottom"/>
            <w:hideMark/>
          </w:tcPr>
          <w:p w14:paraId="3CE64E9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238</w:t>
            </w:r>
          </w:p>
        </w:tc>
        <w:tc>
          <w:tcPr>
            <w:tcW w:w="960" w:type="dxa"/>
            <w:tcBorders>
              <w:top w:val="nil"/>
              <w:left w:val="nil"/>
              <w:bottom w:val="single" w:sz="4" w:space="0" w:color="auto"/>
              <w:right w:val="single" w:sz="4" w:space="0" w:color="auto"/>
            </w:tcBorders>
            <w:shd w:val="clear" w:color="auto" w:fill="auto"/>
            <w:noWrap/>
            <w:vAlign w:val="bottom"/>
            <w:hideMark/>
          </w:tcPr>
          <w:p w14:paraId="6A6234B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14</w:t>
            </w:r>
          </w:p>
        </w:tc>
        <w:tc>
          <w:tcPr>
            <w:tcW w:w="1380" w:type="dxa"/>
            <w:tcBorders>
              <w:top w:val="nil"/>
              <w:left w:val="nil"/>
              <w:bottom w:val="single" w:sz="4" w:space="0" w:color="auto"/>
              <w:right w:val="single" w:sz="4" w:space="0" w:color="auto"/>
            </w:tcBorders>
            <w:shd w:val="clear" w:color="auto" w:fill="auto"/>
            <w:noWrap/>
            <w:vAlign w:val="bottom"/>
            <w:hideMark/>
          </w:tcPr>
          <w:p w14:paraId="548D81A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13</w:t>
            </w:r>
          </w:p>
        </w:tc>
      </w:tr>
      <w:tr w:rsidR="00D47324" w:rsidRPr="00D47324" w14:paraId="6C50010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62CD9DC5"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Calabria</w:t>
            </w:r>
          </w:p>
        </w:tc>
        <w:tc>
          <w:tcPr>
            <w:tcW w:w="1380" w:type="dxa"/>
            <w:tcBorders>
              <w:top w:val="nil"/>
              <w:left w:val="nil"/>
              <w:bottom w:val="single" w:sz="4" w:space="0" w:color="auto"/>
              <w:right w:val="single" w:sz="4" w:space="0" w:color="auto"/>
            </w:tcBorders>
            <w:shd w:val="clear" w:color="auto" w:fill="auto"/>
            <w:noWrap/>
            <w:vAlign w:val="bottom"/>
            <w:hideMark/>
          </w:tcPr>
          <w:p w14:paraId="052A6BA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31.901</w:t>
            </w:r>
          </w:p>
        </w:tc>
        <w:tc>
          <w:tcPr>
            <w:tcW w:w="1460" w:type="dxa"/>
            <w:tcBorders>
              <w:top w:val="nil"/>
              <w:left w:val="nil"/>
              <w:bottom w:val="single" w:sz="4" w:space="0" w:color="auto"/>
              <w:right w:val="single" w:sz="4" w:space="0" w:color="auto"/>
            </w:tcBorders>
            <w:shd w:val="clear" w:color="auto" w:fill="auto"/>
            <w:noWrap/>
            <w:vAlign w:val="bottom"/>
            <w:hideMark/>
          </w:tcPr>
          <w:p w14:paraId="476FC9E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31.186</w:t>
            </w:r>
          </w:p>
        </w:tc>
        <w:tc>
          <w:tcPr>
            <w:tcW w:w="960" w:type="dxa"/>
            <w:tcBorders>
              <w:top w:val="nil"/>
              <w:left w:val="nil"/>
              <w:bottom w:val="single" w:sz="4" w:space="0" w:color="auto"/>
              <w:right w:val="single" w:sz="4" w:space="0" w:color="auto"/>
            </w:tcBorders>
            <w:shd w:val="clear" w:color="auto" w:fill="auto"/>
            <w:noWrap/>
            <w:vAlign w:val="bottom"/>
            <w:hideMark/>
          </w:tcPr>
          <w:p w14:paraId="26A117D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800</w:t>
            </w:r>
          </w:p>
        </w:tc>
        <w:tc>
          <w:tcPr>
            <w:tcW w:w="1240" w:type="dxa"/>
            <w:tcBorders>
              <w:top w:val="nil"/>
              <w:left w:val="nil"/>
              <w:bottom w:val="single" w:sz="4" w:space="0" w:color="auto"/>
              <w:right w:val="single" w:sz="4" w:space="0" w:color="auto"/>
            </w:tcBorders>
            <w:shd w:val="clear" w:color="auto" w:fill="auto"/>
            <w:noWrap/>
            <w:vAlign w:val="bottom"/>
            <w:hideMark/>
          </w:tcPr>
          <w:p w14:paraId="0D1BFE5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865</w:t>
            </w:r>
          </w:p>
        </w:tc>
        <w:tc>
          <w:tcPr>
            <w:tcW w:w="960" w:type="dxa"/>
            <w:tcBorders>
              <w:top w:val="nil"/>
              <w:left w:val="nil"/>
              <w:bottom w:val="single" w:sz="4" w:space="0" w:color="auto"/>
              <w:right w:val="single" w:sz="4" w:space="0" w:color="auto"/>
            </w:tcBorders>
            <w:shd w:val="clear" w:color="auto" w:fill="auto"/>
            <w:noWrap/>
            <w:vAlign w:val="bottom"/>
            <w:hideMark/>
          </w:tcPr>
          <w:p w14:paraId="05F9907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193</w:t>
            </w:r>
          </w:p>
        </w:tc>
        <w:tc>
          <w:tcPr>
            <w:tcW w:w="1380" w:type="dxa"/>
            <w:tcBorders>
              <w:top w:val="nil"/>
              <w:left w:val="nil"/>
              <w:bottom w:val="single" w:sz="4" w:space="0" w:color="auto"/>
              <w:right w:val="single" w:sz="4" w:space="0" w:color="auto"/>
            </w:tcBorders>
            <w:shd w:val="clear" w:color="auto" w:fill="auto"/>
            <w:noWrap/>
            <w:vAlign w:val="bottom"/>
            <w:hideMark/>
          </w:tcPr>
          <w:p w14:paraId="52283A4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253</w:t>
            </w:r>
          </w:p>
        </w:tc>
      </w:tr>
      <w:tr w:rsidR="00D47324" w:rsidRPr="00D47324" w14:paraId="00FDFEF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5444E1A1"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Campania</w:t>
            </w:r>
          </w:p>
        </w:tc>
        <w:tc>
          <w:tcPr>
            <w:tcW w:w="1380" w:type="dxa"/>
            <w:tcBorders>
              <w:top w:val="nil"/>
              <w:left w:val="nil"/>
              <w:bottom w:val="single" w:sz="4" w:space="0" w:color="auto"/>
              <w:right w:val="single" w:sz="4" w:space="0" w:color="auto"/>
            </w:tcBorders>
            <w:shd w:val="clear" w:color="auto" w:fill="auto"/>
            <w:noWrap/>
            <w:vAlign w:val="bottom"/>
            <w:hideMark/>
          </w:tcPr>
          <w:p w14:paraId="7190C73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71.297</w:t>
            </w:r>
          </w:p>
        </w:tc>
        <w:tc>
          <w:tcPr>
            <w:tcW w:w="1460" w:type="dxa"/>
            <w:tcBorders>
              <w:top w:val="nil"/>
              <w:left w:val="nil"/>
              <w:bottom w:val="single" w:sz="4" w:space="0" w:color="auto"/>
              <w:right w:val="single" w:sz="4" w:space="0" w:color="auto"/>
            </w:tcBorders>
            <w:shd w:val="clear" w:color="auto" w:fill="auto"/>
            <w:noWrap/>
            <w:vAlign w:val="bottom"/>
            <w:hideMark/>
          </w:tcPr>
          <w:p w14:paraId="5A3747C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60.838</w:t>
            </w:r>
          </w:p>
        </w:tc>
        <w:tc>
          <w:tcPr>
            <w:tcW w:w="960" w:type="dxa"/>
            <w:tcBorders>
              <w:top w:val="nil"/>
              <w:left w:val="nil"/>
              <w:bottom w:val="single" w:sz="4" w:space="0" w:color="auto"/>
              <w:right w:val="single" w:sz="4" w:space="0" w:color="auto"/>
            </w:tcBorders>
            <w:shd w:val="clear" w:color="auto" w:fill="auto"/>
            <w:noWrap/>
            <w:vAlign w:val="bottom"/>
            <w:hideMark/>
          </w:tcPr>
          <w:p w14:paraId="15C932C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778</w:t>
            </w:r>
          </w:p>
        </w:tc>
        <w:tc>
          <w:tcPr>
            <w:tcW w:w="1240" w:type="dxa"/>
            <w:tcBorders>
              <w:top w:val="nil"/>
              <w:left w:val="nil"/>
              <w:bottom w:val="single" w:sz="4" w:space="0" w:color="auto"/>
              <w:right w:val="single" w:sz="4" w:space="0" w:color="auto"/>
            </w:tcBorders>
            <w:shd w:val="clear" w:color="auto" w:fill="auto"/>
            <w:noWrap/>
            <w:vAlign w:val="bottom"/>
            <w:hideMark/>
          </w:tcPr>
          <w:p w14:paraId="62AE9AF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726</w:t>
            </w:r>
          </w:p>
        </w:tc>
        <w:tc>
          <w:tcPr>
            <w:tcW w:w="960" w:type="dxa"/>
            <w:tcBorders>
              <w:top w:val="nil"/>
              <w:left w:val="nil"/>
              <w:bottom w:val="single" w:sz="4" w:space="0" w:color="auto"/>
              <w:right w:val="single" w:sz="4" w:space="0" w:color="auto"/>
            </w:tcBorders>
            <w:shd w:val="clear" w:color="auto" w:fill="auto"/>
            <w:noWrap/>
            <w:vAlign w:val="bottom"/>
            <w:hideMark/>
          </w:tcPr>
          <w:p w14:paraId="5F7BF44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382</w:t>
            </w:r>
          </w:p>
        </w:tc>
        <w:tc>
          <w:tcPr>
            <w:tcW w:w="1380" w:type="dxa"/>
            <w:tcBorders>
              <w:top w:val="nil"/>
              <w:left w:val="nil"/>
              <w:bottom w:val="single" w:sz="4" w:space="0" w:color="auto"/>
              <w:right w:val="single" w:sz="4" w:space="0" w:color="auto"/>
            </w:tcBorders>
            <w:shd w:val="clear" w:color="auto" w:fill="auto"/>
            <w:noWrap/>
            <w:vAlign w:val="bottom"/>
            <w:hideMark/>
          </w:tcPr>
          <w:p w14:paraId="3157665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387</w:t>
            </w:r>
          </w:p>
        </w:tc>
      </w:tr>
      <w:tr w:rsidR="00D47324" w:rsidRPr="00D47324" w14:paraId="34A3ABE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B29DCCF"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Emilia-Romagna</w:t>
            </w:r>
          </w:p>
        </w:tc>
        <w:tc>
          <w:tcPr>
            <w:tcW w:w="1380" w:type="dxa"/>
            <w:tcBorders>
              <w:top w:val="nil"/>
              <w:left w:val="nil"/>
              <w:bottom w:val="single" w:sz="4" w:space="0" w:color="auto"/>
              <w:right w:val="single" w:sz="4" w:space="0" w:color="auto"/>
            </w:tcBorders>
            <w:shd w:val="clear" w:color="auto" w:fill="auto"/>
            <w:noWrap/>
            <w:vAlign w:val="bottom"/>
            <w:hideMark/>
          </w:tcPr>
          <w:p w14:paraId="0008BDB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66.932</w:t>
            </w:r>
          </w:p>
        </w:tc>
        <w:tc>
          <w:tcPr>
            <w:tcW w:w="1460" w:type="dxa"/>
            <w:tcBorders>
              <w:top w:val="nil"/>
              <w:left w:val="nil"/>
              <w:bottom w:val="single" w:sz="4" w:space="0" w:color="auto"/>
              <w:right w:val="single" w:sz="4" w:space="0" w:color="auto"/>
            </w:tcBorders>
            <w:shd w:val="clear" w:color="auto" w:fill="auto"/>
            <w:noWrap/>
            <w:vAlign w:val="bottom"/>
            <w:hideMark/>
          </w:tcPr>
          <w:p w14:paraId="6A6272D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54.553</w:t>
            </w:r>
          </w:p>
        </w:tc>
        <w:tc>
          <w:tcPr>
            <w:tcW w:w="960" w:type="dxa"/>
            <w:tcBorders>
              <w:top w:val="nil"/>
              <w:left w:val="nil"/>
              <w:bottom w:val="single" w:sz="4" w:space="0" w:color="auto"/>
              <w:right w:val="single" w:sz="4" w:space="0" w:color="auto"/>
            </w:tcBorders>
            <w:shd w:val="clear" w:color="auto" w:fill="auto"/>
            <w:noWrap/>
            <w:vAlign w:val="bottom"/>
            <w:hideMark/>
          </w:tcPr>
          <w:p w14:paraId="5DDBF55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517</w:t>
            </w:r>
          </w:p>
        </w:tc>
        <w:tc>
          <w:tcPr>
            <w:tcW w:w="1240" w:type="dxa"/>
            <w:tcBorders>
              <w:top w:val="nil"/>
              <w:left w:val="nil"/>
              <w:bottom w:val="single" w:sz="4" w:space="0" w:color="auto"/>
              <w:right w:val="single" w:sz="4" w:space="0" w:color="auto"/>
            </w:tcBorders>
            <w:shd w:val="clear" w:color="auto" w:fill="auto"/>
            <w:noWrap/>
            <w:vAlign w:val="bottom"/>
            <w:hideMark/>
          </w:tcPr>
          <w:p w14:paraId="5A5FCA9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613</w:t>
            </w:r>
          </w:p>
        </w:tc>
        <w:tc>
          <w:tcPr>
            <w:tcW w:w="960" w:type="dxa"/>
            <w:tcBorders>
              <w:top w:val="nil"/>
              <w:left w:val="nil"/>
              <w:bottom w:val="single" w:sz="4" w:space="0" w:color="auto"/>
              <w:right w:val="single" w:sz="4" w:space="0" w:color="auto"/>
            </w:tcBorders>
            <w:shd w:val="clear" w:color="auto" w:fill="auto"/>
            <w:noWrap/>
            <w:vAlign w:val="bottom"/>
            <w:hideMark/>
          </w:tcPr>
          <w:p w14:paraId="27EC07B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1.990</w:t>
            </w:r>
          </w:p>
        </w:tc>
        <w:tc>
          <w:tcPr>
            <w:tcW w:w="1380" w:type="dxa"/>
            <w:tcBorders>
              <w:top w:val="nil"/>
              <w:left w:val="nil"/>
              <w:bottom w:val="single" w:sz="4" w:space="0" w:color="auto"/>
              <w:right w:val="single" w:sz="4" w:space="0" w:color="auto"/>
            </w:tcBorders>
            <w:shd w:val="clear" w:color="auto" w:fill="auto"/>
            <w:noWrap/>
            <w:vAlign w:val="bottom"/>
            <w:hideMark/>
          </w:tcPr>
          <w:p w14:paraId="24F0601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2.251</w:t>
            </w:r>
          </w:p>
        </w:tc>
      </w:tr>
      <w:tr w:rsidR="00D47324" w:rsidRPr="00D47324" w14:paraId="4BAF575F"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06056F78"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Friuli-Venezia Giulia</w:t>
            </w:r>
          </w:p>
        </w:tc>
        <w:tc>
          <w:tcPr>
            <w:tcW w:w="1380" w:type="dxa"/>
            <w:tcBorders>
              <w:top w:val="nil"/>
              <w:left w:val="nil"/>
              <w:bottom w:val="single" w:sz="4" w:space="0" w:color="auto"/>
              <w:right w:val="single" w:sz="4" w:space="0" w:color="auto"/>
            </w:tcBorders>
            <w:shd w:val="clear" w:color="auto" w:fill="auto"/>
            <w:noWrap/>
            <w:vAlign w:val="bottom"/>
            <w:hideMark/>
          </w:tcPr>
          <w:p w14:paraId="1991FFD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17.371</w:t>
            </w:r>
          </w:p>
        </w:tc>
        <w:tc>
          <w:tcPr>
            <w:tcW w:w="1460" w:type="dxa"/>
            <w:tcBorders>
              <w:top w:val="nil"/>
              <w:left w:val="nil"/>
              <w:bottom w:val="single" w:sz="4" w:space="0" w:color="auto"/>
              <w:right w:val="single" w:sz="4" w:space="0" w:color="auto"/>
            </w:tcBorders>
            <w:shd w:val="clear" w:color="auto" w:fill="auto"/>
            <w:noWrap/>
            <w:vAlign w:val="bottom"/>
            <w:hideMark/>
          </w:tcPr>
          <w:p w14:paraId="1110021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13.037</w:t>
            </w:r>
          </w:p>
        </w:tc>
        <w:tc>
          <w:tcPr>
            <w:tcW w:w="960" w:type="dxa"/>
            <w:tcBorders>
              <w:top w:val="nil"/>
              <w:left w:val="nil"/>
              <w:bottom w:val="single" w:sz="4" w:space="0" w:color="auto"/>
              <w:right w:val="single" w:sz="4" w:space="0" w:color="auto"/>
            </w:tcBorders>
            <w:shd w:val="clear" w:color="auto" w:fill="auto"/>
            <w:noWrap/>
            <w:vAlign w:val="bottom"/>
            <w:hideMark/>
          </w:tcPr>
          <w:p w14:paraId="2E2D0E4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332</w:t>
            </w:r>
          </w:p>
        </w:tc>
        <w:tc>
          <w:tcPr>
            <w:tcW w:w="1240" w:type="dxa"/>
            <w:tcBorders>
              <w:top w:val="nil"/>
              <w:left w:val="nil"/>
              <w:bottom w:val="single" w:sz="4" w:space="0" w:color="auto"/>
              <w:right w:val="single" w:sz="4" w:space="0" w:color="auto"/>
            </w:tcBorders>
            <w:shd w:val="clear" w:color="auto" w:fill="auto"/>
            <w:noWrap/>
            <w:vAlign w:val="bottom"/>
            <w:hideMark/>
          </w:tcPr>
          <w:p w14:paraId="1189EFD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369</w:t>
            </w:r>
          </w:p>
        </w:tc>
        <w:tc>
          <w:tcPr>
            <w:tcW w:w="960" w:type="dxa"/>
            <w:tcBorders>
              <w:top w:val="nil"/>
              <w:left w:val="nil"/>
              <w:bottom w:val="single" w:sz="4" w:space="0" w:color="auto"/>
              <w:right w:val="single" w:sz="4" w:space="0" w:color="auto"/>
            </w:tcBorders>
            <w:shd w:val="clear" w:color="auto" w:fill="auto"/>
            <w:noWrap/>
            <w:vAlign w:val="bottom"/>
            <w:hideMark/>
          </w:tcPr>
          <w:p w14:paraId="73C4005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432</w:t>
            </w:r>
          </w:p>
        </w:tc>
        <w:tc>
          <w:tcPr>
            <w:tcW w:w="1380" w:type="dxa"/>
            <w:tcBorders>
              <w:top w:val="nil"/>
              <w:left w:val="nil"/>
              <w:bottom w:val="single" w:sz="4" w:space="0" w:color="auto"/>
              <w:right w:val="single" w:sz="4" w:space="0" w:color="auto"/>
            </w:tcBorders>
            <w:shd w:val="clear" w:color="auto" w:fill="auto"/>
            <w:noWrap/>
            <w:vAlign w:val="bottom"/>
            <w:hideMark/>
          </w:tcPr>
          <w:p w14:paraId="414D407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375</w:t>
            </w:r>
          </w:p>
        </w:tc>
      </w:tr>
      <w:tr w:rsidR="00D47324" w:rsidRPr="00D47324" w14:paraId="41B6A941"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0B7A331"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Lazio</w:t>
            </w:r>
          </w:p>
        </w:tc>
        <w:tc>
          <w:tcPr>
            <w:tcW w:w="1380" w:type="dxa"/>
            <w:tcBorders>
              <w:top w:val="nil"/>
              <w:left w:val="nil"/>
              <w:bottom w:val="single" w:sz="4" w:space="0" w:color="auto"/>
              <w:right w:val="single" w:sz="4" w:space="0" w:color="auto"/>
            </w:tcBorders>
            <w:shd w:val="clear" w:color="auto" w:fill="auto"/>
            <w:noWrap/>
            <w:vAlign w:val="bottom"/>
            <w:hideMark/>
          </w:tcPr>
          <w:p w14:paraId="3FFC53C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47.447</w:t>
            </w:r>
          </w:p>
        </w:tc>
        <w:tc>
          <w:tcPr>
            <w:tcW w:w="1460" w:type="dxa"/>
            <w:tcBorders>
              <w:top w:val="nil"/>
              <w:left w:val="nil"/>
              <w:bottom w:val="single" w:sz="4" w:space="0" w:color="auto"/>
              <w:right w:val="single" w:sz="4" w:space="0" w:color="auto"/>
            </w:tcBorders>
            <w:shd w:val="clear" w:color="auto" w:fill="auto"/>
            <w:noWrap/>
            <w:vAlign w:val="bottom"/>
            <w:hideMark/>
          </w:tcPr>
          <w:p w14:paraId="4E28113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42.564</w:t>
            </w:r>
          </w:p>
        </w:tc>
        <w:tc>
          <w:tcPr>
            <w:tcW w:w="960" w:type="dxa"/>
            <w:tcBorders>
              <w:top w:val="nil"/>
              <w:left w:val="nil"/>
              <w:bottom w:val="single" w:sz="4" w:space="0" w:color="auto"/>
              <w:right w:val="single" w:sz="4" w:space="0" w:color="auto"/>
            </w:tcBorders>
            <w:shd w:val="clear" w:color="auto" w:fill="auto"/>
            <w:noWrap/>
            <w:vAlign w:val="bottom"/>
            <w:hideMark/>
          </w:tcPr>
          <w:p w14:paraId="7228CC0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785</w:t>
            </w:r>
          </w:p>
        </w:tc>
        <w:tc>
          <w:tcPr>
            <w:tcW w:w="1240" w:type="dxa"/>
            <w:tcBorders>
              <w:top w:val="nil"/>
              <w:left w:val="nil"/>
              <w:bottom w:val="single" w:sz="4" w:space="0" w:color="auto"/>
              <w:right w:val="single" w:sz="4" w:space="0" w:color="auto"/>
            </w:tcBorders>
            <w:shd w:val="clear" w:color="auto" w:fill="auto"/>
            <w:noWrap/>
            <w:vAlign w:val="bottom"/>
            <w:hideMark/>
          </w:tcPr>
          <w:p w14:paraId="22284E7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800</w:t>
            </w:r>
          </w:p>
        </w:tc>
        <w:tc>
          <w:tcPr>
            <w:tcW w:w="960" w:type="dxa"/>
            <w:tcBorders>
              <w:top w:val="nil"/>
              <w:left w:val="nil"/>
              <w:bottom w:val="single" w:sz="4" w:space="0" w:color="auto"/>
              <w:right w:val="single" w:sz="4" w:space="0" w:color="auto"/>
            </w:tcBorders>
            <w:shd w:val="clear" w:color="auto" w:fill="auto"/>
            <w:noWrap/>
            <w:vAlign w:val="bottom"/>
            <w:hideMark/>
          </w:tcPr>
          <w:p w14:paraId="7F55D82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544</w:t>
            </w:r>
          </w:p>
        </w:tc>
        <w:tc>
          <w:tcPr>
            <w:tcW w:w="1380" w:type="dxa"/>
            <w:tcBorders>
              <w:top w:val="nil"/>
              <w:left w:val="nil"/>
              <w:bottom w:val="single" w:sz="4" w:space="0" w:color="auto"/>
              <w:right w:val="single" w:sz="4" w:space="0" w:color="auto"/>
            </w:tcBorders>
            <w:shd w:val="clear" w:color="auto" w:fill="auto"/>
            <w:noWrap/>
            <w:vAlign w:val="bottom"/>
            <w:hideMark/>
          </w:tcPr>
          <w:p w14:paraId="1B525C9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550</w:t>
            </w:r>
          </w:p>
        </w:tc>
      </w:tr>
      <w:tr w:rsidR="00D47324" w:rsidRPr="00D47324" w14:paraId="520F848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1787F663"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Liguria</w:t>
            </w:r>
          </w:p>
        </w:tc>
        <w:tc>
          <w:tcPr>
            <w:tcW w:w="1380" w:type="dxa"/>
            <w:tcBorders>
              <w:top w:val="nil"/>
              <w:left w:val="nil"/>
              <w:bottom w:val="single" w:sz="4" w:space="0" w:color="auto"/>
              <w:right w:val="single" w:sz="4" w:space="0" w:color="auto"/>
            </w:tcBorders>
            <w:shd w:val="clear" w:color="auto" w:fill="auto"/>
            <w:noWrap/>
            <w:vAlign w:val="bottom"/>
            <w:hideMark/>
          </w:tcPr>
          <w:p w14:paraId="5603EA4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12.100</w:t>
            </w:r>
          </w:p>
        </w:tc>
        <w:tc>
          <w:tcPr>
            <w:tcW w:w="1460" w:type="dxa"/>
            <w:tcBorders>
              <w:top w:val="nil"/>
              <w:left w:val="nil"/>
              <w:bottom w:val="single" w:sz="4" w:space="0" w:color="auto"/>
              <w:right w:val="single" w:sz="4" w:space="0" w:color="auto"/>
            </w:tcBorders>
            <w:shd w:val="clear" w:color="auto" w:fill="auto"/>
            <w:noWrap/>
            <w:vAlign w:val="bottom"/>
            <w:hideMark/>
          </w:tcPr>
          <w:p w14:paraId="6F3FE6C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9.358</w:t>
            </w:r>
          </w:p>
        </w:tc>
        <w:tc>
          <w:tcPr>
            <w:tcW w:w="960" w:type="dxa"/>
            <w:tcBorders>
              <w:top w:val="nil"/>
              <w:left w:val="nil"/>
              <w:bottom w:val="single" w:sz="4" w:space="0" w:color="auto"/>
              <w:right w:val="single" w:sz="4" w:space="0" w:color="auto"/>
            </w:tcBorders>
            <w:shd w:val="clear" w:color="auto" w:fill="auto"/>
            <w:noWrap/>
            <w:vAlign w:val="bottom"/>
            <w:hideMark/>
          </w:tcPr>
          <w:p w14:paraId="0186697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421</w:t>
            </w:r>
          </w:p>
        </w:tc>
        <w:tc>
          <w:tcPr>
            <w:tcW w:w="1240" w:type="dxa"/>
            <w:tcBorders>
              <w:top w:val="nil"/>
              <w:left w:val="nil"/>
              <w:bottom w:val="single" w:sz="4" w:space="0" w:color="auto"/>
              <w:right w:val="single" w:sz="4" w:space="0" w:color="auto"/>
            </w:tcBorders>
            <w:shd w:val="clear" w:color="auto" w:fill="auto"/>
            <w:noWrap/>
            <w:vAlign w:val="bottom"/>
            <w:hideMark/>
          </w:tcPr>
          <w:p w14:paraId="1C87F09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445</w:t>
            </w:r>
          </w:p>
        </w:tc>
        <w:tc>
          <w:tcPr>
            <w:tcW w:w="960" w:type="dxa"/>
            <w:tcBorders>
              <w:top w:val="nil"/>
              <w:left w:val="nil"/>
              <w:bottom w:val="single" w:sz="4" w:space="0" w:color="auto"/>
              <w:right w:val="single" w:sz="4" w:space="0" w:color="auto"/>
            </w:tcBorders>
            <w:shd w:val="clear" w:color="auto" w:fill="auto"/>
            <w:noWrap/>
            <w:vAlign w:val="bottom"/>
            <w:hideMark/>
          </w:tcPr>
          <w:p w14:paraId="262590D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438</w:t>
            </w:r>
          </w:p>
        </w:tc>
        <w:tc>
          <w:tcPr>
            <w:tcW w:w="1380" w:type="dxa"/>
            <w:tcBorders>
              <w:top w:val="nil"/>
              <w:left w:val="nil"/>
              <w:bottom w:val="single" w:sz="4" w:space="0" w:color="auto"/>
              <w:right w:val="single" w:sz="4" w:space="0" w:color="auto"/>
            </w:tcBorders>
            <w:shd w:val="clear" w:color="auto" w:fill="auto"/>
            <w:noWrap/>
            <w:vAlign w:val="bottom"/>
            <w:hideMark/>
          </w:tcPr>
          <w:p w14:paraId="0A32987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393</w:t>
            </w:r>
          </w:p>
        </w:tc>
      </w:tr>
      <w:tr w:rsidR="00D47324" w:rsidRPr="00D47324" w14:paraId="046FCBC8"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85B0957"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Lombardia</w:t>
            </w:r>
          </w:p>
        </w:tc>
        <w:tc>
          <w:tcPr>
            <w:tcW w:w="1380" w:type="dxa"/>
            <w:tcBorders>
              <w:top w:val="nil"/>
              <w:left w:val="nil"/>
              <w:bottom w:val="single" w:sz="4" w:space="0" w:color="auto"/>
              <w:right w:val="single" w:sz="4" w:space="0" w:color="auto"/>
            </w:tcBorders>
            <w:shd w:val="clear" w:color="auto" w:fill="auto"/>
            <w:noWrap/>
            <w:vAlign w:val="bottom"/>
            <w:hideMark/>
          </w:tcPr>
          <w:p w14:paraId="178220E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51.302</w:t>
            </w:r>
          </w:p>
        </w:tc>
        <w:tc>
          <w:tcPr>
            <w:tcW w:w="1460" w:type="dxa"/>
            <w:tcBorders>
              <w:top w:val="nil"/>
              <w:left w:val="nil"/>
              <w:bottom w:val="single" w:sz="4" w:space="0" w:color="auto"/>
              <w:right w:val="single" w:sz="4" w:space="0" w:color="auto"/>
            </w:tcBorders>
            <w:shd w:val="clear" w:color="auto" w:fill="auto"/>
            <w:noWrap/>
            <w:vAlign w:val="bottom"/>
            <w:hideMark/>
          </w:tcPr>
          <w:p w14:paraId="76341C2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45.061</w:t>
            </w:r>
          </w:p>
        </w:tc>
        <w:tc>
          <w:tcPr>
            <w:tcW w:w="960" w:type="dxa"/>
            <w:tcBorders>
              <w:top w:val="nil"/>
              <w:left w:val="nil"/>
              <w:bottom w:val="single" w:sz="4" w:space="0" w:color="auto"/>
              <w:right w:val="single" w:sz="4" w:space="0" w:color="auto"/>
            </w:tcBorders>
            <w:shd w:val="clear" w:color="auto" w:fill="auto"/>
            <w:noWrap/>
            <w:vAlign w:val="bottom"/>
            <w:hideMark/>
          </w:tcPr>
          <w:p w14:paraId="4828B16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896</w:t>
            </w:r>
          </w:p>
        </w:tc>
        <w:tc>
          <w:tcPr>
            <w:tcW w:w="1240" w:type="dxa"/>
            <w:tcBorders>
              <w:top w:val="nil"/>
              <w:left w:val="nil"/>
              <w:bottom w:val="single" w:sz="4" w:space="0" w:color="auto"/>
              <w:right w:val="single" w:sz="4" w:space="0" w:color="auto"/>
            </w:tcBorders>
            <w:shd w:val="clear" w:color="auto" w:fill="auto"/>
            <w:noWrap/>
            <w:vAlign w:val="bottom"/>
            <w:hideMark/>
          </w:tcPr>
          <w:p w14:paraId="5C2B715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989</w:t>
            </w:r>
          </w:p>
        </w:tc>
        <w:tc>
          <w:tcPr>
            <w:tcW w:w="960" w:type="dxa"/>
            <w:tcBorders>
              <w:top w:val="nil"/>
              <w:left w:val="nil"/>
              <w:bottom w:val="single" w:sz="4" w:space="0" w:color="auto"/>
              <w:right w:val="single" w:sz="4" w:space="0" w:color="auto"/>
            </w:tcBorders>
            <w:shd w:val="clear" w:color="auto" w:fill="auto"/>
            <w:noWrap/>
            <w:vAlign w:val="bottom"/>
            <w:hideMark/>
          </w:tcPr>
          <w:p w14:paraId="09A8398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195</w:t>
            </w:r>
          </w:p>
        </w:tc>
        <w:tc>
          <w:tcPr>
            <w:tcW w:w="1380" w:type="dxa"/>
            <w:tcBorders>
              <w:top w:val="nil"/>
              <w:left w:val="nil"/>
              <w:bottom w:val="single" w:sz="4" w:space="0" w:color="auto"/>
              <w:right w:val="single" w:sz="4" w:space="0" w:color="auto"/>
            </w:tcBorders>
            <w:shd w:val="clear" w:color="auto" w:fill="auto"/>
            <w:noWrap/>
            <w:vAlign w:val="bottom"/>
            <w:hideMark/>
          </w:tcPr>
          <w:p w14:paraId="15B2B8F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163</w:t>
            </w:r>
          </w:p>
        </w:tc>
      </w:tr>
      <w:tr w:rsidR="00D47324" w:rsidRPr="00D47324" w14:paraId="4A011C95"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FE97386"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Marche</w:t>
            </w:r>
          </w:p>
        </w:tc>
        <w:tc>
          <w:tcPr>
            <w:tcW w:w="1380" w:type="dxa"/>
            <w:tcBorders>
              <w:top w:val="nil"/>
              <w:left w:val="nil"/>
              <w:bottom w:val="single" w:sz="4" w:space="0" w:color="auto"/>
              <w:right w:val="single" w:sz="4" w:space="0" w:color="auto"/>
            </w:tcBorders>
            <w:shd w:val="clear" w:color="auto" w:fill="auto"/>
            <w:noWrap/>
            <w:vAlign w:val="bottom"/>
            <w:hideMark/>
          </w:tcPr>
          <w:p w14:paraId="4A01BA8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32.047</w:t>
            </w:r>
          </w:p>
        </w:tc>
        <w:tc>
          <w:tcPr>
            <w:tcW w:w="1460" w:type="dxa"/>
            <w:tcBorders>
              <w:top w:val="nil"/>
              <w:left w:val="nil"/>
              <w:bottom w:val="single" w:sz="4" w:space="0" w:color="auto"/>
              <w:right w:val="single" w:sz="4" w:space="0" w:color="auto"/>
            </w:tcBorders>
            <w:shd w:val="clear" w:color="auto" w:fill="auto"/>
            <w:noWrap/>
            <w:vAlign w:val="bottom"/>
            <w:hideMark/>
          </w:tcPr>
          <w:p w14:paraId="3F5E185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26.007</w:t>
            </w:r>
          </w:p>
        </w:tc>
        <w:tc>
          <w:tcPr>
            <w:tcW w:w="960" w:type="dxa"/>
            <w:tcBorders>
              <w:top w:val="nil"/>
              <w:left w:val="nil"/>
              <w:bottom w:val="single" w:sz="4" w:space="0" w:color="auto"/>
              <w:right w:val="single" w:sz="4" w:space="0" w:color="auto"/>
            </w:tcBorders>
            <w:shd w:val="clear" w:color="auto" w:fill="auto"/>
            <w:noWrap/>
            <w:vAlign w:val="bottom"/>
            <w:hideMark/>
          </w:tcPr>
          <w:p w14:paraId="17D7F9F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252</w:t>
            </w:r>
          </w:p>
        </w:tc>
        <w:tc>
          <w:tcPr>
            <w:tcW w:w="1240" w:type="dxa"/>
            <w:tcBorders>
              <w:top w:val="nil"/>
              <w:left w:val="nil"/>
              <w:bottom w:val="single" w:sz="4" w:space="0" w:color="auto"/>
              <w:right w:val="single" w:sz="4" w:space="0" w:color="auto"/>
            </w:tcBorders>
            <w:shd w:val="clear" w:color="auto" w:fill="auto"/>
            <w:noWrap/>
            <w:vAlign w:val="bottom"/>
            <w:hideMark/>
          </w:tcPr>
          <w:p w14:paraId="539DACC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276</w:t>
            </w:r>
          </w:p>
        </w:tc>
        <w:tc>
          <w:tcPr>
            <w:tcW w:w="960" w:type="dxa"/>
            <w:tcBorders>
              <w:top w:val="nil"/>
              <w:left w:val="nil"/>
              <w:bottom w:val="single" w:sz="4" w:space="0" w:color="auto"/>
              <w:right w:val="single" w:sz="4" w:space="0" w:color="auto"/>
            </w:tcBorders>
            <w:shd w:val="clear" w:color="auto" w:fill="auto"/>
            <w:noWrap/>
            <w:vAlign w:val="bottom"/>
            <w:hideMark/>
          </w:tcPr>
          <w:p w14:paraId="62FA610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738</w:t>
            </w:r>
          </w:p>
        </w:tc>
        <w:tc>
          <w:tcPr>
            <w:tcW w:w="1380" w:type="dxa"/>
            <w:tcBorders>
              <w:top w:val="nil"/>
              <w:left w:val="nil"/>
              <w:bottom w:val="single" w:sz="4" w:space="0" w:color="auto"/>
              <w:right w:val="single" w:sz="4" w:space="0" w:color="auto"/>
            </w:tcBorders>
            <w:shd w:val="clear" w:color="auto" w:fill="auto"/>
            <w:noWrap/>
            <w:vAlign w:val="bottom"/>
            <w:hideMark/>
          </w:tcPr>
          <w:p w14:paraId="3A682FD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677</w:t>
            </w:r>
          </w:p>
        </w:tc>
      </w:tr>
      <w:tr w:rsidR="00D47324" w:rsidRPr="00D47324" w14:paraId="3D5ED978"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7B25E2A"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Molise</w:t>
            </w:r>
          </w:p>
        </w:tc>
        <w:tc>
          <w:tcPr>
            <w:tcW w:w="1380" w:type="dxa"/>
            <w:tcBorders>
              <w:top w:val="nil"/>
              <w:left w:val="nil"/>
              <w:bottom w:val="single" w:sz="4" w:space="0" w:color="auto"/>
              <w:right w:val="single" w:sz="4" w:space="0" w:color="auto"/>
            </w:tcBorders>
            <w:shd w:val="clear" w:color="auto" w:fill="auto"/>
            <w:noWrap/>
            <w:vAlign w:val="bottom"/>
            <w:hideMark/>
          </w:tcPr>
          <w:p w14:paraId="00D3498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11.247</w:t>
            </w:r>
          </w:p>
        </w:tc>
        <w:tc>
          <w:tcPr>
            <w:tcW w:w="1460" w:type="dxa"/>
            <w:tcBorders>
              <w:top w:val="nil"/>
              <w:left w:val="nil"/>
              <w:bottom w:val="single" w:sz="4" w:space="0" w:color="auto"/>
              <w:right w:val="single" w:sz="4" w:space="0" w:color="auto"/>
            </w:tcBorders>
            <w:shd w:val="clear" w:color="auto" w:fill="auto"/>
            <w:noWrap/>
            <w:vAlign w:val="bottom"/>
            <w:hideMark/>
          </w:tcPr>
          <w:p w14:paraId="44B8727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9.951</w:t>
            </w:r>
          </w:p>
        </w:tc>
        <w:tc>
          <w:tcPr>
            <w:tcW w:w="960" w:type="dxa"/>
            <w:tcBorders>
              <w:top w:val="nil"/>
              <w:left w:val="nil"/>
              <w:bottom w:val="single" w:sz="4" w:space="0" w:color="auto"/>
              <w:right w:val="single" w:sz="4" w:space="0" w:color="auto"/>
            </w:tcBorders>
            <w:shd w:val="clear" w:color="auto" w:fill="auto"/>
            <w:noWrap/>
            <w:vAlign w:val="bottom"/>
            <w:hideMark/>
          </w:tcPr>
          <w:p w14:paraId="730C48C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80</w:t>
            </w:r>
          </w:p>
        </w:tc>
        <w:tc>
          <w:tcPr>
            <w:tcW w:w="1240" w:type="dxa"/>
            <w:tcBorders>
              <w:top w:val="nil"/>
              <w:left w:val="nil"/>
              <w:bottom w:val="single" w:sz="4" w:space="0" w:color="auto"/>
              <w:right w:val="single" w:sz="4" w:space="0" w:color="auto"/>
            </w:tcBorders>
            <w:shd w:val="clear" w:color="auto" w:fill="auto"/>
            <w:noWrap/>
            <w:vAlign w:val="bottom"/>
            <w:hideMark/>
          </w:tcPr>
          <w:p w14:paraId="3951B24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78</w:t>
            </w:r>
          </w:p>
        </w:tc>
        <w:tc>
          <w:tcPr>
            <w:tcW w:w="960" w:type="dxa"/>
            <w:tcBorders>
              <w:top w:val="nil"/>
              <w:left w:val="nil"/>
              <w:bottom w:val="single" w:sz="4" w:space="0" w:color="auto"/>
              <w:right w:val="single" w:sz="4" w:space="0" w:color="auto"/>
            </w:tcBorders>
            <w:shd w:val="clear" w:color="auto" w:fill="auto"/>
            <w:noWrap/>
            <w:vAlign w:val="bottom"/>
            <w:hideMark/>
          </w:tcPr>
          <w:p w14:paraId="0E31CE9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75</w:t>
            </w:r>
          </w:p>
        </w:tc>
        <w:tc>
          <w:tcPr>
            <w:tcW w:w="1380" w:type="dxa"/>
            <w:tcBorders>
              <w:top w:val="nil"/>
              <w:left w:val="nil"/>
              <w:bottom w:val="single" w:sz="4" w:space="0" w:color="auto"/>
              <w:right w:val="single" w:sz="4" w:space="0" w:color="auto"/>
            </w:tcBorders>
            <w:shd w:val="clear" w:color="auto" w:fill="auto"/>
            <w:noWrap/>
            <w:vAlign w:val="bottom"/>
            <w:hideMark/>
          </w:tcPr>
          <w:p w14:paraId="27CEA36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79</w:t>
            </w:r>
          </w:p>
        </w:tc>
      </w:tr>
      <w:tr w:rsidR="00D47324" w:rsidRPr="00D47324" w14:paraId="20E436E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AC99586"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Piemonte</w:t>
            </w:r>
          </w:p>
        </w:tc>
        <w:tc>
          <w:tcPr>
            <w:tcW w:w="1380" w:type="dxa"/>
            <w:tcBorders>
              <w:top w:val="nil"/>
              <w:left w:val="nil"/>
              <w:bottom w:val="single" w:sz="4" w:space="0" w:color="auto"/>
              <w:right w:val="single" w:sz="4" w:space="0" w:color="auto"/>
            </w:tcBorders>
            <w:shd w:val="clear" w:color="auto" w:fill="auto"/>
            <w:noWrap/>
            <w:vAlign w:val="bottom"/>
            <w:hideMark/>
          </w:tcPr>
          <w:p w14:paraId="227A3A1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61.796</w:t>
            </w:r>
          </w:p>
        </w:tc>
        <w:tc>
          <w:tcPr>
            <w:tcW w:w="1460" w:type="dxa"/>
            <w:tcBorders>
              <w:top w:val="nil"/>
              <w:left w:val="nil"/>
              <w:bottom w:val="single" w:sz="4" w:space="0" w:color="auto"/>
              <w:right w:val="single" w:sz="4" w:space="0" w:color="auto"/>
            </w:tcBorders>
            <w:shd w:val="clear" w:color="auto" w:fill="auto"/>
            <w:noWrap/>
            <w:vAlign w:val="bottom"/>
            <w:hideMark/>
          </w:tcPr>
          <w:p w14:paraId="4612E99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51.147</w:t>
            </w:r>
          </w:p>
        </w:tc>
        <w:tc>
          <w:tcPr>
            <w:tcW w:w="960" w:type="dxa"/>
            <w:tcBorders>
              <w:top w:val="nil"/>
              <w:left w:val="nil"/>
              <w:bottom w:val="single" w:sz="4" w:space="0" w:color="auto"/>
              <w:right w:val="single" w:sz="4" w:space="0" w:color="auto"/>
            </w:tcBorders>
            <w:shd w:val="clear" w:color="auto" w:fill="auto"/>
            <w:noWrap/>
            <w:vAlign w:val="bottom"/>
            <w:hideMark/>
          </w:tcPr>
          <w:p w14:paraId="5E98BF1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1.084</w:t>
            </w:r>
          </w:p>
        </w:tc>
        <w:tc>
          <w:tcPr>
            <w:tcW w:w="1240" w:type="dxa"/>
            <w:tcBorders>
              <w:top w:val="nil"/>
              <w:left w:val="nil"/>
              <w:bottom w:val="single" w:sz="4" w:space="0" w:color="auto"/>
              <w:right w:val="single" w:sz="4" w:space="0" w:color="auto"/>
            </w:tcBorders>
            <w:shd w:val="clear" w:color="auto" w:fill="auto"/>
            <w:noWrap/>
            <w:vAlign w:val="bottom"/>
            <w:hideMark/>
          </w:tcPr>
          <w:p w14:paraId="24E6CE4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1.303</w:t>
            </w:r>
          </w:p>
        </w:tc>
        <w:tc>
          <w:tcPr>
            <w:tcW w:w="960" w:type="dxa"/>
            <w:tcBorders>
              <w:top w:val="nil"/>
              <w:left w:val="nil"/>
              <w:bottom w:val="single" w:sz="4" w:space="0" w:color="auto"/>
              <w:right w:val="single" w:sz="4" w:space="0" w:color="auto"/>
            </w:tcBorders>
            <w:shd w:val="clear" w:color="auto" w:fill="auto"/>
            <w:noWrap/>
            <w:vAlign w:val="bottom"/>
            <w:hideMark/>
          </w:tcPr>
          <w:p w14:paraId="4583A71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73</w:t>
            </w:r>
          </w:p>
        </w:tc>
        <w:tc>
          <w:tcPr>
            <w:tcW w:w="1380" w:type="dxa"/>
            <w:tcBorders>
              <w:top w:val="nil"/>
              <w:left w:val="nil"/>
              <w:bottom w:val="single" w:sz="4" w:space="0" w:color="auto"/>
              <w:right w:val="single" w:sz="4" w:space="0" w:color="auto"/>
            </w:tcBorders>
            <w:shd w:val="clear" w:color="auto" w:fill="auto"/>
            <w:noWrap/>
            <w:vAlign w:val="bottom"/>
            <w:hideMark/>
          </w:tcPr>
          <w:p w14:paraId="66AD495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55</w:t>
            </w:r>
          </w:p>
        </w:tc>
      </w:tr>
      <w:tr w:rsidR="00D47324" w:rsidRPr="00D47324" w14:paraId="512F8082"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6E19EACA"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Puglia</w:t>
            </w:r>
          </w:p>
        </w:tc>
        <w:tc>
          <w:tcPr>
            <w:tcW w:w="1380" w:type="dxa"/>
            <w:tcBorders>
              <w:top w:val="nil"/>
              <w:left w:val="nil"/>
              <w:bottom w:val="single" w:sz="4" w:space="0" w:color="auto"/>
              <w:right w:val="single" w:sz="4" w:space="0" w:color="auto"/>
            </w:tcBorders>
            <w:shd w:val="clear" w:color="auto" w:fill="auto"/>
            <w:noWrap/>
            <w:vAlign w:val="bottom"/>
            <w:hideMark/>
          </w:tcPr>
          <w:p w14:paraId="7351492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88.518</w:t>
            </w:r>
          </w:p>
        </w:tc>
        <w:tc>
          <w:tcPr>
            <w:tcW w:w="1460" w:type="dxa"/>
            <w:tcBorders>
              <w:top w:val="nil"/>
              <w:left w:val="nil"/>
              <w:bottom w:val="single" w:sz="4" w:space="0" w:color="auto"/>
              <w:right w:val="single" w:sz="4" w:space="0" w:color="auto"/>
            </w:tcBorders>
            <w:shd w:val="clear" w:color="auto" w:fill="auto"/>
            <w:noWrap/>
            <w:vAlign w:val="bottom"/>
            <w:hideMark/>
          </w:tcPr>
          <w:p w14:paraId="1070747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77.766</w:t>
            </w:r>
          </w:p>
        </w:tc>
        <w:tc>
          <w:tcPr>
            <w:tcW w:w="960" w:type="dxa"/>
            <w:tcBorders>
              <w:top w:val="nil"/>
              <w:left w:val="nil"/>
              <w:bottom w:val="single" w:sz="4" w:space="0" w:color="auto"/>
              <w:right w:val="single" w:sz="4" w:space="0" w:color="auto"/>
            </w:tcBorders>
            <w:shd w:val="clear" w:color="auto" w:fill="auto"/>
            <w:noWrap/>
            <w:vAlign w:val="bottom"/>
            <w:hideMark/>
          </w:tcPr>
          <w:p w14:paraId="45302F6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149</w:t>
            </w:r>
          </w:p>
        </w:tc>
        <w:tc>
          <w:tcPr>
            <w:tcW w:w="1240" w:type="dxa"/>
            <w:tcBorders>
              <w:top w:val="nil"/>
              <w:left w:val="nil"/>
              <w:bottom w:val="single" w:sz="4" w:space="0" w:color="auto"/>
              <w:right w:val="single" w:sz="4" w:space="0" w:color="auto"/>
            </w:tcBorders>
            <w:shd w:val="clear" w:color="auto" w:fill="auto"/>
            <w:noWrap/>
            <w:vAlign w:val="bottom"/>
            <w:hideMark/>
          </w:tcPr>
          <w:p w14:paraId="649845A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171</w:t>
            </w:r>
          </w:p>
        </w:tc>
        <w:tc>
          <w:tcPr>
            <w:tcW w:w="960" w:type="dxa"/>
            <w:tcBorders>
              <w:top w:val="nil"/>
              <w:left w:val="nil"/>
              <w:bottom w:val="single" w:sz="4" w:space="0" w:color="auto"/>
              <w:right w:val="single" w:sz="4" w:space="0" w:color="auto"/>
            </w:tcBorders>
            <w:shd w:val="clear" w:color="auto" w:fill="auto"/>
            <w:noWrap/>
            <w:vAlign w:val="bottom"/>
            <w:hideMark/>
          </w:tcPr>
          <w:p w14:paraId="40B52EC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768</w:t>
            </w:r>
          </w:p>
        </w:tc>
        <w:tc>
          <w:tcPr>
            <w:tcW w:w="1380" w:type="dxa"/>
            <w:tcBorders>
              <w:top w:val="nil"/>
              <w:left w:val="nil"/>
              <w:bottom w:val="single" w:sz="4" w:space="0" w:color="auto"/>
              <w:right w:val="single" w:sz="4" w:space="0" w:color="auto"/>
            </w:tcBorders>
            <w:shd w:val="clear" w:color="auto" w:fill="auto"/>
            <w:noWrap/>
            <w:vAlign w:val="bottom"/>
            <w:hideMark/>
          </w:tcPr>
          <w:p w14:paraId="01D1301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771</w:t>
            </w:r>
          </w:p>
        </w:tc>
      </w:tr>
      <w:tr w:rsidR="00D47324" w:rsidRPr="00D47324" w14:paraId="573D9599"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661C902"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Sardegna</w:t>
            </w:r>
          </w:p>
        </w:tc>
        <w:tc>
          <w:tcPr>
            <w:tcW w:w="1380" w:type="dxa"/>
            <w:tcBorders>
              <w:top w:val="nil"/>
              <w:left w:val="nil"/>
              <w:bottom w:val="single" w:sz="4" w:space="0" w:color="auto"/>
              <w:right w:val="single" w:sz="4" w:space="0" w:color="auto"/>
            </w:tcBorders>
            <w:shd w:val="clear" w:color="auto" w:fill="auto"/>
            <w:noWrap/>
            <w:vAlign w:val="bottom"/>
            <w:hideMark/>
          </w:tcPr>
          <w:p w14:paraId="10690AA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35.295</w:t>
            </w:r>
          </w:p>
        </w:tc>
        <w:tc>
          <w:tcPr>
            <w:tcW w:w="1460" w:type="dxa"/>
            <w:tcBorders>
              <w:top w:val="nil"/>
              <w:left w:val="nil"/>
              <w:bottom w:val="single" w:sz="4" w:space="0" w:color="auto"/>
              <w:right w:val="single" w:sz="4" w:space="0" w:color="auto"/>
            </w:tcBorders>
            <w:shd w:val="clear" w:color="auto" w:fill="auto"/>
            <w:noWrap/>
            <w:vAlign w:val="bottom"/>
            <w:hideMark/>
          </w:tcPr>
          <w:p w14:paraId="28CB442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33.661</w:t>
            </w:r>
          </w:p>
        </w:tc>
        <w:tc>
          <w:tcPr>
            <w:tcW w:w="960" w:type="dxa"/>
            <w:tcBorders>
              <w:top w:val="nil"/>
              <w:left w:val="nil"/>
              <w:bottom w:val="single" w:sz="4" w:space="0" w:color="auto"/>
              <w:right w:val="single" w:sz="4" w:space="0" w:color="auto"/>
            </w:tcBorders>
            <w:shd w:val="clear" w:color="auto" w:fill="auto"/>
            <w:noWrap/>
            <w:vAlign w:val="bottom"/>
            <w:hideMark/>
          </w:tcPr>
          <w:p w14:paraId="190138B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316</w:t>
            </w:r>
          </w:p>
        </w:tc>
        <w:tc>
          <w:tcPr>
            <w:tcW w:w="1240" w:type="dxa"/>
            <w:tcBorders>
              <w:top w:val="nil"/>
              <w:left w:val="nil"/>
              <w:bottom w:val="single" w:sz="4" w:space="0" w:color="auto"/>
              <w:right w:val="single" w:sz="4" w:space="0" w:color="auto"/>
            </w:tcBorders>
            <w:shd w:val="clear" w:color="auto" w:fill="auto"/>
            <w:noWrap/>
            <w:vAlign w:val="bottom"/>
            <w:hideMark/>
          </w:tcPr>
          <w:p w14:paraId="5EE9D46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325</w:t>
            </w:r>
          </w:p>
        </w:tc>
        <w:tc>
          <w:tcPr>
            <w:tcW w:w="960" w:type="dxa"/>
            <w:tcBorders>
              <w:top w:val="nil"/>
              <w:left w:val="nil"/>
              <w:bottom w:val="single" w:sz="4" w:space="0" w:color="auto"/>
              <w:right w:val="single" w:sz="4" w:space="0" w:color="auto"/>
            </w:tcBorders>
            <w:shd w:val="clear" w:color="auto" w:fill="auto"/>
            <w:noWrap/>
            <w:vAlign w:val="bottom"/>
            <w:hideMark/>
          </w:tcPr>
          <w:p w14:paraId="4B86E41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647</w:t>
            </w:r>
          </w:p>
        </w:tc>
        <w:tc>
          <w:tcPr>
            <w:tcW w:w="1380" w:type="dxa"/>
            <w:tcBorders>
              <w:top w:val="nil"/>
              <w:left w:val="nil"/>
              <w:bottom w:val="single" w:sz="4" w:space="0" w:color="auto"/>
              <w:right w:val="single" w:sz="4" w:space="0" w:color="auto"/>
            </w:tcBorders>
            <w:shd w:val="clear" w:color="auto" w:fill="auto"/>
            <w:noWrap/>
            <w:vAlign w:val="bottom"/>
            <w:hideMark/>
          </w:tcPr>
          <w:p w14:paraId="10E90A5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710</w:t>
            </w:r>
          </w:p>
        </w:tc>
      </w:tr>
      <w:tr w:rsidR="00D47324" w:rsidRPr="00D47324" w14:paraId="249FE26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0A0F60E"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Sicilia</w:t>
            </w:r>
          </w:p>
        </w:tc>
        <w:tc>
          <w:tcPr>
            <w:tcW w:w="1380" w:type="dxa"/>
            <w:tcBorders>
              <w:top w:val="nil"/>
              <w:left w:val="nil"/>
              <w:bottom w:val="single" w:sz="4" w:space="0" w:color="auto"/>
              <w:right w:val="single" w:sz="4" w:space="0" w:color="auto"/>
            </w:tcBorders>
            <w:shd w:val="clear" w:color="auto" w:fill="auto"/>
            <w:noWrap/>
            <w:vAlign w:val="bottom"/>
            <w:hideMark/>
          </w:tcPr>
          <w:p w14:paraId="6A0C715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92.489</w:t>
            </w:r>
          </w:p>
        </w:tc>
        <w:tc>
          <w:tcPr>
            <w:tcW w:w="1460" w:type="dxa"/>
            <w:tcBorders>
              <w:top w:val="nil"/>
              <w:left w:val="nil"/>
              <w:bottom w:val="single" w:sz="4" w:space="0" w:color="auto"/>
              <w:right w:val="single" w:sz="4" w:space="0" w:color="auto"/>
            </w:tcBorders>
            <w:shd w:val="clear" w:color="auto" w:fill="auto"/>
            <w:noWrap/>
            <w:vAlign w:val="bottom"/>
            <w:hideMark/>
          </w:tcPr>
          <w:p w14:paraId="7A660DC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79.087</w:t>
            </w:r>
          </w:p>
        </w:tc>
        <w:tc>
          <w:tcPr>
            <w:tcW w:w="960" w:type="dxa"/>
            <w:tcBorders>
              <w:top w:val="nil"/>
              <w:left w:val="nil"/>
              <w:bottom w:val="single" w:sz="4" w:space="0" w:color="auto"/>
              <w:right w:val="single" w:sz="4" w:space="0" w:color="auto"/>
            </w:tcBorders>
            <w:shd w:val="clear" w:color="auto" w:fill="auto"/>
            <w:noWrap/>
            <w:vAlign w:val="bottom"/>
            <w:hideMark/>
          </w:tcPr>
          <w:p w14:paraId="382B2A9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253</w:t>
            </w:r>
          </w:p>
        </w:tc>
        <w:tc>
          <w:tcPr>
            <w:tcW w:w="1240" w:type="dxa"/>
            <w:tcBorders>
              <w:top w:val="nil"/>
              <w:left w:val="nil"/>
              <w:bottom w:val="single" w:sz="4" w:space="0" w:color="auto"/>
              <w:right w:val="single" w:sz="4" w:space="0" w:color="auto"/>
            </w:tcBorders>
            <w:shd w:val="clear" w:color="auto" w:fill="auto"/>
            <w:noWrap/>
            <w:vAlign w:val="bottom"/>
            <w:hideMark/>
          </w:tcPr>
          <w:p w14:paraId="6B0EA02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261</w:t>
            </w:r>
          </w:p>
        </w:tc>
        <w:tc>
          <w:tcPr>
            <w:tcW w:w="960" w:type="dxa"/>
            <w:tcBorders>
              <w:top w:val="nil"/>
              <w:left w:val="nil"/>
              <w:bottom w:val="single" w:sz="4" w:space="0" w:color="auto"/>
              <w:right w:val="single" w:sz="4" w:space="0" w:color="auto"/>
            </w:tcBorders>
            <w:shd w:val="clear" w:color="auto" w:fill="auto"/>
            <w:noWrap/>
            <w:vAlign w:val="bottom"/>
            <w:hideMark/>
          </w:tcPr>
          <w:p w14:paraId="2B23C1B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1.989</w:t>
            </w:r>
          </w:p>
        </w:tc>
        <w:tc>
          <w:tcPr>
            <w:tcW w:w="1380" w:type="dxa"/>
            <w:tcBorders>
              <w:top w:val="nil"/>
              <w:left w:val="nil"/>
              <w:bottom w:val="single" w:sz="4" w:space="0" w:color="auto"/>
              <w:right w:val="single" w:sz="4" w:space="0" w:color="auto"/>
            </w:tcBorders>
            <w:shd w:val="clear" w:color="auto" w:fill="auto"/>
            <w:noWrap/>
            <w:vAlign w:val="bottom"/>
            <w:hideMark/>
          </w:tcPr>
          <w:p w14:paraId="15CAEAD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1.814</w:t>
            </w:r>
          </w:p>
        </w:tc>
      </w:tr>
      <w:tr w:rsidR="00D47324" w:rsidRPr="00D47324" w14:paraId="4B169125"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4BDF213"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Toscana</w:t>
            </w:r>
          </w:p>
        </w:tc>
        <w:tc>
          <w:tcPr>
            <w:tcW w:w="1380" w:type="dxa"/>
            <w:tcBorders>
              <w:top w:val="nil"/>
              <w:left w:val="nil"/>
              <w:bottom w:val="single" w:sz="4" w:space="0" w:color="auto"/>
              <w:right w:val="single" w:sz="4" w:space="0" w:color="auto"/>
            </w:tcBorders>
            <w:shd w:val="clear" w:color="auto" w:fill="auto"/>
            <w:noWrap/>
            <w:vAlign w:val="bottom"/>
            <w:hideMark/>
          </w:tcPr>
          <w:p w14:paraId="25FC762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41.569</w:t>
            </w:r>
          </w:p>
        </w:tc>
        <w:tc>
          <w:tcPr>
            <w:tcW w:w="1460" w:type="dxa"/>
            <w:tcBorders>
              <w:top w:val="nil"/>
              <w:left w:val="nil"/>
              <w:bottom w:val="single" w:sz="4" w:space="0" w:color="auto"/>
              <w:right w:val="single" w:sz="4" w:space="0" w:color="auto"/>
            </w:tcBorders>
            <w:shd w:val="clear" w:color="auto" w:fill="auto"/>
            <w:noWrap/>
            <w:vAlign w:val="bottom"/>
            <w:hideMark/>
          </w:tcPr>
          <w:p w14:paraId="614D994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38.377</w:t>
            </w:r>
          </w:p>
        </w:tc>
        <w:tc>
          <w:tcPr>
            <w:tcW w:w="960" w:type="dxa"/>
            <w:tcBorders>
              <w:top w:val="nil"/>
              <w:left w:val="nil"/>
              <w:bottom w:val="single" w:sz="4" w:space="0" w:color="auto"/>
              <w:right w:val="single" w:sz="4" w:space="0" w:color="auto"/>
            </w:tcBorders>
            <w:shd w:val="clear" w:color="auto" w:fill="auto"/>
            <w:noWrap/>
            <w:vAlign w:val="bottom"/>
            <w:hideMark/>
          </w:tcPr>
          <w:p w14:paraId="78FEDE5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1.509</w:t>
            </w:r>
          </w:p>
        </w:tc>
        <w:tc>
          <w:tcPr>
            <w:tcW w:w="1240" w:type="dxa"/>
            <w:tcBorders>
              <w:top w:val="nil"/>
              <w:left w:val="nil"/>
              <w:bottom w:val="single" w:sz="4" w:space="0" w:color="auto"/>
              <w:right w:val="single" w:sz="4" w:space="0" w:color="auto"/>
            </w:tcBorders>
            <w:shd w:val="clear" w:color="auto" w:fill="auto"/>
            <w:noWrap/>
            <w:vAlign w:val="bottom"/>
            <w:hideMark/>
          </w:tcPr>
          <w:p w14:paraId="64A562E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1.713</w:t>
            </w:r>
          </w:p>
        </w:tc>
        <w:tc>
          <w:tcPr>
            <w:tcW w:w="960" w:type="dxa"/>
            <w:tcBorders>
              <w:top w:val="nil"/>
              <w:left w:val="nil"/>
              <w:bottom w:val="single" w:sz="4" w:space="0" w:color="auto"/>
              <w:right w:val="single" w:sz="4" w:space="0" w:color="auto"/>
            </w:tcBorders>
            <w:shd w:val="clear" w:color="auto" w:fill="auto"/>
            <w:noWrap/>
            <w:vAlign w:val="bottom"/>
            <w:hideMark/>
          </w:tcPr>
          <w:p w14:paraId="37CF74D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422</w:t>
            </w:r>
          </w:p>
        </w:tc>
        <w:tc>
          <w:tcPr>
            <w:tcW w:w="1380" w:type="dxa"/>
            <w:tcBorders>
              <w:top w:val="nil"/>
              <w:left w:val="nil"/>
              <w:bottom w:val="single" w:sz="4" w:space="0" w:color="auto"/>
              <w:right w:val="single" w:sz="4" w:space="0" w:color="auto"/>
            </w:tcBorders>
            <w:shd w:val="clear" w:color="auto" w:fill="auto"/>
            <w:noWrap/>
            <w:vAlign w:val="bottom"/>
            <w:hideMark/>
          </w:tcPr>
          <w:p w14:paraId="2CC2DFF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429</w:t>
            </w:r>
          </w:p>
        </w:tc>
      </w:tr>
      <w:tr w:rsidR="00D47324" w:rsidRPr="00D47324" w14:paraId="584FFED3"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BCB1BCC"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 xml:space="preserve">Trentino-Alto Adige </w:t>
            </w:r>
          </w:p>
        </w:tc>
        <w:tc>
          <w:tcPr>
            <w:tcW w:w="1380" w:type="dxa"/>
            <w:tcBorders>
              <w:top w:val="nil"/>
              <w:left w:val="nil"/>
              <w:bottom w:val="single" w:sz="4" w:space="0" w:color="auto"/>
              <w:right w:val="single" w:sz="4" w:space="0" w:color="auto"/>
            </w:tcBorders>
            <w:shd w:val="clear" w:color="auto" w:fill="auto"/>
            <w:noWrap/>
            <w:vAlign w:val="bottom"/>
            <w:hideMark/>
          </w:tcPr>
          <w:p w14:paraId="79F6356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29.349</w:t>
            </w:r>
          </w:p>
        </w:tc>
        <w:tc>
          <w:tcPr>
            <w:tcW w:w="1460" w:type="dxa"/>
            <w:tcBorders>
              <w:top w:val="nil"/>
              <w:left w:val="nil"/>
              <w:bottom w:val="single" w:sz="4" w:space="0" w:color="auto"/>
              <w:right w:val="single" w:sz="4" w:space="0" w:color="auto"/>
            </w:tcBorders>
            <w:shd w:val="clear" w:color="auto" w:fill="auto"/>
            <w:noWrap/>
            <w:vAlign w:val="bottom"/>
            <w:hideMark/>
          </w:tcPr>
          <w:p w14:paraId="756B978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27.893</w:t>
            </w:r>
          </w:p>
        </w:tc>
        <w:tc>
          <w:tcPr>
            <w:tcW w:w="960" w:type="dxa"/>
            <w:tcBorders>
              <w:top w:val="nil"/>
              <w:left w:val="nil"/>
              <w:bottom w:val="single" w:sz="4" w:space="0" w:color="auto"/>
              <w:right w:val="single" w:sz="4" w:space="0" w:color="auto"/>
            </w:tcBorders>
            <w:shd w:val="clear" w:color="auto" w:fill="auto"/>
            <w:noWrap/>
            <w:vAlign w:val="bottom"/>
            <w:hideMark/>
          </w:tcPr>
          <w:p w14:paraId="3BA0A0C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690</w:t>
            </w:r>
          </w:p>
        </w:tc>
        <w:tc>
          <w:tcPr>
            <w:tcW w:w="1240" w:type="dxa"/>
            <w:tcBorders>
              <w:top w:val="nil"/>
              <w:left w:val="nil"/>
              <w:bottom w:val="single" w:sz="4" w:space="0" w:color="auto"/>
              <w:right w:val="single" w:sz="4" w:space="0" w:color="auto"/>
            </w:tcBorders>
            <w:shd w:val="clear" w:color="auto" w:fill="auto"/>
            <w:noWrap/>
            <w:vAlign w:val="bottom"/>
            <w:hideMark/>
          </w:tcPr>
          <w:p w14:paraId="1C440B6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820</w:t>
            </w:r>
          </w:p>
        </w:tc>
        <w:tc>
          <w:tcPr>
            <w:tcW w:w="960" w:type="dxa"/>
            <w:tcBorders>
              <w:top w:val="nil"/>
              <w:left w:val="nil"/>
              <w:bottom w:val="single" w:sz="4" w:space="0" w:color="auto"/>
              <w:right w:val="single" w:sz="4" w:space="0" w:color="auto"/>
            </w:tcBorders>
            <w:shd w:val="clear" w:color="auto" w:fill="auto"/>
            <w:noWrap/>
            <w:vAlign w:val="bottom"/>
            <w:hideMark/>
          </w:tcPr>
          <w:p w14:paraId="7976D2A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43</w:t>
            </w:r>
          </w:p>
        </w:tc>
        <w:tc>
          <w:tcPr>
            <w:tcW w:w="1380" w:type="dxa"/>
            <w:tcBorders>
              <w:top w:val="nil"/>
              <w:left w:val="nil"/>
              <w:bottom w:val="single" w:sz="4" w:space="0" w:color="auto"/>
              <w:right w:val="single" w:sz="4" w:space="0" w:color="auto"/>
            </w:tcBorders>
            <w:shd w:val="clear" w:color="auto" w:fill="auto"/>
            <w:noWrap/>
            <w:vAlign w:val="bottom"/>
            <w:hideMark/>
          </w:tcPr>
          <w:p w14:paraId="5E7C0EC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41</w:t>
            </w:r>
          </w:p>
        </w:tc>
      </w:tr>
      <w:tr w:rsidR="00D47324" w:rsidRPr="00D47324" w14:paraId="030352CA"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0FEFBB46"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Umbria</w:t>
            </w:r>
          </w:p>
        </w:tc>
        <w:tc>
          <w:tcPr>
            <w:tcW w:w="1380" w:type="dxa"/>
            <w:tcBorders>
              <w:top w:val="nil"/>
              <w:left w:val="nil"/>
              <w:bottom w:val="single" w:sz="4" w:space="0" w:color="auto"/>
              <w:right w:val="single" w:sz="4" w:space="0" w:color="auto"/>
            </w:tcBorders>
            <w:shd w:val="clear" w:color="auto" w:fill="auto"/>
            <w:noWrap/>
            <w:vAlign w:val="bottom"/>
            <w:hideMark/>
          </w:tcPr>
          <w:p w14:paraId="7AF01F0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18.117</w:t>
            </w:r>
          </w:p>
        </w:tc>
        <w:tc>
          <w:tcPr>
            <w:tcW w:w="1460" w:type="dxa"/>
            <w:tcBorders>
              <w:top w:val="nil"/>
              <w:left w:val="nil"/>
              <w:bottom w:val="single" w:sz="4" w:space="0" w:color="auto"/>
              <w:right w:val="single" w:sz="4" w:space="0" w:color="auto"/>
            </w:tcBorders>
            <w:shd w:val="clear" w:color="auto" w:fill="auto"/>
            <w:noWrap/>
            <w:vAlign w:val="bottom"/>
            <w:hideMark/>
          </w:tcPr>
          <w:p w14:paraId="68E25A8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16.344</w:t>
            </w:r>
          </w:p>
        </w:tc>
        <w:tc>
          <w:tcPr>
            <w:tcW w:w="960" w:type="dxa"/>
            <w:tcBorders>
              <w:top w:val="nil"/>
              <w:left w:val="nil"/>
              <w:bottom w:val="single" w:sz="4" w:space="0" w:color="auto"/>
              <w:right w:val="single" w:sz="4" w:space="0" w:color="auto"/>
            </w:tcBorders>
            <w:shd w:val="clear" w:color="auto" w:fill="auto"/>
            <w:noWrap/>
            <w:vAlign w:val="bottom"/>
            <w:hideMark/>
          </w:tcPr>
          <w:p w14:paraId="4EB6EB7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449</w:t>
            </w:r>
          </w:p>
        </w:tc>
        <w:tc>
          <w:tcPr>
            <w:tcW w:w="1240" w:type="dxa"/>
            <w:tcBorders>
              <w:top w:val="nil"/>
              <w:left w:val="nil"/>
              <w:bottom w:val="single" w:sz="4" w:space="0" w:color="auto"/>
              <w:right w:val="single" w:sz="4" w:space="0" w:color="auto"/>
            </w:tcBorders>
            <w:shd w:val="clear" w:color="auto" w:fill="auto"/>
            <w:noWrap/>
            <w:vAlign w:val="bottom"/>
            <w:hideMark/>
          </w:tcPr>
          <w:p w14:paraId="5A75187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470</w:t>
            </w:r>
          </w:p>
        </w:tc>
        <w:tc>
          <w:tcPr>
            <w:tcW w:w="960" w:type="dxa"/>
            <w:tcBorders>
              <w:top w:val="nil"/>
              <w:left w:val="nil"/>
              <w:bottom w:val="single" w:sz="4" w:space="0" w:color="auto"/>
              <w:right w:val="single" w:sz="4" w:space="0" w:color="auto"/>
            </w:tcBorders>
            <w:shd w:val="clear" w:color="auto" w:fill="auto"/>
            <w:noWrap/>
            <w:vAlign w:val="bottom"/>
            <w:hideMark/>
          </w:tcPr>
          <w:p w14:paraId="59376E7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w:t>
            </w:r>
          </w:p>
        </w:tc>
        <w:tc>
          <w:tcPr>
            <w:tcW w:w="1380" w:type="dxa"/>
            <w:tcBorders>
              <w:top w:val="nil"/>
              <w:left w:val="nil"/>
              <w:bottom w:val="single" w:sz="4" w:space="0" w:color="auto"/>
              <w:right w:val="single" w:sz="4" w:space="0" w:color="auto"/>
            </w:tcBorders>
            <w:shd w:val="clear" w:color="auto" w:fill="auto"/>
            <w:noWrap/>
            <w:vAlign w:val="bottom"/>
            <w:hideMark/>
          </w:tcPr>
          <w:p w14:paraId="3E955C5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w:t>
            </w:r>
          </w:p>
        </w:tc>
      </w:tr>
      <w:tr w:rsidR="00D47324" w:rsidRPr="00D47324" w14:paraId="4E6A491E"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18BCE2D" w14:textId="77777777" w:rsidR="00D47324" w:rsidRPr="00D47324" w:rsidRDefault="00D47324" w:rsidP="00D47324">
            <w:pPr>
              <w:spacing w:after="0"/>
              <w:jc w:val="left"/>
              <w:rPr>
                <w:rFonts w:ascii="Calibri" w:eastAsia="Times New Roman" w:hAnsi="Calibri" w:cs="Calibri"/>
                <w:color w:val="000000"/>
                <w:lang w:eastAsia="it-IT"/>
              </w:rPr>
            </w:pPr>
            <w:proofErr w:type="gramStart"/>
            <w:r w:rsidRPr="00D47324">
              <w:rPr>
                <w:rFonts w:ascii="Calibri" w:eastAsia="Times New Roman" w:hAnsi="Calibri" w:cs="Calibri"/>
                <w:color w:val="000000"/>
                <w:lang w:eastAsia="it-IT"/>
              </w:rPr>
              <w:t>Valle  d'Aosta</w:t>
            </w:r>
            <w:proofErr w:type="gramEnd"/>
          </w:p>
        </w:tc>
        <w:tc>
          <w:tcPr>
            <w:tcW w:w="1380" w:type="dxa"/>
            <w:tcBorders>
              <w:top w:val="nil"/>
              <w:left w:val="nil"/>
              <w:bottom w:val="single" w:sz="4" w:space="0" w:color="auto"/>
              <w:right w:val="single" w:sz="4" w:space="0" w:color="auto"/>
            </w:tcBorders>
            <w:shd w:val="clear" w:color="auto" w:fill="auto"/>
            <w:noWrap/>
            <w:vAlign w:val="bottom"/>
            <w:hideMark/>
          </w:tcPr>
          <w:p w14:paraId="5B71501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1.851</w:t>
            </w:r>
          </w:p>
        </w:tc>
        <w:tc>
          <w:tcPr>
            <w:tcW w:w="1460" w:type="dxa"/>
            <w:tcBorders>
              <w:top w:val="nil"/>
              <w:left w:val="nil"/>
              <w:bottom w:val="single" w:sz="4" w:space="0" w:color="auto"/>
              <w:right w:val="single" w:sz="4" w:space="0" w:color="auto"/>
            </w:tcBorders>
            <w:shd w:val="clear" w:color="auto" w:fill="auto"/>
            <w:noWrap/>
            <w:vAlign w:val="bottom"/>
            <w:hideMark/>
          </w:tcPr>
          <w:p w14:paraId="2519841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1.422</w:t>
            </w:r>
          </w:p>
        </w:tc>
        <w:tc>
          <w:tcPr>
            <w:tcW w:w="960" w:type="dxa"/>
            <w:tcBorders>
              <w:top w:val="nil"/>
              <w:left w:val="nil"/>
              <w:bottom w:val="single" w:sz="4" w:space="0" w:color="auto"/>
              <w:right w:val="single" w:sz="4" w:space="0" w:color="auto"/>
            </w:tcBorders>
            <w:shd w:val="clear" w:color="auto" w:fill="auto"/>
            <w:noWrap/>
            <w:vAlign w:val="bottom"/>
            <w:hideMark/>
          </w:tcPr>
          <w:p w14:paraId="5EEDB0C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22</w:t>
            </w:r>
          </w:p>
        </w:tc>
        <w:tc>
          <w:tcPr>
            <w:tcW w:w="1240" w:type="dxa"/>
            <w:tcBorders>
              <w:top w:val="nil"/>
              <w:left w:val="nil"/>
              <w:bottom w:val="single" w:sz="4" w:space="0" w:color="auto"/>
              <w:right w:val="single" w:sz="4" w:space="0" w:color="auto"/>
            </w:tcBorders>
            <w:shd w:val="clear" w:color="auto" w:fill="auto"/>
            <w:noWrap/>
            <w:vAlign w:val="bottom"/>
            <w:hideMark/>
          </w:tcPr>
          <w:p w14:paraId="5FA4ED7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w:t>
            </w:r>
          </w:p>
        </w:tc>
        <w:tc>
          <w:tcPr>
            <w:tcW w:w="960" w:type="dxa"/>
            <w:tcBorders>
              <w:top w:val="nil"/>
              <w:left w:val="nil"/>
              <w:bottom w:val="single" w:sz="4" w:space="0" w:color="auto"/>
              <w:right w:val="single" w:sz="4" w:space="0" w:color="auto"/>
            </w:tcBorders>
            <w:shd w:val="clear" w:color="auto" w:fill="auto"/>
            <w:noWrap/>
            <w:vAlign w:val="bottom"/>
            <w:hideMark/>
          </w:tcPr>
          <w:p w14:paraId="55368FC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w:t>
            </w:r>
          </w:p>
        </w:tc>
        <w:tc>
          <w:tcPr>
            <w:tcW w:w="1380" w:type="dxa"/>
            <w:tcBorders>
              <w:top w:val="nil"/>
              <w:left w:val="nil"/>
              <w:bottom w:val="single" w:sz="4" w:space="0" w:color="auto"/>
              <w:right w:val="single" w:sz="4" w:space="0" w:color="auto"/>
            </w:tcBorders>
            <w:shd w:val="clear" w:color="auto" w:fill="auto"/>
            <w:noWrap/>
            <w:vAlign w:val="bottom"/>
            <w:hideMark/>
          </w:tcPr>
          <w:p w14:paraId="29376D5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w:t>
            </w:r>
          </w:p>
        </w:tc>
      </w:tr>
      <w:tr w:rsidR="00D47324" w:rsidRPr="00D47324" w14:paraId="7912549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5E83EBAC"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Veneto</w:t>
            </w:r>
          </w:p>
        </w:tc>
        <w:tc>
          <w:tcPr>
            <w:tcW w:w="1380" w:type="dxa"/>
            <w:tcBorders>
              <w:top w:val="nil"/>
              <w:left w:val="nil"/>
              <w:bottom w:val="single" w:sz="4" w:space="0" w:color="auto"/>
              <w:right w:val="single" w:sz="4" w:space="0" w:color="auto"/>
            </w:tcBorders>
            <w:shd w:val="clear" w:color="auto" w:fill="auto"/>
            <w:noWrap/>
            <w:vAlign w:val="bottom"/>
            <w:hideMark/>
          </w:tcPr>
          <w:p w14:paraId="05F5154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75.986</w:t>
            </w:r>
          </w:p>
        </w:tc>
        <w:tc>
          <w:tcPr>
            <w:tcW w:w="1460" w:type="dxa"/>
            <w:tcBorders>
              <w:top w:val="nil"/>
              <w:left w:val="nil"/>
              <w:bottom w:val="single" w:sz="4" w:space="0" w:color="auto"/>
              <w:right w:val="single" w:sz="4" w:space="0" w:color="auto"/>
            </w:tcBorders>
            <w:shd w:val="clear" w:color="auto" w:fill="auto"/>
            <w:noWrap/>
            <w:vAlign w:val="bottom"/>
            <w:hideMark/>
          </w:tcPr>
          <w:p w14:paraId="263E1EE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63.607</w:t>
            </w:r>
          </w:p>
        </w:tc>
        <w:tc>
          <w:tcPr>
            <w:tcW w:w="960" w:type="dxa"/>
            <w:tcBorders>
              <w:top w:val="nil"/>
              <w:left w:val="nil"/>
              <w:bottom w:val="single" w:sz="4" w:space="0" w:color="auto"/>
              <w:right w:val="single" w:sz="4" w:space="0" w:color="auto"/>
            </w:tcBorders>
            <w:shd w:val="clear" w:color="auto" w:fill="auto"/>
            <w:noWrap/>
            <w:vAlign w:val="bottom"/>
            <w:hideMark/>
          </w:tcPr>
          <w:p w14:paraId="38357E0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511</w:t>
            </w:r>
          </w:p>
        </w:tc>
        <w:tc>
          <w:tcPr>
            <w:tcW w:w="1240" w:type="dxa"/>
            <w:tcBorders>
              <w:top w:val="nil"/>
              <w:left w:val="nil"/>
              <w:bottom w:val="single" w:sz="4" w:space="0" w:color="auto"/>
              <w:right w:val="single" w:sz="4" w:space="0" w:color="auto"/>
            </w:tcBorders>
            <w:shd w:val="clear" w:color="auto" w:fill="auto"/>
            <w:noWrap/>
            <w:vAlign w:val="bottom"/>
            <w:hideMark/>
          </w:tcPr>
          <w:p w14:paraId="772FDBA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575</w:t>
            </w:r>
          </w:p>
        </w:tc>
        <w:tc>
          <w:tcPr>
            <w:tcW w:w="960" w:type="dxa"/>
            <w:tcBorders>
              <w:top w:val="nil"/>
              <w:left w:val="nil"/>
              <w:bottom w:val="single" w:sz="4" w:space="0" w:color="auto"/>
              <w:right w:val="single" w:sz="4" w:space="0" w:color="auto"/>
            </w:tcBorders>
            <w:shd w:val="clear" w:color="auto" w:fill="auto"/>
            <w:noWrap/>
            <w:vAlign w:val="bottom"/>
            <w:hideMark/>
          </w:tcPr>
          <w:p w14:paraId="0209A59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3.054</w:t>
            </w:r>
          </w:p>
        </w:tc>
        <w:tc>
          <w:tcPr>
            <w:tcW w:w="1380" w:type="dxa"/>
            <w:tcBorders>
              <w:top w:val="nil"/>
              <w:left w:val="nil"/>
              <w:bottom w:val="single" w:sz="4" w:space="0" w:color="auto"/>
              <w:right w:val="single" w:sz="4" w:space="0" w:color="auto"/>
            </w:tcBorders>
            <w:shd w:val="clear" w:color="auto" w:fill="auto"/>
            <w:noWrap/>
            <w:vAlign w:val="bottom"/>
            <w:hideMark/>
          </w:tcPr>
          <w:p w14:paraId="4721DC6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3.121</w:t>
            </w:r>
          </w:p>
        </w:tc>
      </w:tr>
      <w:tr w:rsidR="00D47324" w:rsidRPr="00D47324" w14:paraId="1431CD0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F44BDB0"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Italia</w:t>
            </w:r>
          </w:p>
        </w:tc>
        <w:tc>
          <w:tcPr>
            <w:tcW w:w="1380" w:type="dxa"/>
            <w:tcBorders>
              <w:top w:val="nil"/>
              <w:left w:val="nil"/>
              <w:bottom w:val="single" w:sz="4" w:space="0" w:color="auto"/>
              <w:right w:val="single" w:sz="4" w:space="0" w:color="auto"/>
            </w:tcBorders>
            <w:shd w:val="clear" w:color="auto" w:fill="auto"/>
            <w:noWrap/>
            <w:vAlign w:val="bottom"/>
            <w:hideMark/>
          </w:tcPr>
          <w:p w14:paraId="1B2DDAB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837.033</w:t>
            </w:r>
          </w:p>
        </w:tc>
        <w:tc>
          <w:tcPr>
            <w:tcW w:w="1460" w:type="dxa"/>
            <w:tcBorders>
              <w:top w:val="nil"/>
              <w:left w:val="nil"/>
              <w:bottom w:val="single" w:sz="4" w:space="0" w:color="auto"/>
              <w:right w:val="single" w:sz="4" w:space="0" w:color="auto"/>
            </w:tcBorders>
            <w:shd w:val="clear" w:color="auto" w:fill="auto"/>
            <w:noWrap/>
            <w:vAlign w:val="bottom"/>
            <w:hideMark/>
          </w:tcPr>
          <w:p w14:paraId="492B4BE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726.261</w:t>
            </w:r>
          </w:p>
        </w:tc>
        <w:tc>
          <w:tcPr>
            <w:tcW w:w="960" w:type="dxa"/>
            <w:tcBorders>
              <w:top w:val="nil"/>
              <w:left w:val="nil"/>
              <w:bottom w:val="single" w:sz="4" w:space="0" w:color="auto"/>
              <w:right w:val="single" w:sz="4" w:space="0" w:color="auto"/>
            </w:tcBorders>
            <w:shd w:val="clear" w:color="auto" w:fill="auto"/>
            <w:noWrap/>
            <w:vAlign w:val="bottom"/>
            <w:hideMark/>
          </w:tcPr>
          <w:p w14:paraId="1D0CD9E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10.390</w:t>
            </w:r>
          </w:p>
        </w:tc>
        <w:tc>
          <w:tcPr>
            <w:tcW w:w="1240" w:type="dxa"/>
            <w:tcBorders>
              <w:top w:val="nil"/>
              <w:left w:val="nil"/>
              <w:bottom w:val="single" w:sz="4" w:space="0" w:color="auto"/>
              <w:right w:val="single" w:sz="4" w:space="0" w:color="auto"/>
            </w:tcBorders>
            <w:shd w:val="clear" w:color="auto" w:fill="auto"/>
            <w:noWrap/>
            <w:vAlign w:val="bottom"/>
            <w:hideMark/>
          </w:tcPr>
          <w:p w14:paraId="11114B9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11.381</w:t>
            </w:r>
          </w:p>
        </w:tc>
        <w:tc>
          <w:tcPr>
            <w:tcW w:w="960" w:type="dxa"/>
            <w:tcBorders>
              <w:top w:val="nil"/>
              <w:left w:val="nil"/>
              <w:bottom w:val="single" w:sz="4" w:space="0" w:color="auto"/>
              <w:right w:val="single" w:sz="4" w:space="0" w:color="auto"/>
            </w:tcBorders>
            <w:shd w:val="clear" w:color="auto" w:fill="auto"/>
            <w:noWrap/>
            <w:vAlign w:val="bottom"/>
            <w:hideMark/>
          </w:tcPr>
          <w:p w14:paraId="5F8DA84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12.385</w:t>
            </w:r>
          </w:p>
        </w:tc>
        <w:tc>
          <w:tcPr>
            <w:tcW w:w="1380" w:type="dxa"/>
            <w:tcBorders>
              <w:top w:val="nil"/>
              <w:left w:val="nil"/>
              <w:bottom w:val="single" w:sz="4" w:space="0" w:color="auto"/>
              <w:right w:val="single" w:sz="4" w:space="0" w:color="auto"/>
            </w:tcBorders>
            <w:shd w:val="clear" w:color="auto" w:fill="auto"/>
            <w:noWrap/>
            <w:vAlign w:val="bottom"/>
            <w:hideMark/>
          </w:tcPr>
          <w:p w14:paraId="587ED15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12.473</w:t>
            </w:r>
          </w:p>
        </w:tc>
      </w:tr>
    </w:tbl>
    <w:p w14:paraId="2BA0964B" w14:textId="77777777" w:rsidR="001711A9" w:rsidRPr="006C0337" w:rsidRDefault="001711A9" w:rsidP="001711A9">
      <w:pPr>
        <w:pStyle w:val="Fontetabellagrafico"/>
        <w:spacing w:before="60"/>
        <w:rPr>
          <w:sz w:val="20"/>
          <w:szCs w:val="20"/>
        </w:rPr>
      </w:pPr>
      <w:r w:rsidRPr="008E471B">
        <w:rPr>
          <w:sz w:val="20"/>
          <w:szCs w:val="20"/>
        </w:rPr>
        <w:t xml:space="preserve">Fonte: </w:t>
      </w:r>
      <w:r>
        <w:rPr>
          <w:sz w:val="20"/>
          <w:szCs w:val="20"/>
        </w:rPr>
        <w:t>elaborazioni su d</w:t>
      </w:r>
      <w:r w:rsidRPr="008E471B">
        <w:rPr>
          <w:sz w:val="20"/>
          <w:szCs w:val="20"/>
        </w:rPr>
        <w:t xml:space="preserve">ati </w:t>
      </w:r>
      <w:r>
        <w:rPr>
          <w:sz w:val="20"/>
          <w:szCs w:val="20"/>
        </w:rPr>
        <w:t>Infocamere-Sì Camera</w:t>
      </w:r>
    </w:p>
    <w:p w14:paraId="4496D404" w14:textId="7E1B3DCB" w:rsidR="00A33A10" w:rsidRDefault="00A33A10" w:rsidP="00A33A10"/>
    <w:p w14:paraId="6EE849C5" w14:textId="6AAB71FC" w:rsidR="003D2E8F" w:rsidRDefault="003D2E8F">
      <w:pPr>
        <w:jc w:val="left"/>
      </w:pPr>
      <w:r>
        <w:br w:type="page"/>
      </w:r>
    </w:p>
    <w:p w14:paraId="4E40B686" w14:textId="0C71A863" w:rsidR="00CD2E02" w:rsidRDefault="00CD2E02">
      <w:pPr>
        <w:jc w:val="left"/>
      </w:pPr>
    </w:p>
    <w:p w14:paraId="70ABDC55" w14:textId="54506461" w:rsidR="002833CD" w:rsidRDefault="002833CD" w:rsidP="002817B7">
      <w:pPr>
        <w:pStyle w:val="Titolo2"/>
        <w:numPr>
          <w:ilvl w:val="0"/>
          <w:numId w:val="1"/>
        </w:numPr>
      </w:pPr>
      <w:bookmarkStart w:id="3" w:name="_Toc56584455"/>
      <w:r>
        <w:t>PARTE II – LA PREDISPOSIZIONE AL RISCHIO DEGLI AGRICOLTORI</w:t>
      </w:r>
      <w:bookmarkEnd w:id="3"/>
    </w:p>
    <w:p w14:paraId="1D69B7D0" w14:textId="77777777" w:rsidR="002833CD" w:rsidRDefault="002833CD" w:rsidP="002833CD">
      <w:pPr>
        <w:pStyle w:val="Paragrafoelenco"/>
        <w:rPr>
          <w:rFonts w:asciiTheme="majorHAnsi" w:eastAsiaTheme="majorEastAsia" w:hAnsiTheme="majorHAnsi" w:cstheme="majorBidi"/>
          <w:color w:val="365F91" w:themeColor="accent1" w:themeShade="BF"/>
          <w:sz w:val="26"/>
          <w:szCs w:val="26"/>
        </w:rPr>
      </w:pPr>
    </w:p>
    <w:p w14:paraId="5DF0AF31" w14:textId="1D1C0A1A" w:rsidR="0062554B" w:rsidRPr="002833CD" w:rsidRDefault="002833CD" w:rsidP="002833CD">
      <w:pPr>
        <w:pStyle w:val="Titolo2"/>
        <w:rPr>
          <w:color w:val="4BACC6" w:themeColor="accent5"/>
        </w:rPr>
      </w:pPr>
      <w:bookmarkStart w:id="4" w:name="_Toc56584456"/>
      <w:r>
        <w:rPr>
          <w:color w:val="4BACC6" w:themeColor="accent5"/>
        </w:rPr>
        <w:t>2.1 r</w:t>
      </w:r>
      <w:r w:rsidR="0062554B" w:rsidRPr="002833CD">
        <w:rPr>
          <w:color w:val="4BACC6" w:themeColor="accent5"/>
        </w:rPr>
        <w:t>ischi sanitari e ambientali</w:t>
      </w:r>
      <w:bookmarkEnd w:id="4"/>
      <w:r w:rsidR="0062554B" w:rsidRPr="002833CD">
        <w:rPr>
          <w:color w:val="4BACC6" w:themeColor="accent5"/>
        </w:rPr>
        <w:t xml:space="preserve"> </w:t>
      </w:r>
    </w:p>
    <w:p w14:paraId="14B1BA33" w14:textId="77777777" w:rsidR="0062554B" w:rsidRPr="00D47E77" w:rsidRDefault="0062554B" w:rsidP="0062554B">
      <w:pPr>
        <w:pStyle w:val="Paragrafoelenco"/>
        <w:numPr>
          <w:ilvl w:val="1"/>
          <w:numId w:val="18"/>
        </w:numPr>
        <w:spacing w:after="200" w:line="276" w:lineRule="auto"/>
        <w:rPr>
          <w:rFonts w:asciiTheme="majorHAnsi" w:eastAsia="Microsoft YaHei Light" w:hAnsiTheme="majorHAnsi" w:cstheme="majorHAnsi"/>
          <w:b/>
        </w:rPr>
      </w:pPr>
      <w:r w:rsidRPr="00D47E77">
        <w:rPr>
          <w:rFonts w:asciiTheme="majorHAnsi" w:eastAsia="Microsoft YaHei Light" w:hAnsiTheme="majorHAnsi" w:cstheme="majorHAnsi"/>
          <w:b/>
        </w:rPr>
        <w:t>Gli eventi meteoclimatici avversi che più colpiscono la produzione agricola</w:t>
      </w:r>
    </w:p>
    <w:p w14:paraId="5767CCDA" w14:textId="77777777" w:rsidR="00CD2E02" w:rsidRPr="00CD2E02" w:rsidRDefault="00CD2E02" w:rsidP="002A1691">
      <w:pPr>
        <w:pStyle w:val="Paragrafoelenco"/>
        <w:spacing w:before="240"/>
        <w:ind w:left="142"/>
        <w:rPr>
          <w:rFonts w:cstheme="minorHAnsi"/>
        </w:rPr>
      </w:pPr>
      <w:r w:rsidRPr="00CD2E02">
        <w:rPr>
          <w:rFonts w:cstheme="minorHAnsi"/>
        </w:rPr>
        <w:t xml:space="preserve">Basandosi su un’analisi dell’andamento mensile dei fenomeni avversi per l’anno 2019, l’arco temporale tra marzo e settembre, a esclusione del mese di maggio, ha manifestato temperature più elevate rispetto alla media trentennale. Il fenomeno si è rivelato piuttosto marcato, con picchi di +2°C in Sardegna, nell’area della pianura Padano-Veneta-Romagnola e nella provincia di Roma. </w:t>
      </w:r>
    </w:p>
    <w:p w14:paraId="442AA17C" w14:textId="77777777" w:rsidR="00CD2E02" w:rsidRPr="00CD2E02" w:rsidRDefault="00CD2E02" w:rsidP="002A1691">
      <w:pPr>
        <w:pStyle w:val="Paragrafoelenco"/>
        <w:spacing w:before="240"/>
        <w:ind w:left="142"/>
        <w:rPr>
          <w:rFonts w:cstheme="minorHAnsi"/>
        </w:rPr>
      </w:pPr>
      <w:r w:rsidRPr="00CD2E02">
        <w:rPr>
          <w:rFonts w:cstheme="minorHAnsi"/>
        </w:rPr>
        <w:t>Nel Sud Italia tra gli eventi che hanno maggiormente impattato sulle coltivazioni agricole si segnalano le ondate di calore che, a più riprese, hanno colpito i territori di Puglia, Basilicata, Calabria e Sardegna, con picchi di temperatura superiori ai 40°C.</w:t>
      </w:r>
    </w:p>
    <w:p w14:paraId="3281E72B" w14:textId="77777777" w:rsidR="00CD2E02" w:rsidRPr="00CD2E02" w:rsidRDefault="00CD2E02" w:rsidP="002A1691">
      <w:pPr>
        <w:pStyle w:val="Paragrafoelenco"/>
        <w:spacing w:before="240"/>
        <w:ind w:left="142"/>
        <w:rPr>
          <w:rFonts w:cstheme="minorHAnsi"/>
        </w:rPr>
      </w:pPr>
      <w:r w:rsidRPr="00CD2E02">
        <w:rPr>
          <w:rFonts w:cstheme="minorHAnsi"/>
        </w:rPr>
        <w:t xml:space="preserve">Al contrario, il mese di maggio è stato caratterizzato da un freddo anomalo e da precipitazioni abbondanti. La temperatura media su scala nazionale è risultata inferiore di 2-3°C rispetto alla </w:t>
      </w:r>
      <w:proofErr w:type="gramStart"/>
      <w:r w:rsidRPr="00CD2E02">
        <w:rPr>
          <w:rFonts w:cstheme="minorHAnsi"/>
        </w:rPr>
        <w:t>norma ,</w:t>
      </w:r>
      <w:proofErr w:type="gramEnd"/>
      <w:r w:rsidRPr="00CD2E02">
        <w:rPr>
          <w:rFonts w:cstheme="minorHAnsi"/>
        </w:rPr>
        <w:t xml:space="preserve"> con il livello delle precipitazioni medie che ha registrato incrementi tra il 100% e il 200% rispetto alle medie storiche del mese. Si segnalano inoltre gelate tardive soprattutto in Trentino-Alto Adige, nel basso Piemonte e nelle zone interne del Centro Italia, con temperature che hanno raggiunto localmente valori minimi di -1/-2°C. Il Sud Italia è stato invece interessato, oltre che da ondate di calore, da fenomeni di vento forte (Sardegna, Campania, Nord della Puglia, Molise e Sicilia) e da grandinate, specie in Campania e Basilicata. </w:t>
      </w:r>
    </w:p>
    <w:p w14:paraId="3C8E1D49" w14:textId="77777777" w:rsidR="00CD2E02" w:rsidRPr="00CD2E02" w:rsidRDefault="00CD2E02" w:rsidP="002A1691">
      <w:pPr>
        <w:pStyle w:val="Paragrafoelenco"/>
        <w:spacing w:before="240"/>
        <w:ind w:left="142"/>
        <w:rPr>
          <w:rFonts w:cstheme="minorHAnsi"/>
        </w:rPr>
      </w:pPr>
      <w:r w:rsidRPr="00CD2E02">
        <w:rPr>
          <w:rFonts w:cstheme="minorHAnsi"/>
        </w:rPr>
        <w:t xml:space="preserve">Altre anomalie si sono riscontrate tra la fine giugno e la prima metà di agosto, con il passaggio di fronti temporaleschi intensi soprattutto nelle regioni del Nord Italia, accompagnati da grandinate e forti raffiche di vento. Gli episodi più significativi, anche in termini di ricadute sulle colture, hanno riguardato le zone dell’Emilia, del Veneto e della Lombardia. Al Sud sono stati accertati eventi grandinigeni e forti raffiche di vento soprattutto in Campania e Puglia. </w:t>
      </w:r>
    </w:p>
    <w:p w14:paraId="330649FE" w14:textId="77777777" w:rsidR="00CD2E02" w:rsidRPr="00CD2E02" w:rsidRDefault="00CD2E02" w:rsidP="002A1691">
      <w:pPr>
        <w:pStyle w:val="Paragrafoelenco"/>
        <w:spacing w:before="240"/>
        <w:ind w:left="142"/>
        <w:rPr>
          <w:rFonts w:cstheme="minorHAnsi"/>
        </w:rPr>
      </w:pPr>
      <w:r w:rsidRPr="00CD2E02">
        <w:rPr>
          <w:rFonts w:cstheme="minorHAnsi"/>
        </w:rPr>
        <w:t>Ingenti i danni alle produzioni agricole inferti dalle gelate tardive sia a giugno che nella prima metà di agosto, con particolare riferimento alla viticoltura (colpiti gemme e germogli), alle coltivazioni di patate (appassimento della pianta e limitato accrescimento del tubero) e ai frumenti (congelamento dei tessuti, con danni in accrescimento).</w:t>
      </w:r>
    </w:p>
    <w:p w14:paraId="3FC8B169" w14:textId="13517243" w:rsidR="00CD2E02" w:rsidRPr="00CD2E02" w:rsidRDefault="00CD2E02" w:rsidP="002A1691">
      <w:pPr>
        <w:pStyle w:val="Paragrafoelenco"/>
        <w:spacing w:before="240"/>
        <w:ind w:left="142"/>
        <w:rPr>
          <w:rFonts w:cstheme="minorHAnsi"/>
        </w:rPr>
      </w:pPr>
      <w:r w:rsidRPr="00CD2E02">
        <w:rPr>
          <w:rFonts w:cstheme="minorHAnsi"/>
        </w:rPr>
        <w:t>La grandine e il vento forte hanno invece compromesso principalmente le coltivazioni di albicocche e nettarine (cascola e percosse dei frutti), oltre al frumento (allettamento e sgranamento della cariosside), al mais da granella e da insilaggio (allettamento e danni da inefficienza fogliare) e alle cucurbitacee (distacco dei frutti</w:t>
      </w:r>
      <w:proofErr w:type="gramStart"/>
      <w:r w:rsidRPr="00CD2E02">
        <w:rPr>
          <w:rFonts w:cstheme="minorHAnsi"/>
        </w:rPr>
        <w:t>)..</w:t>
      </w:r>
      <w:proofErr w:type="gramEnd"/>
      <w:r w:rsidRPr="00CD2E02">
        <w:rPr>
          <w:rFonts w:cstheme="minorHAnsi"/>
        </w:rPr>
        <w:t xml:space="preserve"> </w:t>
      </w:r>
    </w:p>
    <w:p w14:paraId="5A38FF4F" w14:textId="77777777" w:rsidR="0062554B" w:rsidRPr="0062554B" w:rsidRDefault="0062554B" w:rsidP="0062554B">
      <w:pPr>
        <w:pStyle w:val="Paragrafoelenco"/>
        <w:spacing w:after="200" w:line="276" w:lineRule="auto"/>
        <w:ind w:left="1440"/>
        <w:rPr>
          <w:rFonts w:asciiTheme="majorHAnsi" w:eastAsia="Microsoft YaHei Light" w:hAnsiTheme="majorHAnsi" w:cstheme="majorHAnsi"/>
          <w:b/>
        </w:rPr>
      </w:pPr>
    </w:p>
    <w:p w14:paraId="50FED916" w14:textId="77777777" w:rsidR="0062554B" w:rsidRPr="0062554B" w:rsidRDefault="0062554B" w:rsidP="0062554B">
      <w:pPr>
        <w:pStyle w:val="Paragrafoelenco"/>
        <w:numPr>
          <w:ilvl w:val="1"/>
          <w:numId w:val="18"/>
        </w:numPr>
        <w:spacing w:after="200" w:line="276" w:lineRule="auto"/>
        <w:rPr>
          <w:rFonts w:asciiTheme="majorHAnsi" w:eastAsia="Microsoft YaHei Light" w:hAnsiTheme="majorHAnsi" w:cstheme="majorHAnsi"/>
          <w:b/>
        </w:rPr>
      </w:pPr>
      <w:r w:rsidRPr="0062554B">
        <w:rPr>
          <w:rFonts w:asciiTheme="majorHAnsi" w:eastAsia="Microsoft YaHei Light" w:hAnsiTheme="majorHAnsi" w:cstheme="majorHAnsi"/>
          <w:b/>
        </w:rPr>
        <w:t xml:space="preserve">La percezione del rischio ambientale e sanitario attraverso l’analisi degli eventi assicurati </w:t>
      </w:r>
    </w:p>
    <w:p w14:paraId="629426A9" w14:textId="0C0A84A4" w:rsidR="00CD2E02" w:rsidRPr="00CD2E02" w:rsidRDefault="00CD2E02" w:rsidP="002A1691">
      <w:pPr>
        <w:pStyle w:val="Paragrafoelenco"/>
        <w:spacing w:before="240"/>
        <w:ind w:left="0"/>
        <w:rPr>
          <w:rFonts w:cstheme="minorHAnsi"/>
        </w:rPr>
      </w:pPr>
      <w:r w:rsidRPr="00BC5327">
        <w:rPr>
          <w:rFonts w:cstheme="minorHAnsi"/>
        </w:rPr>
        <w:t>L’analisi dei dati assicurativi distinti per pacchetti di garanzia conferma una prevalenza di polizze della tipologia C</w:t>
      </w:r>
      <w:r w:rsidR="00803B21" w:rsidRPr="00BC5327">
        <w:rPr>
          <w:rStyle w:val="Rimandonotaapidipagina"/>
          <w:rFonts w:cstheme="minorHAnsi"/>
        </w:rPr>
        <w:footnoteReference w:id="2"/>
      </w:r>
      <w:r w:rsidRPr="00BC5327">
        <w:rPr>
          <w:rFonts w:cstheme="minorHAnsi"/>
        </w:rPr>
        <w:t>, che in termini</w:t>
      </w:r>
      <w:r w:rsidRPr="00CD2E02">
        <w:rPr>
          <w:rFonts w:cstheme="minorHAnsi"/>
        </w:rPr>
        <w:t xml:space="preserve"> di valori assicurati hanno presentato una quota del 52,7% sul totale nel 2018. Tuttavia, in linea con quanto già riscontrato negli anni precedenti, l’incidenza di questa tipologia si è ulteriormente ridotta nel 2018, con la perdita di altri sette punti percentuali rispetto al 2017.</w:t>
      </w:r>
    </w:p>
    <w:p w14:paraId="689C17DB" w14:textId="77777777" w:rsidR="00CD2E02" w:rsidRPr="00CD2E02" w:rsidRDefault="00CD2E02" w:rsidP="002A1691">
      <w:pPr>
        <w:pStyle w:val="Paragrafoelenco"/>
        <w:spacing w:before="240"/>
        <w:ind w:left="0"/>
        <w:rPr>
          <w:rFonts w:cstheme="minorHAnsi"/>
        </w:rPr>
      </w:pPr>
      <w:r w:rsidRPr="00CD2E02">
        <w:rPr>
          <w:rFonts w:cstheme="minorHAnsi"/>
        </w:rPr>
        <w:t>Tale erosione è andata quasi interamente a vantaggio delle polizze “due rischi” (Pacchetto F) che nel primo anno della loro introduzione sul mercato presentavano già uno “share” del 6,4%. Come già evidenziato, queste ultime hanno riscontrato un successo soprattutto nelle aree del Sud Italia sia nel 2018 che nel 2019, in virtù di un risparmio sui costi assicurativi dovuto alla presenza di due soli eventi di frequenza.</w:t>
      </w:r>
    </w:p>
    <w:p w14:paraId="2B0B80DB" w14:textId="474C0D11" w:rsidR="00CD2E02" w:rsidRPr="00CD2E02" w:rsidRDefault="00CD2E02" w:rsidP="002A1691">
      <w:pPr>
        <w:pStyle w:val="Paragrafoelenco"/>
        <w:spacing w:before="240"/>
        <w:ind w:left="0"/>
        <w:rPr>
          <w:rFonts w:cstheme="minorHAnsi"/>
        </w:rPr>
      </w:pPr>
      <w:r w:rsidRPr="00CD2E02">
        <w:rPr>
          <w:rFonts w:cstheme="minorHAnsi"/>
        </w:rPr>
        <w:t xml:space="preserve">Nel 2018 si è rafforzata inoltre la quota, sempre in termini di valori assicurati, del “Pacchetto A” (passata dal 17,6% al 18,5%), a copertura di tutti i rischi meteorologici previsti dal Piano di Gestione dei Rischi in Agricoltura (PGRA). Quest’ultima tendenza deriva, presumibilmente, dalla maggiore attenzione riservata </w:t>
      </w:r>
      <w:r w:rsidRPr="00CD2E02">
        <w:rPr>
          <w:rFonts w:cstheme="minorHAnsi"/>
        </w:rPr>
        <w:lastRenderedPageBreak/>
        <w:t>dagli agricoltori alla totale copertura degli eventi assicurabili (polizza multirischio), vista la crescente preoccupazione verso il tema della prevenzione dei rischi meteo-climatici, anche sulla scorta di esperienze particolarmente negative come quella dell’annata 2017. Al riguardo, è opportuno tuttavia rilevare che, sulla base dei dati provvisori del 2019, l’incidenza del “Pacchetto A” sul totale dei valori assicurati si è ridotta di circa un punto percentuale, tornando ai livelli del 2017 (17,6%). Tale fenomeno riflette, verosimilmente, i forti aumenti tariffari registrati negli ultimi tre anni, con il costo medio delle polizze multirischio passato dal 10,8% del 2017 al 12,6% del biennio 2018-</w:t>
      </w:r>
      <w:proofErr w:type="gramStart"/>
      <w:r w:rsidRPr="00CD2E02">
        <w:rPr>
          <w:rFonts w:cstheme="minorHAnsi"/>
        </w:rPr>
        <w:t>2019..</w:t>
      </w:r>
      <w:proofErr w:type="gramEnd"/>
      <w:r w:rsidRPr="00CD2E02">
        <w:rPr>
          <w:rFonts w:cstheme="minorHAnsi"/>
        </w:rPr>
        <w:t xml:space="preserve"> </w:t>
      </w:r>
    </w:p>
    <w:p w14:paraId="046EEEA6" w14:textId="77777777" w:rsidR="00CD2E02" w:rsidRPr="00CD2E02" w:rsidRDefault="00CD2E02" w:rsidP="00CD2E02"/>
    <w:p w14:paraId="2174B409" w14:textId="211A7295" w:rsidR="00CD2E02" w:rsidRPr="0062554B" w:rsidRDefault="0062554B" w:rsidP="0062554B">
      <w:pPr>
        <w:pStyle w:val="Paragrafoelenco"/>
        <w:numPr>
          <w:ilvl w:val="1"/>
          <w:numId w:val="18"/>
        </w:numPr>
        <w:rPr>
          <w:rFonts w:asciiTheme="majorHAnsi" w:eastAsia="Microsoft YaHei Light" w:hAnsiTheme="majorHAnsi" w:cstheme="majorHAnsi"/>
          <w:b/>
        </w:rPr>
      </w:pPr>
      <w:r w:rsidRPr="0062554B">
        <w:rPr>
          <w:rFonts w:asciiTheme="majorHAnsi" w:eastAsia="Microsoft YaHei Light" w:hAnsiTheme="majorHAnsi" w:cstheme="majorHAnsi"/>
          <w:b/>
        </w:rPr>
        <w:t>La percezione del rischio ambientale e sanitario attraverso l’analisi degli eventi assicurati – per dimensione aziendale / comparto / territorio</w:t>
      </w:r>
    </w:p>
    <w:p w14:paraId="007D37CC" w14:textId="2E929D67" w:rsidR="00CD2E02" w:rsidRDefault="008D6C73" w:rsidP="00CD2E02">
      <w:pPr>
        <w:rPr>
          <w:rFonts w:cstheme="minorHAnsi"/>
        </w:rPr>
      </w:pPr>
      <w:r w:rsidRPr="008D6C73">
        <w:rPr>
          <w:rFonts w:cstheme="minorHAnsi"/>
        </w:rPr>
        <w:t>L’analisi sull’approccio alla gestione del rischio da parte delle grandi aziende assicurate (Ismea), evidenzia la sussistenza di una cultura diffusa e capillare su queste tematiche. Oltre l’80% delle aziende campione ha dichiarato di adottare misure di difesa aggiuntive rispetto alle di polizze assicurative. Tra le azioni di prevenzione o mitigazione dei rischi più adottate si annoverano l’impiego di tecniche produttive e pratiche agronomiche specifiche e la costituzione di riserve finanziarie proprie. Significativa anche la percentuale di aziende che si dota di strutture e impianti di protezione per le colture (17,2%).</w:t>
      </w:r>
    </w:p>
    <w:p w14:paraId="62859209" w14:textId="77777777" w:rsidR="002A1691" w:rsidRDefault="002A1691" w:rsidP="002A1691">
      <w:pPr>
        <w:rPr>
          <w:rFonts w:cstheme="minorHAnsi"/>
        </w:rPr>
      </w:pPr>
      <w:r w:rsidRPr="008D6C73">
        <w:rPr>
          <w:rFonts w:cstheme="minorHAnsi"/>
        </w:rPr>
        <w:t>Analizzando per comparto la distribuzione delle forme di prevenzione dei rischi emergono differenze sostanziali. A fare ricorso a tecniche produttive e agronomiche per la mitigazione dei rischi sono soprattutto i produttori nei comparti delle colture industriali (45%), delle foraggere (46,8%) e dell’olivicoltura (50%). Questi ultimi sono anche i meno inclini a diversificare le forme gestione del rischio, dal momento che dichiarano di affidarsi esclusivamente alle pratiche agronomiche oltre alla polizza assicurativa, non adottando alcun’altra forma di difesa attiva. I comparti, invece, in cui si investe maggiormente in strutture protettive per le colture sono quelli della frutta fresca, del florovivaismo e delle coltivazioni da seme. Abbastanza diffusa è anche la propensione ad accantonare riserve finanziarie in azienda, politica adottata in particolare dai produttori di uva da vino, frutta secca e ortaggi. Le aziende del comparto frutta secca sembrano inoltre riservare particolare attenzione alla gestione dei rischi sul piano finanziario dal momento che, unitamente ai produttori di colture da biomassa, sono anche tra i principali utilizzatori di strumenti contro il rischio di prezzo.</w:t>
      </w:r>
    </w:p>
    <w:p w14:paraId="0535D33B" w14:textId="77777777" w:rsidR="002A1691" w:rsidRDefault="002A1691" w:rsidP="002A1691">
      <w:r>
        <w:t xml:space="preserve">Sebbene il portafoglio di misure di prevenzione e mitigazione dei rischi adottato dalle aziende sia ampio e diversificato nella sua composizione, anche per le aziende agricole di rilevanti dimensioni la polizza assicurativa rimane uno strumento cardine delle politiche di risk management. </w:t>
      </w:r>
    </w:p>
    <w:p w14:paraId="7CF5271E" w14:textId="0A18DFB3" w:rsidR="002A1691" w:rsidRDefault="002A1691" w:rsidP="002A1691">
      <w:r>
        <w:t>La quasi totalità delle aziende intervistate ha dichiarato di essere assicurata (96,4% - fig.8) mentre solo una quota residuale ha affermato di non fare più ricorso allo strumento assicurativo. Tra le aziende non più assicurate la maggioranza si colloca nelle regioni del Sud Italia (circa il 67%), a riprova del ritardo strutturale del sistema assicurativo agricolo del Mezzogiorno. Nel caso delle aziende di grandi dimensioni, tuttavia, considerato l’elevato grado di professionalità nell’approccio alla gestione del rischio, la scelta di non ricorrere allo strumento assicurativo in molti casi risulta frutto di una pianificazione consapevole degli strumenti a disposizione. Dall’analisi per comparto delle aziende che hanno rinunciato all’assicurazione, infatti, emerge che a comporre questa compagine del campione sono soprattutto imprese del settore orticolo e della frutta fresca, comparti caratterizzati da un ampio ricorso all’impiego di strutture di protezione per la difesa delle colture e alla costituzione di riserve finanziarie proprie.</w:t>
      </w:r>
    </w:p>
    <w:p w14:paraId="7F734396" w14:textId="77777777" w:rsidR="002A1691" w:rsidRPr="00AF7033" w:rsidRDefault="002A1691" w:rsidP="002A1691">
      <w:r w:rsidRPr="00AF7033">
        <w:t>Va rilevato che al crescere della dimensione aziendale aumentano la propensione ad assicurarsi e la comprensione delle logiche della gestione del rischio, fattori, entrambi, correlati anche alla tipologia dei prodotti, il cui valore, se più elevato, influenza il grado di sensibilità verso il tema della prevenzione.</w:t>
      </w:r>
    </w:p>
    <w:p w14:paraId="03F4D080" w14:textId="77777777" w:rsidR="002A1691" w:rsidRPr="00AF7033" w:rsidRDefault="002A1691" w:rsidP="002A1691">
      <w:r w:rsidRPr="00AF7033">
        <w:t>Sull’elemento dimensionale, non solo fisico ma anche finanziario dell’azienda, è opportuno fare alcune riflessioni. L’estrema frammentazione aziendale che caratterizza il tessuto imprenditoriale italiano, con particolare riferimento al Sud, rappresenta un vincolo alla sottoscrizione delle polizze, limitando i fatturati e riducendo le capacità di spesa delle aziende. La resistenza culturale verso forme di associazionismo, peculiarità anche questa diffusa tra le realtà produttive del Meridione, contrasta inoltre con la possibilità di accrescere il potere contrattuale di negoziare.</w:t>
      </w:r>
    </w:p>
    <w:p w14:paraId="49AD3E2D" w14:textId="16372250" w:rsidR="008D6C73" w:rsidRDefault="008D6C73" w:rsidP="00CD2E02">
      <w:pPr>
        <w:rPr>
          <w:rFonts w:cstheme="minorHAnsi"/>
        </w:rPr>
      </w:pPr>
    </w:p>
    <w:p w14:paraId="75DA5240" w14:textId="5DBDDD52" w:rsidR="008D6C73" w:rsidRPr="00BC5327" w:rsidRDefault="008D6C73" w:rsidP="008D6C73">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t xml:space="preserve">Tab. </w:t>
      </w:r>
      <w:r w:rsidR="00BC5327" w:rsidRPr="00BC5327">
        <w:rPr>
          <w:rFonts w:asciiTheme="majorHAnsi" w:hAnsiTheme="majorHAnsi" w:cs="CenturyGothic"/>
          <w:b/>
          <w:bCs/>
          <w:color w:val="000000"/>
        </w:rPr>
        <w:t>2.</w:t>
      </w:r>
      <w:r w:rsidRPr="00BC5327">
        <w:rPr>
          <w:rFonts w:asciiTheme="majorHAnsi" w:hAnsiTheme="majorHAnsi" w:cs="CenturyGothic"/>
          <w:b/>
          <w:bCs/>
          <w:color w:val="000000"/>
        </w:rPr>
        <w:t>1 – Forme di prevenzione dei rischi oltre la copertura assicurativa</w:t>
      </w:r>
    </w:p>
    <w:tbl>
      <w:tblPr>
        <w:tblW w:w="5000" w:type="pct"/>
        <w:tblCellMar>
          <w:left w:w="70" w:type="dxa"/>
          <w:right w:w="70" w:type="dxa"/>
        </w:tblCellMar>
        <w:tblLook w:val="04A0" w:firstRow="1" w:lastRow="0" w:firstColumn="1" w:lastColumn="0" w:noHBand="0" w:noVBand="1"/>
      </w:tblPr>
      <w:tblGrid>
        <w:gridCol w:w="8108"/>
        <w:gridCol w:w="1510"/>
      </w:tblGrid>
      <w:tr w:rsidR="008D6C73" w:rsidRPr="00323DE2" w14:paraId="40B47B48" w14:textId="77777777" w:rsidTr="001C3944">
        <w:trPr>
          <w:trHeight w:val="20"/>
        </w:trPr>
        <w:tc>
          <w:tcPr>
            <w:tcW w:w="4215" w:type="pct"/>
            <w:tcBorders>
              <w:top w:val="single" w:sz="8" w:space="0" w:color="FF9933"/>
              <w:left w:val="single" w:sz="8" w:space="0" w:color="FF9933"/>
              <w:bottom w:val="nil"/>
              <w:right w:val="nil"/>
            </w:tcBorders>
            <w:shd w:val="clear" w:color="000000" w:fill="FF9933"/>
            <w:noWrap/>
            <w:vAlign w:val="center"/>
            <w:hideMark/>
          </w:tcPr>
          <w:p w14:paraId="53924F52" w14:textId="77777777" w:rsidR="008D6C73" w:rsidRPr="00323DE2" w:rsidRDefault="008D6C73" w:rsidP="001C3944">
            <w:pPr>
              <w:spacing w:after="0"/>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Forme di prevenzione dei rischi oltre alla polizza:</w:t>
            </w:r>
          </w:p>
        </w:tc>
        <w:tc>
          <w:tcPr>
            <w:tcW w:w="785" w:type="pct"/>
            <w:tcBorders>
              <w:top w:val="single" w:sz="8" w:space="0" w:color="FF9933"/>
              <w:left w:val="nil"/>
              <w:bottom w:val="nil"/>
              <w:right w:val="single" w:sz="8" w:space="0" w:color="FF9933"/>
            </w:tcBorders>
            <w:shd w:val="clear" w:color="000000" w:fill="FF9933"/>
            <w:noWrap/>
            <w:vAlign w:val="center"/>
            <w:hideMark/>
          </w:tcPr>
          <w:p w14:paraId="2EF9D030"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 xml:space="preserve">% </w:t>
            </w:r>
          </w:p>
        </w:tc>
      </w:tr>
      <w:tr w:rsidR="008D6C73" w:rsidRPr="00323DE2" w14:paraId="023EF569" w14:textId="77777777" w:rsidTr="001C3944">
        <w:trPr>
          <w:trHeight w:val="20"/>
        </w:trPr>
        <w:tc>
          <w:tcPr>
            <w:tcW w:w="4215" w:type="pct"/>
            <w:tcBorders>
              <w:top w:val="single" w:sz="8" w:space="0" w:color="FF9933"/>
              <w:left w:val="single" w:sz="8" w:space="0" w:color="FF9933"/>
              <w:bottom w:val="single" w:sz="4" w:space="0" w:color="FF9933"/>
              <w:right w:val="nil"/>
            </w:tcBorders>
            <w:shd w:val="clear" w:color="auto" w:fill="auto"/>
            <w:vAlign w:val="center"/>
            <w:hideMark/>
          </w:tcPr>
          <w:p w14:paraId="66EA5BAF"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Nessuna forma di difesa attiva</w:t>
            </w:r>
          </w:p>
        </w:tc>
        <w:tc>
          <w:tcPr>
            <w:tcW w:w="785" w:type="pct"/>
            <w:tcBorders>
              <w:top w:val="single" w:sz="8" w:space="0" w:color="FF9933"/>
              <w:left w:val="nil"/>
              <w:bottom w:val="single" w:sz="4" w:space="0" w:color="FF9933"/>
              <w:right w:val="single" w:sz="8" w:space="0" w:color="FF9933"/>
            </w:tcBorders>
            <w:shd w:val="clear" w:color="auto" w:fill="auto"/>
            <w:noWrap/>
            <w:vAlign w:val="center"/>
            <w:hideMark/>
          </w:tcPr>
          <w:p w14:paraId="47CC434E"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19,8%</w:t>
            </w:r>
          </w:p>
        </w:tc>
      </w:tr>
      <w:tr w:rsidR="008D6C73" w:rsidRPr="00323DE2" w14:paraId="2FE6773B"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44596A1A"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Tecniche produttive e agronomiche</w:t>
            </w:r>
          </w:p>
        </w:tc>
        <w:tc>
          <w:tcPr>
            <w:tcW w:w="785" w:type="pct"/>
            <w:tcBorders>
              <w:top w:val="nil"/>
              <w:left w:val="nil"/>
              <w:bottom w:val="single" w:sz="4" w:space="0" w:color="FF9933"/>
              <w:right w:val="single" w:sz="8" w:space="0" w:color="FF9933"/>
            </w:tcBorders>
            <w:shd w:val="clear" w:color="auto" w:fill="auto"/>
            <w:noWrap/>
            <w:vAlign w:val="center"/>
            <w:hideMark/>
          </w:tcPr>
          <w:p w14:paraId="354840B0"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38,6%</w:t>
            </w:r>
          </w:p>
        </w:tc>
      </w:tr>
      <w:tr w:rsidR="008D6C73" w:rsidRPr="00323DE2" w14:paraId="17B36D98"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3778DD5D"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Strutture di protezione per le colture</w:t>
            </w:r>
          </w:p>
        </w:tc>
        <w:tc>
          <w:tcPr>
            <w:tcW w:w="785" w:type="pct"/>
            <w:tcBorders>
              <w:top w:val="nil"/>
              <w:left w:val="nil"/>
              <w:bottom w:val="single" w:sz="4" w:space="0" w:color="FF9933"/>
              <w:right w:val="single" w:sz="8" w:space="0" w:color="FF9933"/>
            </w:tcBorders>
            <w:shd w:val="clear" w:color="auto" w:fill="auto"/>
            <w:noWrap/>
            <w:vAlign w:val="center"/>
            <w:hideMark/>
          </w:tcPr>
          <w:p w14:paraId="32D104D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17,2%</w:t>
            </w:r>
          </w:p>
        </w:tc>
      </w:tr>
      <w:tr w:rsidR="008D6C73" w:rsidRPr="00323DE2" w14:paraId="1BE8176E"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5980309E"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Costituzione di riserve finanziarie proprie</w:t>
            </w:r>
          </w:p>
        </w:tc>
        <w:tc>
          <w:tcPr>
            <w:tcW w:w="785" w:type="pct"/>
            <w:tcBorders>
              <w:top w:val="nil"/>
              <w:left w:val="nil"/>
              <w:bottom w:val="single" w:sz="4" w:space="0" w:color="FF9933"/>
              <w:right w:val="single" w:sz="8" w:space="0" w:color="FF9933"/>
            </w:tcBorders>
            <w:shd w:val="clear" w:color="auto" w:fill="auto"/>
            <w:noWrap/>
            <w:vAlign w:val="center"/>
            <w:hideMark/>
          </w:tcPr>
          <w:p w14:paraId="25D5F36B"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21,3%</w:t>
            </w:r>
          </w:p>
        </w:tc>
      </w:tr>
      <w:tr w:rsidR="008D6C73" w:rsidRPr="00323DE2" w14:paraId="0691CAAF"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31D79C59"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Strumenti contro il rischio di prezzo</w:t>
            </w:r>
          </w:p>
        </w:tc>
        <w:tc>
          <w:tcPr>
            <w:tcW w:w="785" w:type="pct"/>
            <w:tcBorders>
              <w:top w:val="nil"/>
              <w:left w:val="nil"/>
              <w:bottom w:val="single" w:sz="4" w:space="0" w:color="FF9933"/>
              <w:right w:val="single" w:sz="8" w:space="0" w:color="FF9933"/>
            </w:tcBorders>
            <w:shd w:val="clear" w:color="auto" w:fill="auto"/>
            <w:noWrap/>
            <w:vAlign w:val="center"/>
            <w:hideMark/>
          </w:tcPr>
          <w:p w14:paraId="3795BD7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1,7%</w:t>
            </w:r>
          </w:p>
        </w:tc>
      </w:tr>
      <w:tr w:rsidR="008D6C73" w:rsidRPr="00323DE2" w14:paraId="6B29D554"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22195040"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Altri tipi di intervento</w:t>
            </w:r>
          </w:p>
        </w:tc>
        <w:tc>
          <w:tcPr>
            <w:tcW w:w="785" w:type="pct"/>
            <w:tcBorders>
              <w:top w:val="nil"/>
              <w:left w:val="nil"/>
              <w:bottom w:val="single" w:sz="4" w:space="0" w:color="FF9933"/>
              <w:right w:val="single" w:sz="8" w:space="0" w:color="FF9933"/>
            </w:tcBorders>
            <w:shd w:val="clear" w:color="auto" w:fill="auto"/>
            <w:noWrap/>
            <w:vAlign w:val="center"/>
            <w:hideMark/>
          </w:tcPr>
          <w:p w14:paraId="4028755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1,5%</w:t>
            </w:r>
          </w:p>
        </w:tc>
      </w:tr>
      <w:tr w:rsidR="008D6C73" w:rsidRPr="00323DE2" w14:paraId="1311DE8C" w14:textId="77777777" w:rsidTr="001C3944">
        <w:trPr>
          <w:trHeight w:val="20"/>
        </w:trPr>
        <w:tc>
          <w:tcPr>
            <w:tcW w:w="4215" w:type="pct"/>
            <w:tcBorders>
              <w:top w:val="nil"/>
              <w:left w:val="single" w:sz="8" w:space="0" w:color="FF9933"/>
              <w:bottom w:val="single" w:sz="8" w:space="0" w:color="FF9933"/>
              <w:right w:val="nil"/>
            </w:tcBorders>
            <w:shd w:val="clear" w:color="auto" w:fill="auto"/>
            <w:vAlign w:val="center"/>
            <w:hideMark/>
          </w:tcPr>
          <w:p w14:paraId="3EE9F219" w14:textId="77777777" w:rsidR="008D6C73" w:rsidRPr="00323DE2" w:rsidRDefault="008D6C73" w:rsidP="001C3944">
            <w:pPr>
              <w:spacing w:after="0"/>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Totale risposte</w:t>
            </w:r>
          </w:p>
        </w:tc>
        <w:tc>
          <w:tcPr>
            <w:tcW w:w="785" w:type="pct"/>
            <w:tcBorders>
              <w:top w:val="nil"/>
              <w:left w:val="nil"/>
              <w:bottom w:val="single" w:sz="8" w:space="0" w:color="FF9933"/>
              <w:right w:val="single" w:sz="8" w:space="0" w:color="FF9933"/>
            </w:tcBorders>
            <w:shd w:val="clear" w:color="auto" w:fill="auto"/>
            <w:noWrap/>
            <w:vAlign w:val="center"/>
            <w:hideMark/>
          </w:tcPr>
          <w:p w14:paraId="2FF98937"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100%</w:t>
            </w:r>
          </w:p>
        </w:tc>
      </w:tr>
    </w:tbl>
    <w:p w14:paraId="5C2C01FF" w14:textId="1F55708D" w:rsidR="008D6C73" w:rsidRDefault="008D6C73" w:rsidP="00CD2E02">
      <w:pPr>
        <w:rPr>
          <w:rFonts w:cstheme="minorHAnsi"/>
        </w:rPr>
      </w:pPr>
    </w:p>
    <w:p w14:paraId="5D6A0046" w14:textId="5DA16DDC" w:rsidR="008D6C73" w:rsidRPr="00BC5327" w:rsidRDefault="008D6C73" w:rsidP="008D6C73">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t xml:space="preserve">Tab. </w:t>
      </w:r>
      <w:r w:rsidR="00BC5327">
        <w:rPr>
          <w:rFonts w:asciiTheme="majorHAnsi" w:hAnsiTheme="majorHAnsi" w:cs="CenturyGothic"/>
          <w:b/>
          <w:bCs/>
          <w:color w:val="000000"/>
        </w:rPr>
        <w:t>2.2</w:t>
      </w:r>
      <w:r w:rsidRPr="00BC5327">
        <w:rPr>
          <w:rFonts w:asciiTheme="majorHAnsi" w:hAnsiTheme="majorHAnsi" w:cs="CenturyGothic"/>
          <w:b/>
          <w:bCs/>
          <w:color w:val="000000"/>
        </w:rPr>
        <w:t xml:space="preserve"> – Forme di prevenzione dei rischi oltre la copertura assicurativa, per comparto</w:t>
      </w:r>
    </w:p>
    <w:tbl>
      <w:tblPr>
        <w:tblW w:w="5000" w:type="pct"/>
        <w:tblCellMar>
          <w:left w:w="70" w:type="dxa"/>
          <w:right w:w="70" w:type="dxa"/>
        </w:tblCellMar>
        <w:tblLook w:val="04A0" w:firstRow="1" w:lastRow="0" w:firstColumn="1" w:lastColumn="0" w:noHBand="0" w:noVBand="1"/>
      </w:tblPr>
      <w:tblGrid>
        <w:gridCol w:w="1864"/>
        <w:gridCol w:w="1346"/>
        <w:gridCol w:w="1140"/>
        <w:gridCol w:w="1064"/>
        <w:gridCol w:w="1283"/>
        <w:gridCol w:w="1285"/>
        <w:gridCol w:w="909"/>
        <w:gridCol w:w="727"/>
      </w:tblGrid>
      <w:tr w:rsidR="008D6C73" w:rsidRPr="00323DE2" w14:paraId="57192F37" w14:textId="77777777" w:rsidTr="001C3944">
        <w:trPr>
          <w:trHeight w:val="113"/>
        </w:trPr>
        <w:tc>
          <w:tcPr>
            <w:tcW w:w="1018" w:type="pct"/>
            <w:vMerge w:val="restart"/>
            <w:tcBorders>
              <w:top w:val="single" w:sz="8" w:space="0" w:color="FF9900"/>
              <w:left w:val="single" w:sz="8" w:space="0" w:color="FF9900"/>
              <w:bottom w:val="single" w:sz="8" w:space="0" w:color="FF9900"/>
              <w:right w:val="nil"/>
            </w:tcBorders>
            <w:shd w:val="clear" w:color="000000" w:fill="FF9933"/>
            <w:vAlign w:val="center"/>
            <w:hideMark/>
          </w:tcPr>
          <w:p w14:paraId="4699679A" w14:textId="77777777" w:rsidR="008D6C73" w:rsidRPr="00323DE2" w:rsidRDefault="008D6C73" w:rsidP="001C3944">
            <w:pPr>
              <w:spacing w:after="0"/>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Forme di prevenzione dei rischi oltre alla polizza - per comparto</w:t>
            </w:r>
          </w:p>
        </w:tc>
        <w:tc>
          <w:tcPr>
            <w:tcW w:w="3982" w:type="pct"/>
            <w:gridSpan w:val="7"/>
            <w:tcBorders>
              <w:top w:val="single" w:sz="8" w:space="0" w:color="FF9900"/>
              <w:left w:val="nil"/>
              <w:bottom w:val="single" w:sz="8" w:space="0" w:color="FF9933"/>
              <w:right w:val="single" w:sz="8" w:space="0" w:color="FF9900"/>
            </w:tcBorders>
            <w:shd w:val="clear" w:color="000000" w:fill="FF9933"/>
            <w:noWrap/>
            <w:vAlign w:val="center"/>
            <w:hideMark/>
          </w:tcPr>
          <w:p w14:paraId="0628678D"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w:t>
            </w:r>
          </w:p>
        </w:tc>
      </w:tr>
      <w:tr w:rsidR="008D6C73" w:rsidRPr="00323DE2" w14:paraId="17F3926D" w14:textId="77777777" w:rsidTr="001C3944">
        <w:trPr>
          <w:trHeight w:val="113"/>
        </w:trPr>
        <w:tc>
          <w:tcPr>
            <w:tcW w:w="1018" w:type="pct"/>
            <w:vMerge/>
            <w:tcBorders>
              <w:top w:val="single" w:sz="8" w:space="0" w:color="FF9900"/>
              <w:left w:val="single" w:sz="8" w:space="0" w:color="FF9900"/>
              <w:bottom w:val="single" w:sz="8" w:space="0" w:color="FF9900"/>
              <w:right w:val="nil"/>
            </w:tcBorders>
            <w:vAlign w:val="center"/>
            <w:hideMark/>
          </w:tcPr>
          <w:p w14:paraId="7C352426" w14:textId="77777777" w:rsidR="008D6C73" w:rsidRPr="00323DE2" w:rsidRDefault="008D6C73" w:rsidP="001C3944">
            <w:pPr>
              <w:spacing w:after="0"/>
              <w:rPr>
                <w:rFonts w:asciiTheme="majorHAnsi" w:eastAsia="Times New Roman" w:hAnsiTheme="majorHAnsi" w:cs="Calibri"/>
                <w:b/>
                <w:bCs/>
                <w:color w:val="000000"/>
                <w:sz w:val="20"/>
                <w:lang w:eastAsia="it-IT"/>
              </w:rPr>
            </w:pPr>
          </w:p>
        </w:tc>
        <w:tc>
          <w:tcPr>
            <w:tcW w:w="732" w:type="pct"/>
            <w:tcBorders>
              <w:top w:val="nil"/>
              <w:left w:val="single" w:sz="8" w:space="0" w:color="FF9933"/>
              <w:bottom w:val="single" w:sz="8" w:space="0" w:color="FF9900"/>
              <w:right w:val="nil"/>
            </w:tcBorders>
            <w:shd w:val="clear" w:color="000000" w:fill="FF9933"/>
            <w:vAlign w:val="center"/>
            <w:hideMark/>
          </w:tcPr>
          <w:p w14:paraId="1DB8B779"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Tecniche produttive agronomiche</w:t>
            </w:r>
          </w:p>
        </w:tc>
        <w:tc>
          <w:tcPr>
            <w:tcW w:w="583" w:type="pct"/>
            <w:tcBorders>
              <w:top w:val="nil"/>
              <w:left w:val="single" w:sz="8" w:space="0" w:color="FF9933"/>
              <w:bottom w:val="single" w:sz="8" w:space="0" w:color="FF9900"/>
              <w:right w:val="nil"/>
            </w:tcBorders>
            <w:shd w:val="clear" w:color="000000" w:fill="FF9933"/>
            <w:vAlign w:val="center"/>
            <w:hideMark/>
          </w:tcPr>
          <w:p w14:paraId="52636590"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Strutture di protezione per le colture</w:t>
            </w:r>
          </w:p>
        </w:tc>
        <w:tc>
          <w:tcPr>
            <w:tcW w:w="511" w:type="pct"/>
            <w:tcBorders>
              <w:top w:val="nil"/>
              <w:left w:val="single" w:sz="8" w:space="0" w:color="FF9933"/>
              <w:bottom w:val="single" w:sz="8" w:space="0" w:color="FF9900"/>
              <w:right w:val="nil"/>
            </w:tcBorders>
            <w:shd w:val="clear" w:color="000000" w:fill="FF9933"/>
            <w:vAlign w:val="center"/>
            <w:hideMark/>
          </w:tcPr>
          <w:p w14:paraId="4A3C1F87"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Strumenti contro il rischio di prezzo</w:t>
            </w:r>
          </w:p>
        </w:tc>
        <w:tc>
          <w:tcPr>
            <w:tcW w:w="660" w:type="pct"/>
            <w:tcBorders>
              <w:top w:val="nil"/>
              <w:left w:val="single" w:sz="8" w:space="0" w:color="FF9933"/>
              <w:bottom w:val="single" w:sz="8" w:space="0" w:color="FF9900"/>
              <w:right w:val="nil"/>
            </w:tcBorders>
            <w:shd w:val="clear" w:color="000000" w:fill="FF9933"/>
            <w:vAlign w:val="center"/>
            <w:hideMark/>
          </w:tcPr>
          <w:p w14:paraId="7F924C31"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Costituzione di riserve finanziarie proprie</w:t>
            </w:r>
          </w:p>
        </w:tc>
        <w:tc>
          <w:tcPr>
            <w:tcW w:w="673" w:type="pct"/>
            <w:tcBorders>
              <w:top w:val="nil"/>
              <w:left w:val="single" w:sz="8" w:space="0" w:color="FF9933"/>
              <w:bottom w:val="single" w:sz="8" w:space="0" w:color="FF9900"/>
              <w:right w:val="nil"/>
            </w:tcBorders>
            <w:shd w:val="clear" w:color="000000" w:fill="FF9933"/>
            <w:vAlign w:val="center"/>
            <w:hideMark/>
          </w:tcPr>
          <w:p w14:paraId="2A81DEF3"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Altre misure di prevenzione</w:t>
            </w:r>
          </w:p>
        </w:tc>
        <w:tc>
          <w:tcPr>
            <w:tcW w:w="476" w:type="pct"/>
            <w:tcBorders>
              <w:top w:val="nil"/>
              <w:left w:val="single" w:sz="8" w:space="0" w:color="FF9933"/>
              <w:bottom w:val="single" w:sz="8" w:space="0" w:color="FF9900"/>
              <w:right w:val="nil"/>
            </w:tcBorders>
            <w:shd w:val="clear" w:color="000000" w:fill="FF9933"/>
            <w:vAlign w:val="center"/>
            <w:hideMark/>
          </w:tcPr>
          <w:p w14:paraId="5352E086"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Nessuna forma di difesa attiva</w:t>
            </w:r>
          </w:p>
        </w:tc>
        <w:tc>
          <w:tcPr>
            <w:tcW w:w="347" w:type="pct"/>
            <w:tcBorders>
              <w:top w:val="nil"/>
              <w:left w:val="single" w:sz="8" w:space="0" w:color="FF9933"/>
              <w:bottom w:val="single" w:sz="8" w:space="0" w:color="FF9900"/>
              <w:right w:val="single" w:sz="8" w:space="0" w:color="FF9900"/>
            </w:tcBorders>
            <w:shd w:val="clear" w:color="000000" w:fill="FF9933"/>
            <w:vAlign w:val="center"/>
            <w:hideMark/>
          </w:tcPr>
          <w:p w14:paraId="2D7C6320"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Totale</w:t>
            </w:r>
          </w:p>
        </w:tc>
      </w:tr>
      <w:tr w:rsidR="008D6C73" w:rsidRPr="00323DE2" w14:paraId="599EC9F8"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7645243B"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Agrumi</w:t>
            </w:r>
          </w:p>
        </w:tc>
        <w:tc>
          <w:tcPr>
            <w:tcW w:w="732" w:type="pct"/>
            <w:tcBorders>
              <w:top w:val="nil"/>
              <w:left w:val="nil"/>
              <w:bottom w:val="single" w:sz="4" w:space="0" w:color="FF9933"/>
              <w:right w:val="nil"/>
            </w:tcBorders>
            <w:shd w:val="clear" w:color="auto" w:fill="auto"/>
            <w:noWrap/>
            <w:vAlign w:val="center"/>
            <w:hideMark/>
          </w:tcPr>
          <w:p w14:paraId="558BD3F5"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44,4%</w:t>
            </w:r>
          </w:p>
        </w:tc>
        <w:tc>
          <w:tcPr>
            <w:tcW w:w="583" w:type="pct"/>
            <w:tcBorders>
              <w:top w:val="nil"/>
              <w:left w:val="nil"/>
              <w:bottom w:val="single" w:sz="4" w:space="0" w:color="FF9933"/>
              <w:right w:val="nil"/>
            </w:tcBorders>
            <w:shd w:val="clear" w:color="auto" w:fill="auto"/>
            <w:noWrap/>
            <w:vAlign w:val="center"/>
            <w:hideMark/>
          </w:tcPr>
          <w:p w14:paraId="704F46D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22,2%</w:t>
            </w:r>
          </w:p>
        </w:tc>
        <w:tc>
          <w:tcPr>
            <w:tcW w:w="511" w:type="pct"/>
            <w:tcBorders>
              <w:top w:val="nil"/>
              <w:left w:val="nil"/>
              <w:bottom w:val="single" w:sz="4" w:space="0" w:color="FF9933"/>
              <w:right w:val="nil"/>
            </w:tcBorders>
            <w:shd w:val="clear" w:color="auto" w:fill="auto"/>
            <w:noWrap/>
            <w:vAlign w:val="center"/>
            <w:hideMark/>
          </w:tcPr>
          <w:p w14:paraId="2C5D114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096C97C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22,2%</w:t>
            </w:r>
          </w:p>
        </w:tc>
        <w:tc>
          <w:tcPr>
            <w:tcW w:w="673" w:type="pct"/>
            <w:tcBorders>
              <w:top w:val="nil"/>
              <w:left w:val="nil"/>
              <w:bottom w:val="single" w:sz="4" w:space="0" w:color="FF9933"/>
              <w:right w:val="nil"/>
            </w:tcBorders>
            <w:shd w:val="clear" w:color="auto" w:fill="auto"/>
            <w:noWrap/>
            <w:vAlign w:val="center"/>
            <w:hideMark/>
          </w:tcPr>
          <w:p w14:paraId="26067B1E"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61ADE39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11,1%</w:t>
            </w:r>
          </w:p>
        </w:tc>
        <w:tc>
          <w:tcPr>
            <w:tcW w:w="347" w:type="pct"/>
            <w:tcBorders>
              <w:top w:val="nil"/>
              <w:left w:val="nil"/>
              <w:bottom w:val="single" w:sz="4" w:space="0" w:color="FF9933"/>
              <w:right w:val="single" w:sz="8" w:space="0" w:color="FF9900"/>
            </w:tcBorders>
            <w:shd w:val="clear" w:color="auto" w:fill="auto"/>
            <w:noWrap/>
            <w:vAlign w:val="center"/>
            <w:hideMark/>
          </w:tcPr>
          <w:p w14:paraId="67022DAA"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32C6F8C1"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3BB7088F"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Cereali</w:t>
            </w:r>
          </w:p>
        </w:tc>
        <w:tc>
          <w:tcPr>
            <w:tcW w:w="732" w:type="pct"/>
            <w:tcBorders>
              <w:top w:val="nil"/>
              <w:left w:val="nil"/>
              <w:bottom w:val="single" w:sz="4" w:space="0" w:color="FF9933"/>
              <w:right w:val="nil"/>
            </w:tcBorders>
            <w:shd w:val="clear" w:color="auto" w:fill="auto"/>
            <w:noWrap/>
            <w:vAlign w:val="center"/>
            <w:hideMark/>
          </w:tcPr>
          <w:p w14:paraId="77D02B2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41,4%</w:t>
            </w:r>
          </w:p>
        </w:tc>
        <w:tc>
          <w:tcPr>
            <w:tcW w:w="583" w:type="pct"/>
            <w:tcBorders>
              <w:top w:val="nil"/>
              <w:left w:val="nil"/>
              <w:bottom w:val="single" w:sz="4" w:space="0" w:color="FF9933"/>
              <w:right w:val="nil"/>
            </w:tcBorders>
            <w:shd w:val="clear" w:color="auto" w:fill="auto"/>
            <w:noWrap/>
            <w:vAlign w:val="center"/>
            <w:hideMark/>
          </w:tcPr>
          <w:p w14:paraId="0813F21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9,1%</w:t>
            </w:r>
          </w:p>
        </w:tc>
        <w:tc>
          <w:tcPr>
            <w:tcW w:w="511" w:type="pct"/>
            <w:tcBorders>
              <w:top w:val="nil"/>
              <w:left w:val="nil"/>
              <w:bottom w:val="single" w:sz="4" w:space="0" w:color="FF9933"/>
              <w:right w:val="nil"/>
            </w:tcBorders>
            <w:shd w:val="clear" w:color="auto" w:fill="auto"/>
            <w:noWrap/>
            <w:vAlign w:val="center"/>
            <w:hideMark/>
          </w:tcPr>
          <w:p w14:paraId="003A8F4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w:t>
            </w:r>
          </w:p>
        </w:tc>
        <w:tc>
          <w:tcPr>
            <w:tcW w:w="660" w:type="pct"/>
            <w:tcBorders>
              <w:top w:val="nil"/>
              <w:left w:val="nil"/>
              <w:bottom w:val="single" w:sz="4" w:space="0" w:color="FF9933"/>
              <w:right w:val="nil"/>
            </w:tcBorders>
            <w:shd w:val="clear" w:color="auto" w:fill="auto"/>
            <w:noWrap/>
            <w:vAlign w:val="center"/>
            <w:hideMark/>
          </w:tcPr>
          <w:p w14:paraId="61968DF9"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20,2%</w:t>
            </w:r>
          </w:p>
        </w:tc>
        <w:tc>
          <w:tcPr>
            <w:tcW w:w="673" w:type="pct"/>
            <w:tcBorders>
              <w:top w:val="nil"/>
              <w:left w:val="nil"/>
              <w:bottom w:val="single" w:sz="4" w:space="0" w:color="FF9933"/>
              <w:right w:val="nil"/>
            </w:tcBorders>
            <w:shd w:val="clear" w:color="auto" w:fill="auto"/>
            <w:noWrap/>
            <w:vAlign w:val="center"/>
            <w:hideMark/>
          </w:tcPr>
          <w:p w14:paraId="67D16FB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2,0%</w:t>
            </w:r>
          </w:p>
        </w:tc>
        <w:tc>
          <w:tcPr>
            <w:tcW w:w="476" w:type="pct"/>
            <w:tcBorders>
              <w:top w:val="nil"/>
              <w:left w:val="nil"/>
              <w:bottom w:val="single" w:sz="4" w:space="0" w:color="FF9933"/>
              <w:right w:val="nil"/>
            </w:tcBorders>
            <w:shd w:val="clear" w:color="auto" w:fill="auto"/>
            <w:noWrap/>
            <w:vAlign w:val="center"/>
            <w:hideMark/>
          </w:tcPr>
          <w:p w14:paraId="68B8653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26,3%</w:t>
            </w:r>
          </w:p>
        </w:tc>
        <w:tc>
          <w:tcPr>
            <w:tcW w:w="347" w:type="pct"/>
            <w:tcBorders>
              <w:top w:val="nil"/>
              <w:left w:val="nil"/>
              <w:bottom w:val="single" w:sz="4" w:space="0" w:color="FF9933"/>
              <w:right w:val="single" w:sz="8" w:space="0" w:color="FF9900"/>
            </w:tcBorders>
            <w:shd w:val="clear" w:color="auto" w:fill="auto"/>
            <w:noWrap/>
            <w:vAlign w:val="center"/>
            <w:hideMark/>
          </w:tcPr>
          <w:p w14:paraId="050F309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673FC565"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1641C1EF"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Colture da biomassa</w:t>
            </w:r>
          </w:p>
        </w:tc>
        <w:tc>
          <w:tcPr>
            <w:tcW w:w="732" w:type="pct"/>
            <w:tcBorders>
              <w:top w:val="nil"/>
              <w:left w:val="nil"/>
              <w:bottom w:val="single" w:sz="4" w:space="0" w:color="FF9933"/>
              <w:right w:val="nil"/>
            </w:tcBorders>
            <w:shd w:val="clear" w:color="auto" w:fill="auto"/>
            <w:noWrap/>
            <w:vAlign w:val="center"/>
            <w:hideMark/>
          </w:tcPr>
          <w:p w14:paraId="73B99BAD"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35,0%</w:t>
            </w:r>
          </w:p>
        </w:tc>
        <w:tc>
          <w:tcPr>
            <w:tcW w:w="583" w:type="pct"/>
            <w:tcBorders>
              <w:top w:val="nil"/>
              <w:left w:val="nil"/>
              <w:bottom w:val="single" w:sz="4" w:space="0" w:color="FF9933"/>
              <w:right w:val="nil"/>
            </w:tcBorders>
            <w:shd w:val="clear" w:color="auto" w:fill="auto"/>
            <w:noWrap/>
            <w:vAlign w:val="center"/>
            <w:hideMark/>
          </w:tcPr>
          <w:p w14:paraId="32964258"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5,0%</w:t>
            </w:r>
          </w:p>
        </w:tc>
        <w:tc>
          <w:tcPr>
            <w:tcW w:w="511" w:type="pct"/>
            <w:tcBorders>
              <w:top w:val="nil"/>
              <w:left w:val="nil"/>
              <w:bottom w:val="single" w:sz="4" w:space="0" w:color="FF9933"/>
              <w:right w:val="nil"/>
            </w:tcBorders>
            <w:shd w:val="clear" w:color="auto" w:fill="auto"/>
            <w:noWrap/>
            <w:vAlign w:val="center"/>
            <w:hideMark/>
          </w:tcPr>
          <w:p w14:paraId="497C059B"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c>
          <w:tcPr>
            <w:tcW w:w="660" w:type="pct"/>
            <w:tcBorders>
              <w:top w:val="nil"/>
              <w:left w:val="nil"/>
              <w:bottom w:val="single" w:sz="4" w:space="0" w:color="FF9933"/>
              <w:right w:val="nil"/>
            </w:tcBorders>
            <w:shd w:val="clear" w:color="auto" w:fill="auto"/>
            <w:noWrap/>
            <w:vAlign w:val="center"/>
            <w:hideMark/>
          </w:tcPr>
          <w:p w14:paraId="35EFEAC5"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15,0%</w:t>
            </w:r>
          </w:p>
        </w:tc>
        <w:tc>
          <w:tcPr>
            <w:tcW w:w="673" w:type="pct"/>
            <w:tcBorders>
              <w:top w:val="nil"/>
              <w:left w:val="nil"/>
              <w:bottom w:val="single" w:sz="4" w:space="0" w:color="FF9933"/>
              <w:right w:val="nil"/>
            </w:tcBorders>
            <w:shd w:val="clear" w:color="auto" w:fill="auto"/>
            <w:noWrap/>
            <w:vAlign w:val="center"/>
            <w:hideMark/>
          </w:tcPr>
          <w:p w14:paraId="500E4AC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5,0%</w:t>
            </w:r>
          </w:p>
        </w:tc>
        <w:tc>
          <w:tcPr>
            <w:tcW w:w="476" w:type="pct"/>
            <w:tcBorders>
              <w:top w:val="nil"/>
              <w:left w:val="nil"/>
              <w:bottom w:val="single" w:sz="4" w:space="0" w:color="FF9933"/>
              <w:right w:val="nil"/>
            </w:tcBorders>
            <w:shd w:val="clear" w:color="auto" w:fill="auto"/>
            <w:noWrap/>
            <w:vAlign w:val="center"/>
            <w:hideMark/>
          </w:tcPr>
          <w:p w14:paraId="4F578B8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30,0%</w:t>
            </w:r>
          </w:p>
        </w:tc>
        <w:tc>
          <w:tcPr>
            <w:tcW w:w="347" w:type="pct"/>
            <w:tcBorders>
              <w:top w:val="nil"/>
              <w:left w:val="nil"/>
              <w:bottom w:val="single" w:sz="4" w:space="0" w:color="FF9933"/>
              <w:right w:val="single" w:sz="8" w:space="0" w:color="FF9900"/>
            </w:tcBorders>
            <w:shd w:val="clear" w:color="auto" w:fill="auto"/>
            <w:noWrap/>
            <w:vAlign w:val="center"/>
            <w:hideMark/>
          </w:tcPr>
          <w:p w14:paraId="6C8FE48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5BE291A0"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14849B52"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Colture da seme</w:t>
            </w:r>
          </w:p>
        </w:tc>
        <w:tc>
          <w:tcPr>
            <w:tcW w:w="732" w:type="pct"/>
            <w:tcBorders>
              <w:top w:val="nil"/>
              <w:left w:val="nil"/>
              <w:bottom w:val="single" w:sz="4" w:space="0" w:color="FF9933"/>
              <w:right w:val="nil"/>
            </w:tcBorders>
            <w:shd w:val="clear" w:color="auto" w:fill="auto"/>
            <w:noWrap/>
            <w:vAlign w:val="center"/>
            <w:hideMark/>
          </w:tcPr>
          <w:p w14:paraId="3E475448"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36,4%</w:t>
            </w:r>
          </w:p>
        </w:tc>
        <w:tc>
          <w:tcPr>
            <w:tcW w:w="583" w:type="pct"/>
            <w:tcBorders>
              <w:top w:val="nil"/>
              <w:left w:val="nil"/>
              <w:bottom w:val="single" w:sz="4" w:space="0" w:color="FF9933"/>
              <w:right w:val="nil"/>
            </w:tcBorders>
            <w:shd w:val="clear" w:color="auto" w:fill="auto"/>
            <w:noWrap/>
            <w:vAlign w:val="center"/>
            <w:hideMark/>
          </w:tcPr>
          <w:p w14:paraId="51793089"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27,3%</w:t>
            </w:r>
          </w:p>
        </w:tc>
        <w:tc>
          <w:tcPr>
            <w:tcW w:w="511" w:type="pct"/>
            <w:tcBorders>
              <w:top w:val="nil"/>
              <w:left w:val="nil"/>
              <w:bottom w:val="single" w:sz="4" w:space="0" w:color="FF9933"/>
              <w:right w:val="nil"/>
            </w:tcBorders>
            <w:shd w:val="clear" w:color="auto" w:fill="auto"/>
            <w:noWrap/>
            <w:vAlign w:val="center"/>
            <w:hideMark/>
          </w:tcPr>
          <w:p w14:paraId="3147E49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2E185EA0"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18,2%</w:t>
            </w:r>
          </w:p>
        </w:tc>
        <w:tc>
          <w:tcPr>
            <w:tcW w:w="673" w:type="pct"/>
            <w:tcBorders>
              <w:top w:val="nil"/>
              <w:left w:val="nil"/>
              <w:bottom w:val="single" w:sz="4" w:space="0" w:color="FF9933"/>
              <w:right w:val="nil"/>
            </w:tcBorders>
            <w:shd w:val="clear" w:color="auto" w:fill="auto"/>
            <w:noWrap/>
            <w:vAlign w:val="center"/>
            <w:hideMark/>
          </w:tcPr>
          <w:p w14:paraId="77F2F2B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9,1%</w:t>
            </w:r>
          </w:p>
        </w:tc>
        <w:tc>
          <w:tcPr>
            <w:tcW w:w="476" w:type="pct"/>
            <w:tcBorders>
              <w:top w:val="nil"/>
              <w:left w:val="nil"/>
              <w:bottom w:val="single" w:sz="4" w:space="0" w:color="FF9933"/>
              <w:right w:val="nil"/>
            </w:tcBorders>
            <w:shd w:val="clear" w:color="auto" w:fill="auto"/>
            <w:noWrap/>
            <w:vAlign w:val="center"/>
            <w:hideMark/>
          </w:tcPr>
          <w:p w14:paraId="3E5576F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9,1%</w:t>
            </w:r>
          </w:p>
        </w:tc>
        <w:tc>
          <w:tcPr>
            <w:tcW w:w="347" w:type="pct"/>
            <w:tcBorders>
              <w:top w:val="nil"/>
              <w:left w:val="nil"/>
              <w:bottom w:val="single" w:sz="4" w:space="0" w:color="FF9933"/>
              <w:right w:val="single" w:sz="8" w:space="0" w:color="FF9900"/>
            </w:tcBorders>
            <w:shd w:val="clear" w:color="auto" w:fill="auto"/>
            <w:noWrap/>
            <w:vAlign w:val="center"/>
            <w:hideMark/>
          </w:tcPr>
          <w:p w14:paraId="6FC10B7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58097703"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1DF99173"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Colture industriali</w:t>
            </w:r>
          </w:p>
        </w:tc>
        <w:tc>
          <w:tcPr>
            <w:tcW w:w="732" w:type="pct"/>
            <w:tcBorders>
              <w:top w:val="nil"/>
              <w:left w:val="nil"/>
              <w:bottom w:val="single" w:sz="4" w:space="0" w:color="FF9933"/>
              <w:right w:val="nil"/>
            </w:tcBorders>
            <w:shd w:val="clear" w:color="auto" w:fill="auto"/>
            <w:noWrap/>
            <w:vAlign w:val="center"/>
            <w:hideMark/>
          </w:tcPr>
          <w:p w14:paraId="0A4DB8F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45,0%</w:t>
            </w:r>
          </w:p>
        </w:tc>
        <w:tc>
          <w:tcPr>
            <w:tcW w:w="583" w:type="pct"/>
            <w:tcBorders>
              <w:top w:val="nil"/>
              <w:left w:val="nil"/>
              <w:bottom w:val="single" w:sz="4" w:space="0" w:color="FF9933"/>
              <w:right w:val="nil"/>
            </w:tcBorders>
            <w:shd w:val="clear" w:color="auto" w:fill="auto"/>
            <w:noWrap/>
            <w:vAlign w:val="center"/>
            <w:hideMark/>
          </w:tcPr>
          <w:p w14:paraId="62BD29C0"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511" w:type="pct"/>
            <w:tcBorders>
              <w:top w:val="nil"/>
              <w:left w:val="nil"/>
              <w:bottom w:val="single" w:sz="4" w:space="0" w:color="FF9933"/>
              <w:right w:val="nil"/>
            </w:tcBorders>
            <w:shd w:val="clear" w:color="auto" w:fill="auto"/>
            <w:noWrap/>
            <w:vAlign w:val="center"/>
            <w:hideMark/>
          </w:tcPr>
          <w:p w14:paraId="0DF7A509"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70830E8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25,0%</w:t>
            </w:r>
          </w:p>
        </w:tc>
        <w:tc>
          <w:tcPr>
            <w:tcW w:w="673" w:type="pct"/>
            <w:tcBorders>
              <w:top w:val="nil"/>
              <w:left w:val="nil"/>
              <w:bottom w:val="single" w:sz="4" w:space="0" w:color="FF9933"/>
              <w:right w:val="nil"/>
            </w:tcBorders>
            <w:shd w:val="clear" w:color="auto" w:fill="auto"/>
            <w:noWrap/>
            <w:vAlign w:val="center"/>
            <w:hideMark/>
          </w:tcPr>
          <w:p w14:paraId="6ED13D16"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6C21727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30,0%</w:t>
            </w:r>
          </w:p>
        </w:tc>
        <w:tc>
          <w:tcPr>
            <w:tcW w:w="347" w:type="pct"/>
            <w:tcBorders>
              <w:top w:val="nil"/>
              <w:left w:val="nil"/>
              <w:bottom w:val="single" w:sz="4" w:space="0" w:color="FF9933"/>
              <w:right w:val="single" w:sz="8" w:space="0" w:color="FF9900"/>
            </w:tcBorders>
            <w:shd w:val="clear" w:color="auto" w:fill="auto"/>
            <w:noWrap/>
            <w:vAlign w:val="center"/>
            <w:hideMark/>
          </w:tcPr>
          <w:p w14:paraId="5A32559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246FCFCB"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7E279809"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Florovivaismo</w:t>
            </w:r>
          </w:p>
        </w:tc>
        <w:tc>
          <w:tcPr>
            <w:tcW w:w="732" w:type="pct"/>
            <w:tcBorders>
              <w:top w:val="nil"/>
              <w:left w:val="nil"/>
              <w:bottom w:val="single" w:sz="4" w:space="0" w:color="FF9933"/>
              <w:right w:val="nil"/>
            </w:tcBorders>
            <w:shd w:val="clear" w:color="auto" w:fill="auto"/>
            <w:noWrap/>
            <w:vAlign w:val="center"/>
            <w:hideMark/>
          </w:tcPr>
          <w:p w14:paraId="50008B5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33,3%</w:t>
            </w:r>
          </w:p>
        </w:tc>
        <w:tc>
          <w:tcPr>
            <w:tcW w:w="583" w:type="pct"/>
            <w:tcBorders>
              <w:top w:val="nil"/>
              <w:left w:val="nil"/>
              <w:bottom w:val="single" w:sz="4" w:space="0" w:color="FF9933"/>
              <w:right w:val="nil"/>
            </w:tcBorders>
            <w:shd w:val="clear" w:color="auto" w:fill="auto"/>
            <w:noWrap/>
            <w:vAlign w:val="center"/>
            <w:hideMark/>
          </w:tcPr>
          <w:p w14:paraId="3FEDEB4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33,3%</w:t>
            </w:r>
          </w:p>
        </w:tc>
        <w:tc>
          <w:tcPr>
            <w:tcW w:w="511" w:type="pct"/>
            <w:tcBorders>
              <w:top w:val="nil"/>
              <w:left w:val="nil"/>
              <w:bottom w:val="single" w:sz="4" w:space="0" w:color="FF9933"/>
              <w:right w:val="nil"/>
            </w:tcBorders>
            <w:shd w:val="clear" w:color="auto" w:fill="auto"/>
            <w:noWrap/>
            <w:vAlign w:val="center"/>
            <w:hideMark/>
          </w:tcPr>
          <w:p w14:paraId="25690EB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2,8%</w:t>
            </w:r>
          </w:p>
        </w:tc>
        <w:tc>
          <w:tcPr>
            <w:tcW w:w="660" w:type="pct"/>
            <w:tcBorders>
              <w:top w:val="nil"/>
              <w:left w:val="nil"/>
              <w:bottom w:val="single" w:sz="4" w:space="0" w:color="FF9933"/>
              <w:right w:val="nil"/>
            </w:tcBorders>
            <w:shd w:val="clear" w:color="auto" w:fill="auto"/>
            <w:noWrap/>
            <w:vAlign w:val="center"/>
            <w:hideMark/>
          </w:tcPr>
          <w:p w14:paraId="4A66543A"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19,4%</w:t>
            </w:r>
          </w:p>
        </w:tc>
        <w:tc>
          <w:tcPr>
            <w:tcW w:w="673" w:type="pct"/>
            <w:tcBorders>
              <w:top w:val="nil"/>
              <w:left w:val="nil"/>
              <w:bottom w:val="single" w:sz="4" w:space="0" w:color="FF9933"/>
              <w:right w:val="nil"/>
            </w:tcBorders>
            <w:shd w:val="clear" w:color="auto" w:fill="auto"/>
            <w:noWrap/>
            <w:vAlign w:val="center"/>
            <w:hideMark/>
          </w:tcPr>
          <w:p w14:paraId="52BA156D"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2,8%</w:t>
            </w:r>
          </w:p>
        </w:tc>
        <w:tc>
          <w:tcPr>
            <w:tcW w:w="476" w:type="pct"/>
            <w:tcBorders>
              <w:top w:val="nil"/>
              <w:left w:val="nil"/>
              <w:bottom w:val="single" w:sz="4" w:space="0" w:color="FF9933"/>
              <w:right w:val="nil"/>
            </w:tcBorders>
            <w:shd w:val="clear" w:color="auto" w:fill="auto"/>
            <w:noWrap/>
            <w:vAlign w:val="center"/>
            <w:hideMark/>
          </w:tcPr>
          <w:p w14:paraId="47D4E71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8,3%</w:t>
            </w:r>
          </w:p>
        </w:tc>
        <w:tc>
          <w:tcPr>
            <w:tcW w:w="347" w:type="pct"/>
            <w:tcBorders>
              <w:top w:val="nil"/>
              <w:left w:val="nil"/>
              <w:bottom w:val="single" w:sz="4" w:space="0" w:color="FF9933"/>
              <w:right w:val="single" w:sz="8" w:space="0" w:color="FF9900"/>
            </w:tcBorders>
            <w:shd w:val="clear" w:color="auto" w:fill="auto"/>
            <w:noWrap/>
            <w:vAlign w:val="center"/>
            <w:hideMark/>
          </w:tcPr>
          <w:p w14:paraId="4DB1434D"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3E6AB46A"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70836B05"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Foraggere</w:t>
            </w:r>
          </w:p>
        </w:tc>
        <w:tc>
          <w:tcPr>
            <w:tcW w:w="732" w:type="pct"/>
            <w:tcBorders>
              <w:top w:val="nil"/>
              <w:left w:val="nil"/>
              <w:bottom w:val="single" w:sz="4" w:space="0" w:color="FF9933"/>
              <w:right w:val="nil"/>
            </w:tcBorders>
            <w:shd w:val="clear" w:color="auto" w:fill="auto"/>
            <w:noWrap/>
            <w:vAlign w:val="center"/>
            <w:hideMark/>
          </w:tcPr>
          <w:p w14:paraId="7CAD9B9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46,8%</w:t>
            </w:r>
          </w:p>
        </w:tc>
        <w:tc>
          <w:tcPr>
            <w:tcW w:w="583" w:type="pct"/>
            <w:tcBorders>
              <w:top w:val="nil"/>
              <w:left w:val="nil"/>
              <w:bottom w:val="single" w:sz="4" w:space="0" w:color="FF9933"/>
              <w:right w:val="nil"/>
            </w:tcBorders>
            <w:shd w:val="clear" w:color="auto" w:fill="auto"/>
            <w:noWrap/>
            <w:vAlign w:val="center"/>
            <w:hideMark/>
          </w:tcPr>
          <w:p w14:paraId="2B361A8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2,1%</w:t>
            </w:r>
          </w:p>
        </w:tc>
        <w:tc>
          <w:tcPr>
            <w:tcW w:w="511" w:type="pct"/>
            <w:tcBorders>
              <w:top w:val="nil"/>
              <w:left w:val="nil"/>
              <w:bottom w:val="single" w:sz="4" w:space="0" w:color="FF9933"/>
              <w:right w:val="nil"/>
            </w:tcBorders>
            <w:shd w:val="clear" w:color="auto" w:fill="auto"/>
            <w:noWrap/>
            <w:vAlign w:val="center"/>
            <w:hideMark/>
          </w:tcPr>
          <w:p w14:paraId="55A3F1C6"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0D7F1F2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12,8%</w:t>
            </w:r>
          </w:p>
        </w:tc>
        <w:tc>
          <w:tcPr>
            <w:tcW w:w="673" w:type="pct"/>
            <w:tcBorders>
              <w:top w:val="nil"/>
              <w:left w:val="nil"/>
              <w:bottom w:val="single" w:sz="4" w:space="0" w:color="FF9933"/>
              <w:right w:val="nil"/>
            </w:tcBorders>
            <w:shd w:val="clear" w:color="auto" w:fill="auto"/>
            <w:noWrap/>
            <w:vAlign w:val="center"/>
            <w:hideMark/>
          </w:tcPr>
          <w:p w14:paraId="60DA2BE6"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2,1%</w:t>
            </w:r>
          </w:p>
        </w:tc>
        <w:tc>
          <w:tcPr>
            <w:tcW w:w="476" w:type="pct"/>
            <w:tcBorders>
              <w:top w:val="nil"/>
              <w:left w:val="nil"/>
              <w:bottom w:val="single" w:sz="4" w:space="0" w:color="FF9933"/>
              <w:right w:val="nil"/>
            </w:tcBorders>
            <w:shd w:val="clear" w:color="auto" w:fill="auto"/>
            <w:noWrap/>
            <w:vAlign w:val="center"/>
            <w:hideMark/>
          </w:tcPr>
          <w:p w14:paraId="2CD2FA8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36,2%</w:t>
            </w:r>
          </w:p>
        </w:tc>
        <w:tc>
          <w:tcPr>
            <w:tcW w:w="347" w:type="pct"/>
            <w:tcBorders>
              <w:top w:val="nil"/>
              <w:left w:val="nil"/>
              <w:bottom w:val="single" w:sz="4" w:space="0" w:color="FF9933"/>
              <w:right w:val="single" w:sz="8" w:space="0" w:color="FF9900"/>
            </w:tcBorders>
            <w:shd w:val="clear" w:color="auto" w:fill="auto"/>
            <w:noWrap/>
            <w:vAlign w:val="center"/>
            <w:hideMark/>
          </w:tcPr>
          <w:p w14:paraId="34E132E8"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4FDA62C7"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1E9820F3"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Frutta fresca</w:t>
            </w:r>
          </w:p>
        </w:tc>
        <w:tc>
          <w:tcPr>
            <w:tcW w:w="732" w:type="pct"/>
            <w:tcBorders>
              <w:top w:val="nil"/>
              <w:left w:val="nil"/>
              <w:bottom w:val="single" w:sz="4" w:space="0" w:color="FF9933"/>
              <w:right w:val="nil"/>
            </w:tcBorders>
            <w:shd w:val="clear" w:color="auto" w:fill="auto"/>
            <w:noWrap/>
            <w:vAlign w:val="center"/>
            <w:hideMark/>
          </w:tcPr>
          <w:p w14:paraId="4D34C6F8"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34,1%</w:t>
            </w:r>
          </w:p>
        </w:tc>
        <w:tc>
          <w:tcPr>
            <w:tcW w:w="583" w:type="pct"/>
            <w:tcBorders>
              <w:top w:val="nil"/>
              <w:left w:val="nil"/>
              <w:bottom w:val="single" w:sz="4" w:space="0" w:color="FF9933"/>
              <w:right w:val="nil"/>
            </w:tcBorders>
            <w:shd w:val="clear" w:color="auto" w:fill="auto"/>
            <w:noWrap/>
            <w:vAlign w:val="center"/>
            <w:hideMark/>
          </w:tcPr>
          <w:p w14:paraId="7CC1F6E0"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36,6%</w:t>
            </w:r>
          </w:p>
        </w:tc>
        <w:tc>
          <w:tcPr>
            <w:tcW w:w="511" w:type="pct"/>
            <w:tcBorders>
              <w:top w:val="nil"/>
              <w:left w:val="nil"/>
              <w:bottom w:val="single" w:sz="4" w:space="0" w:color="FF9933"/>
              <w:right w:val="nil"/>
            </w:tcBorders>
            <w:shd w:val="clear" w:color="auto" w:fill="auto"/>
            <w:noWrap/>
            <w:vAlign w:val="center"/>
            <w:hideMark/>
          </w:tcPr>
          <w:p w14:paraId="3828E6F6"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0,6%</w:t>
            </w:r>
          </w:p>
        </w:tc>
        <w:tc>
          <w:tcPr>
            <w:tcW w:w="660" w:type="pct"/>
            <w:tcBorders>
              <w:top w:val="nil"/>
              <w:left w:val="nil"/>
              <w:bottom w:val="single" w:sz="4" w:space="0" w:color="FF9933"/>
              <w:right w:val="nil"/>
            </w:tcBorders>
            <w:shd w:val="clear" w:color="auto" w:fill="auto"/>
            <w:noWrap/>
            <w:vAlign w:val="center"/>
            <w:hideMark/>
          </w:tcPr>
          <w:p w14:paraId="14314150"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17,1%</w:t>
            </w:r>
          </w:p>
        </w:tc>
        <w:tc>
          <w:tcPr>
            <w:tcW w:w="673" w:type="pct"/>
            <w:tcBorders>
              <w:top w:val="nil"/>
              <w:left w:val="nil"/>
              <w:bottom w:val="single" w:sz="4" w:space="0" w:color="FF9933"/>
              <w:right w:val="nil"/>
            </w:tcBorders>
            <w:shd w:val="clear" w:color="auto" w:fill="auto"/>
            <w:noWrap/>
            <w:vAlign w:val="center"/>
            <w:hideMark/>
          </w:tcPr>
          <w:p w14:paraId="40A35AA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0,6%</w:t>
            </w:r>
          </w:p>
        </w:tc>
        <w:tc>
          <w:tcPr>
            <w:tcW w:w="476" w:type="pct"/>
            <w:tcBorders>
              <w:top w:val="nil"/>
              <w:left w:val="nil"/>
              <w:bottom w:val="single" w:sz="4" w:space="0" w:color="FF9933"/>
              <w:right w:val="nil"/>
            </w:tcBorders>
            <w:shd w:val="clear" w:color="auto" w:fill="auto"/>
            <w:noWrap/>
            <w:vAlign w:val="center"/>
            <w:hideMark/>
          </w:tcPr>
          <w:p w14:paraId="55D9822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11,0%</w:t>
            </w:r>
          </w:p>
        </w:tc>
        <w:tc>
          <w:tcPr>
            <w:tcW w:w="347" w:type="pct"/>
            <w:tcBorders>
              <w:top w:val="nil"/>
              <w:left w:val="nil"/>
              <w:bottom w:val="single" w:sz="4" w:space="0" w:color="FF9933"/>
              <w:right w:val="single" w:sz="8" w:space="0" w:color="FF9900"/>
            </w:tcBorders>
            <w:shd w:val="clear" w:color="auto" w:fill="auto"/>
            <w:noWrap/>
            <w:vAlign w:val="center"/>
            <w:hideMark/>
          </w:tcPr>
          <w:p w14:paraId="1463B318"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0A5AC6FB"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080C5BF1"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Frutta secca</w:t>
            </w:r>
          </w:p>
        </w:tc>
        <w:tc>
          <w:tcPr>
            <w:tcW w:w="732" w:type="pct"/>
            <w:tcBorders>
              <w:top w:val="nil"/>
              <w:left w:val="nil"/>
              <w:bottom w:val="single" w:sz="4" w:space="0" w:color="FF9933"/>
              <w:right w:val="nil"/>
            </w:tcBorders>
            <w:shd w:val="clear" w:color="auto" w:fill="auto"/>
            <w:noWrap/>
            <w:vAlign w:val="center"/>
            <w:hideMark/>
          </w:tcPr>
          <w:p w14:paraId="5D2FD26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40,0%</w:t>
            </w:r>
          </w:p>
        </w:tc>
        <w:tc>
          <w:tcPr>
            <w:tcW w:w="583" w:type="pct"/>
            <w:tcBorders>
              <w:top w:val="nil"/>
              <w:left w:val="nil"/>
              <w:bottom w:val="single" w:sz="4" w:space="0" w:color="FF9933"/>
              <w:right w:val="nil"/>
            </w:tcBorders>
            <w:shd w:val="clear" w:color="auto" w:fill="auto"/>
            <w:noWrap/>
            <w:vAlign w:val="center"/>
            <w:hideMark/>
          </w:tcPr>
          <w:p w14:paraId="0EA715C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511" w:type="pct"/>
            <w:tcBorders>
              <w:top w:val="nil"/>
              <w:left w:val="nil"/>
              <w:bottom w:val="single" w:sz="4" w:space="0" w:color="FF9933"/>
              <w:right w:val="nil"/>
            </w:tcBorders>
            <w:shd w:val="clear" w:color="auto" w:fill="auto"/>
            <w:noWrap/>
            <w:vAlign w:val="center"/>
            <w:hideMark/>
          </w:tcPr>
          <w:p w14:paraId="3AFA5545"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c>
          <w:tcPr>
            <w:tcW w:w="660" w:type="pct"/>
            <w:tcBorders>
              <w:top w:val="nil"/>
              <w:left w:val="nil"/>
              <w:bottom w:val="single" w:sz="4" w:space="0" w:color="FF9933"/>
              <w:right w:val="nil"/>
            </w:tcBorders>
            <w:shd w:val="clear" w:color="auto" w:fill="auto"/>
            <w:noWrap/>
            <w:vAlign w:val="center"/>
            <w:hideMark/>
          </w:tcPr>
          <w:p w14:paraId="30A60ED6"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30,0%</w:t>
            </w:r>
          </w:p>
        </w:tc>
        <w:tc>
          <w:tcPr>
            <w:tcW w:w="673" w:type="pct"/>
            <w:tcBorders>
              <w:top w:val="nil"/>
              <w:left w:val="nil"/>
              <w:bottom w:val="single" w:sz="4" w:space="0" w:color="FF9933"/>
              <w:right w:val="nil"/>
            </w:tcBorders>
            <w:shd w:val="clear" w:color="auto" w:fill="auto"/>
            <w:noWrap/>
            <w:vAlign w:val="center"/>
            <w:hideMark/>
          </w:tcPr>
          <w:p w14:paraId="6D93E84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5E41EE8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20,0%</w:t>
            </w:r>
          </w:p>
        </w:tc>
        <w:tc>
          <w:tcPr>
            <w:tcW w:w="347" w:type="pct"/>
            <w:tcBorders>
              <w:top w:val="nil"/>
              <w:left w:val="nil"/>
              <w:bottom w:val="single" w:sz="4" w:space="0" w:color="FF9933"/>
              <w:right w:val="single" w:sz="8" w:space="0" w:color="FF9900"/>
            </w:tcBorders>
            <w:shd w:val="clear" w:color="auto" w:fill="auto"/>
            <w:noWrap/>
            <w:vAlign w:val="center"/>
            <w:hideMark/>
          </w:tcPr>
          <w:p w14:paraId="2267FCD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653D9409"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5790319F"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Olivicolo</w:t>
            </w:r>
          </w:p>
        </w:tc>
        <w:tc>
          <w:tcPr>
            <w:tcW w:w="732" w:type="pct"/>
            <w:tcBorders>
              <w:top w:val="nil"/>
              <w:left w:val="nil"/>
              <w:bottom w:val="single" w:sz="4" w:space="0" w:color="FF9933"/>
              <w:right w:val="nil"/>
            </w:tcBorders>
            <w:shd w:val="clear" w:color="auto" w:fill="auto"/>
            <w:noWrap/>
            <w:vAlign w:val="center"/>
            <w:hideMark/>
          </w:tcPr>
          <w:p w14:paraId="51CC8191"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50,0%</w:t>
            </w:r>
          </w:p>
        </w:tc>
        <w:tc>
          <w:tcPr>
            <w:tcW w:w="583" w:type="pct"/>
            <w:tcBorders>
              <w:top w:val="nil"/>
              <w:left w:val="nil"/>
              <w:bottom w:val="single" w:sz="4" w:space="0" w:color="FF9933"/>
              <w:right w:val="nil"/>
            </w:tcBorders>
            <w:shd w:val="clear" w:color="auto" w:fill="auto"/>
            <w:noWrap/>
            <w:vAlign w:val="center"/>
            <w:hideMark/>
          </w:tcPr>
          <w:p w14:paraId="2D938B9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511" w:type="pct"/>
            <w:tcBorders>
              <w:top w:val="nil"/>
              <w:left w:val="nil"/>
              <w:bottom w:val="single" w:sz="4" w:space="0" w:color="FF9933"/>
              <w:right w:val="nil"/>
            </w:tcBorders>
            <w:shd w:val="clear" w:color="auto" w:fill="auto"/>
            <w:noWrap/>
            <w:vAlign w:val="center"/>
            <w:hideMark/>
          </w:tcPr>
          <w:p w14:paraId="105EF99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269B1378"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673" w:type="pct"/>
            <w:tcBorders>
              <w:top w:val="nil"/>
              <w:left w:val="nil"/>
              <w:bottom w:val="single" w:sz="4" w:space="0" w:color="FF9933"/>
              <w:right w:val="nil"/>
            </w:tcBorders>
            <w:shd w:val="clear" w:color="auto" w:fill="auto"/>
            <w:noWrap/>
            <w:vAlign w:val="center"/>
            <w:hideMark/>
          </w:tcPr>
          <w:p w14:paraId="264699BE"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7D84DBD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50,0%</w:t>
            </w:r>
          </w:p>
        </w:tc>
        <w:tc>
          <w:tcPr>
            <w:tcW w:w="347" w:type="pct"/>
            <w:tcBorders>
              <w:top w:val="nil"/>
              <w:left w:val="nil"/>
              <w:bottom w:val="single" w:sz="4" w:space="0" w:color="FF9933"/>
              <w:right w:val="single" w:sz="8" w:space="0" w:color="FF9900"/>
            </w:tcBorders>
            <w:shd w:val="clear" w:color="auto" w:fill="auto"/>
            <w:noWrap/>
            <w:vAlign w:val="center"/>
            <w:hideMark/>
          </w:tcPr>
          <w:p w14:paraId="6CF3EFA6"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1611DC30"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06650A4B"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Ortaggi</w:t>
            </w:r>
          </w:p>
        </w:tc>
        <w:tc>
          <w:tcPr>
            <w:tcW w:w="732" w:type="pct"/>
            <w:tcBorders>
              <w:top w:val="nil"/>
              <w:left w:val="nil"/>
              <w:bottom w:val="single" w:sz="4" w:space="0" w:color="FF9933"/>
              <w:right w:val="nil"/>
            </w:tcBorders>
            <w:shd w:val="clear" w:color="auto" w:fill="auto"/>
            <w:noWrap/>
            <w:vAlign w:val="center"/>
            <w:hideMark/>
          </w:tcPr>
          <w:p w14:paraId="6D489DB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38,7%</w:t>
            </w:r>
          </w:p>
        </w:tc>
        <w:tc>
          <w:tcPr>
            <w:tcW w:w="583" w:type="pct"/>
            <w:tcBorders>
              <w:top w:val="nil"/>
              <w:left w:val="nil"/>
              <w:bottom w:val="single" w:sz="4" w:space="0" w:color="FF9933"/>
              <w:right w:val="nil"/>
            </w:tcBorders>
            <w:shd w:val="clear" w:color="auto" w:fill="auto"/>
            <w:noWrap/>
            <w:vAlign w:val="center"/>
            <w:hideMark/>
          </w:tcPr>
          <w:p w14:paraId="15D821D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14,2%</w:t>
            </w:r>
          </w:p>
        </w:tc>
        <w:tc>
          <w:tcPr>
            <w:tcW w:w="511" w:type="pct"/>
            <w:tcBorders>
              <w:top w:val="nil"/>
              <w:left w:val="nil"/>
              <w:bottom w:val="single" w:sz="4" w:space="0" w:color="FF9933"/>
              <w:right w:val="nil"/>
            </w:tcBorders>
            <w:shd w:val="clear" w:color="auto" w:fill="auto"/>
            <w:noWrap/>
            <w:vAlign w:val="center"/>
            <w:hideMark/>
          </w:tcPr>
          <w:p w14:paraId="1F98232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0,9%</w:t>
            </w:r>
          </w:p>
        </w:tc>
        <w:tc>
          <w:tcPr>
            <w:tcW w:w="660" w:type="pct"/>
            <w:tcBorders>
              <w:top w:val="nil"/>
              <w:left w:val="nil"/>
              <w:bottom w:val="single" w:sz="4" w:space="0" w:color="FF9933"/>
              <w:right w:val="nil"/>
            </w:tcBorders>
            <w:shd w:val="clear" w:color="auto" w:fill="auto"/>
            <w:noWrap/>
            <w:vAlign w:val="center"/>
            <w:hideMark/>
          </w:tcPr>
          <w:p w14:paraId="2A888EE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25,5%</w:t>
            </w:r>
          </w:p>
        </w:tc>
        <w:tc>
          <w:tcPr>
            <w:tcW w:w="673" w:type="pct"/>
            <w:tcBorders>
              <w:top w:val="nil"/>
              <w:left w:val="nil"/>
              <w:bottom w:val="single" w:sz="4" w:space="0" w:color="FF9933"/>
              <w:right w:val="nil"/>
            </w:tcBorders>
            <w:shd w:val="clear" w:color="auto" w:fill="auto"/>
            <w:noWrap/>
            <w:vAlign w:val="center"/>
            <w:hideMark/>
          </w:tcPr>
          <w:p w14:paraId="53DE9BDD"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0,9%</w:t>
            </w:r>
          </w:p>
        </w:tc>
        <w:tc>
          <w:tcPr>
            <w:tcW w:w="476" w:type="pct"/>
            <w:tcBorders>
              <w:top w:val="nil"/>
              <w:left w:val="nil"/>
              <w:bottom w:val="single" w:sz="4" w:space="0" w:color="FF9933"/>
              <w:right w:val="nil"/>
            </w:tcBorders>
            <w:shd w:val="clear" w:color="auto" w:fill="auto"/>
            <w:noWrap/>
            <w:vAlign w:val="center"/>
            <w:hideMark/>
          </w:tcPr>
          <w:p w14:paraId="1E0E61BA"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19,8%</w:t>
            </w:r>
          </w:p>
        </w:tc>
        <w:tc>
          <w:tcPr>
            <w:tcW w:w="347" w:type="pct"/>
            <w:tcBorders>
              <w:top w:val="nil"/>
              <w:left w:val="nil"/>
              <w:bottom w:val="single" w:sz="4" w:space="0" w:color="FF9933"/>
              <w:right w:val="single" w:sz="8" w:space="0" w:color="FF9900"/>
            </w:tcBorders>
            <w:shd w:val="clear" w:color="auto" w:fill="auto"/>
            <w:noWrap/>
            <w:vAlign w:val="center"/>
            <w:hideMark/>
          </w:tcPr>
          <w:p w14:paraId="28C7DA63"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5A6DD263" w14:textId="77777777" w:rsidTr="001C3944">
        <w:trPr>
          <w:trHeight w:val="113"/>
        </w:trPr>
        <w:tc>
          <w:tcPr>
            <w:tcW w:w="1018" w:type="pct"/>
            <w:tcBorders>
              <w:top w:val="nil"/>
              <w:left w:val="single" w:sz="8" w:space="0" w:color="FF9900"/>
              <w:bottom w:val="single" w:sz="4" w:space="0" w:color="FF9933"/>
              <w:right w:val="nil"/>
            </w:tcBorders>
            <w:shd w:val="clear" w:color="auto" w:fill="auto"/>
            <w:noWrap/>
            <w:vAlign w:val="center"/>
            <w:hideMark/>
          </w:tcPr>
          <w:p w14:paraId="4638D735"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Uva da vino</w:t>
            </w:r>
          </w:p>
        </w:tc>
        <w:tc>
          <w:tcPr>
            <w:tcW w:w="732" w:type="pct"/>
            <w:tcBorders>
              <w:top w:val="nil"/>
              <w:left w:val="nil"/>
              <w:bottom w:val="single" w:sz="4" w:space="0" w:color="FF9933"/>
              <w:right w:val="nil"/>
            </w:tcBorders>
            <w:shd w:val="clear" w:color="auto" w:fill="auto"/>
            <w:noWrap/>
            <w:vAlign w:val="center"/>
            <w:hideMark/>
          </w:tcPr>
          <w:p w14:paraId="0DA4E7D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33,6%</w:t>
            </w:r>
          </w:p>
        </w:tc>
        <w:tc>
          <w:tcPr>
            <w:tcW w:w="583" w:type="pct"/>
            <w:tcBorders>
              <w:top w:val="nil"/>
              <w:left w:val="nil"/>
              <w:bottom w:val="single" w:sz="4" w:space="0" w:color="FF9933"/>
              <w:right w:val="nil"/>
            </w:tcBorders>
            <w:shd w:val="clear" w:color="auto" w:fill="auto"/>
            <w:noWrap/>
            <w:vAlign w:val="center"/>
            <w:hideMark/>
          </w:tcPr>
          <w:p w14:paraId="0A5E156B"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8,8%</w:t>
            </w:r>
          </w:p>
        </w:tc>
        <w:tc>
          <w:tcPr>
            <w:tcW w:w="511" w:type="pct"/>
            <w:tcBorders>
              <w:top w:val="nil"/>
              <w:left w:val="nil"/>
              <w:bottom w:val="single" w:sz="4" w:space="0" w:color="FF9933"/>
              <w:right w:val="nil"/>
            </w:tcBorders>
            <w:shd w:val="clear" w:color="auto" w:fill="auto"/>
            <w:noWrap/>
            <w:vAlign w:val="center"/>
            <w:hideMark/>
          </w:tcPr>
          <w:p w14:paraId="56687134"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3,2%</w:t>
            </w:r>
          </w:p>
        </w:tc>
        <w:tc>
          <w:tcPr>
            <w:tcW w:w="660" w:type="pct"/>
            <w:tcBorders>
              <w:top w:val="nil"/>
              <w:left w:val="nil"/>
              <w:bottom w:val="single" w:sz="4" w:space="0" w:color="FF9933"/>
              <w:right w:val="nil"/>
            </w:tcBorders>
            <w:shd w:val="clear" w:color="auto" w:fill="auto"/>
            <w:noWrap/>
            <w:vAlign w:val="center"/>
            <w:hideMark/>
          </w:tcPr>
          <w:p w14:paraId="7FCBAEBB"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30,4%</w:t>
            </w:r>
          </w:p>
        </w:tc>
        <w:tc>
          <w:tcPr>
            <w:tcW w:w="673" w:type="pct"/>
            <w:tcBorders>
              <w:top w:val="nil"/>
              <w:left w:val="nil"/>
              <w:bottom w:val="single" w:sz="4" w:space="0" w:color="FF9933"/>
              <w:right w:val="nil"/>
            </w:tcBorders>
            <w:shd w:val="clear" w:color="auto" w:fill="auto"/>
            <w:noWrap/>
            <w:vAlign w:val="center"/>
            <w:hideMark/>
          </w:tcPr>
          <w:p w14:paraId="43FB29C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1,6%</w:t>
            </w:r>
          </w:p>
        </w:tc>
        <w:tc>
          <w:tcPr>
            <w:tcW w:w="476" w:type="pct"/>
            <w:tcBorders>
              <w:top w:val="nil"/>
              <w:left w:val="nil"/>
              <w:bottom w:val="single" w:sz="4" w:space="0" w:color="FF9933"/>
              <w:right w:val="nil"/>
            </w:tcBorders>
            <w:shd w:val="clear" w:color="auto" w:fill="auto"/>
            <w:noWrap/>
            <w:vAlign w:val="center"/>
            <w:hideMark/>
          </w:tcPr>
          <w:p w14:paraId="157E9C39"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22,4%</w:t>
            </w:r>
          </w:p>
        </w:tc>
        <w:tc>
          <w:tcPr>
            <w:tcW w:w="347" w:type="pct"/>
            <w:tcBorders>
              <w:top w:val="nil"/>
              <w:left w:val="nil"/>
              <w:bottom w:val="single" w:sz="4" w:space="0" w:color="FF9933"/>
              <w:right w:val="single" w:sz="8" w:space="0" w:color="FF9900"/>
            </w:tcBorders>
            <w:shd w:val="clear" w:color="auto" w:fill="auto"/>
            <w:noWrap/>
            <w:vAlign w:val="center"/>
            <w:hideMark/>
          </w:tcPr>
          <w:p w14:paraId="353C03E2"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100%</w:t>
            </w:r>
          </w:p>
        </w:tc>
      </w:tr>
      <w:tr w:rsidR="008D6C73" w:rsidRPr="00323DE2" w14:paraId="3C353639" w14:textId="77777777" w:rsidTr="001C3944">
        <w:trPr>
          <w:trHeight w:val="113"/>
        </w:trPr>
        <w:tc>
          <w:tcPr>
            <w:tcW w:w="1018" w:type="pct"/>
            <w:tcBorders>
              <w:top w:val="nil"/>
              <w:left w:val="single" w:sz="8" w:space="0" w:color="FF9900"/>
              <w:bottom w:val="single" w:sz="8" w:space="0" w:color="FF9900"/>
              <w:right w:val="nil"/>
            </w:tcBorders>
            <w:shd w:val="clear" w:color="auto" w:fill="auto"/>
            <w:noWrap/>
            <w:vAlign w:val="center"/>
            <w:hideMark/>
          </w:tcPr>
          <w:p w14:paraId="422CFF46" w14:textId="77777777" w:rsidR="008D6C73" w:rsidRPr="00323DE2" w:rsidRDefault="008D6C73" w:rsidP="001C3944">
            <w:pPr>
              <w:spacing w:after="0"/>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 xml:space="preserve">Totale </w:t>
            </w:r>
          </w:p>
        </w:tc>
        <w:tc>
          <w:tcPr>
            <w:tcW w:w="732" w:type="pct"/>
            <w:tcBorders>
              <w:top w:val="nil"/>
              <w:left w:val="nil"/>
              <w:bottom w:val="single" w:sz="8" w:space="0" w:color="FF9900"/>
              <w:right w:val="nil"/>
            </w:tcBorders>
            <w:shd w:val="clear" w:color="auto" w:fill="auto"/>
            <w:noWrap/>
            <w:vAlign w:val="center"/>
            <w:hideMark/>
          </w:tcPr>
          <w:p w14:paraId="5349FC11"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37,5%</w:t>
            </w:r>
          </w:p>
        </w:tc>
        <w:tc>
          <w:tcPr>
            <w:tcW w:w="583" w:type="pct"/>
            <w:tcBorders>
              <w:top w:val="nil"/>
              <w:left w:val="nil"/>
              <w:bottom w:val="single" w:sz="8" w:space="0" w:color="FF9900"/>
              <w:right w:val="nil"/>
            </w:tcBorders>
            <w:shd w:val="clear" w:color="auto" w:fill="auto"/>
            <w:noWrap/>
            <w:vAlign w:val="center"/>
            <w:hideMark/>
          </w:tcPr>
          <w:p w14:paraId="5857F7A2"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17,5%</w:t>
            </w:r>
          </w:p>
        </w:tc>
        <w:tc>
          <w:tcPr>
            <w:tcW w:w="511" w:type="pct"/>
            <w:tcBorders>
              <w:top w:val="nil"/>
              <w:left w:val="nil"/>
              <w:bottom w:val="single" w:sz="8" w:space="0" w:color="FF9900"/>
              <w:right w:val="nil"/>
            </w:tcBorders>
            <w:shd w:val="clear" w:color="auto" w:fill="auto"/>
            <w:noWrap/>
            <w:vAlign w:val="center"/>
            <w:hideMark/>
          </w:tcPr>
          <w:p w14:paraId="41C3EB6D"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1,7%</w:t>
            </w:r>
          </w:p>
        </w:tc>
        <w:tc>
          <w:tcPr>
            <w:tcW w:w="660" w:type="pct"/>
            <w:tcBorders>
              <w:top w:val="nil"/>
              <w:left w:val="nil"/>
              <w:bottom w:val="single" w:sz="8" w:space="0" w:color="FF9900"/>
              <w:right w:val="nil"/>
            </w:tcBorders>
            <w:shd w:val="clear" w:color="auto" w:fill="auto"/>
            <w:noWrap/>
            <w:vAlign w:val="center"/>
            <w:hideMark/>
          </w:tcPr>
          <w:p w14:paraId="142B8BD1"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21,7%</w:t>
            </w:r>
          </w:p>
        </w:tc>
        <w:tc>
          <w:tcPr>
            <w:tcW w:w="673" w:type="pct"/>
            <w:tcBorders>
              <w:top w:val="nil"/>
              <w:left w:val="nil"/>
              <w:bottom w:val="single" w:sz="8" w:space="0" w:color="FF9900"/>
              <w:right w:val="nil"/>
            </w:tcBorders>
            <w:shd w:val="clear" w:color="auto" w:fill="auto"/>
            <w:noWrap/>
            <w:vAlign w:val="center"/>
            <w:hideMark/>
          </w:tcPr>
          <w:p w14:paraId="659F94E2"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1,5%</w:t>
            </w:r>
          </w:p>
        </w:tc>
        <w:tc>
          <w:tcPr>
            <w:tcW w:w="476" w:type="pct"/>
            <w:tcBorders>
              <w:top w:val="nil"/>
              <w:left w:val="nil"/>
              <w:bottom w:val="single" w:sz="8" w:space="0" w:color="FF9900"/>
              <w:right w:val="nil"/>
            </w:tcBorders>
            <w:shd w:val="clear" w:color="auto" w:fill="auto"/>
            <w:noWrap/>
            <w:vAlign w:val="center"/>
            <w:hideMark/>
          </w:tcPr>
          <w:p w14:paraId="361F98A4"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20,1%</w:t>
            </w:r>
          </w:p>
        </w:tc>
        <w:tc>
          <w:tcPr>
            <w:tcW w:w="347" w:type="pct"/>
            <w:tcBorders>
              <w:top w:val="nil"/>
              <w:left w:val="nil"/>
              <w:bottom w:val="single" w:sz="8" w:space="0" w:color="FF9900"/>
              <w:right w:val="single" w:sz="8" w:space="0" w:color="FF9900"/>
            </w:tcBorders>
            <w:shd w:val="clear" w:color="auto" w:fill="auto"/>
            <w:noWrap/>
            <w:vAlign w:val="center"/>
            <w:hideMark/>
          </w:tcPr>
          <w:p w14:paraId="752F8CB0" w14:textId="77777777" w:rsidR="008D6C73" w:rsidRPr="00323DE2" w:rsidRDefault="008D6C73" w:rsidP="001C3944">
            <w:pPr>
              <w:spacing w:after="0"/>
              <w:jc w:val="right"/>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100%</w:t>
            </w:r>
          </w:p>
        </w:tc>
      </w:tr>
    </w:tbl>
    <w:p w14:paraId="44CC4D09" w14:textId="61EF6D7A" w:rsidR="008D6C73" w:rsidRDefault="008D6C73" w:rsidP="00CD2E02"/>
    <w:p w14:paraId="3947DD41" w14:textId="77777777" w:rsidR="002A1691" w:rsidRDefault="002A1691" w:rsidP="00CD2E02"/>
    <w:p w14:paraId="4DE6D2C4" w14:textId="0F9D8EB4" w:rsidR="008D6C73" w:rsidRPr="00BC5327" w:rsidRDefault="008D6C73" w:rsidP="008D6C73">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t xml:space="preserve">Fig. </w:t>
      </w:r>
      <w:r w:rsidR="00BC5327" w:rsidRPr="00BC5327">
        <w:rPr>
          <w:rFonts w:asciiTheme="majorHAnsi" w:hAnsiTheme="majorHAnsi" w:cs="CenturyGothic"/>
          <w:b/>
          <w:bCs/>
          <w:color w:val="000000"/>
        </w:rPr>
        <w:t>2.1</w:t>
      </w:r>
      <w:r w:rsidRPr="00BC5327">
        <w:rPr>
          <w:rFonts w:asciiTheme="majorHAnsi" w:hAnsiTheme="majorHAnsi" w:cs="CenturyGothic"/>
          <w:b/>
          <w:bCs/>
          <w:color w:val="000000"/>
        </w:rPr>
        <w:t xml:space="preserve"> – Aziende attualmente assicurate e non assicurate</w:t>
      </w:r>
    </w:p>
    <w:p w14:paraId="2B309421" w14:textId="4C19F037" w:rsidR="008D6C73" w:rsidRDefault="008D6C73" w:rsidP="008D6C73">
      <w:pPr>
        <w:pStyle w:val="Default"/>
        <w:spacing w:line="480" w:lineRule="auto"/>
        <w:jc w:val="center"/>
        <w:rPr>
          <w:rFonts w:asciiTheme="majorHAnsi" w:hAnsiTheme="majorHAnsi" w:cs="CenturyGothic"/>
          <w:sz w:val="22"/>
          <w:szCs w:val="22"/>
        </w:rPr>
      </w:pPr>
      <w:r w:rsidRPr="00323DE2">
        <w:rPr>
          <w:rFonts w:asciiTheme="majorHAnsi" w:hAnsiTheme="majorHAnsi"/>
          <w:noProof/>
          <w:sz w:val="22"/>
          <w:szCs w:val="22"/>
          <w:lang w:eastAsia="it-IT"/>
        </w:rPr>
        <w:drawing>
          <wp:inline distT="0" distB="0" distL="0" distR="0" wp14:anchorId="6C086243" wp14:editId="18AE8706">
            <wp:extent cx="5612130" cy="2255520"/>
            <wp:effectExtent l="0" t="0" r="0" b="0"/>
            <wp:docPr id="4" name="Gra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A213D55" w14:textId="77777777" w:rsidR="00803B21" w:rsidRPr="00323DE2" w:rsidRDefault="00803B21" w:rsidP="008D6C73">
      <w:pPr>
        <w:pStyle w:val="Default"/>
        <w:spacing w:line="480" w:lineRule="auto"/>
        <w:jc w:val="center"/>
        <w:rPr>
          <w:rFonts w:asciiTheme="majorHAnsi" w:hAnsiTheme="majorHAnsi" w:cs="CenturyGothic"/>
          <w:sz w:val="22"/>
          <w:szCs w:val="22"/>
        </w:rPr>
      </w:pPr>
    </w:p>
    <w:p w14:paraId="01AF7130" w14:textId="3647B1D5" w:rsidR="008D6C73" w:rsidRPr="00BC5327" w:rsidRDefault="008D6C73" w:rsidP="008D6C73">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lastRenderedPageBreak/>
        <w:t xml:space="preserve">Tab. </w:t>
      </w:r>
      <w:r w:rsidR="00BC5327">
        <w:rPr>
          <w:rFonts w:asciiTheme="majorHAnsi" w:hAnsiTheme="majorHAnsi" w:cs="CenturyGothic"/>
          <w:b/>
          <w:bCs/>
          <w:color w:val="000000"/>
        </w:rPr>
        <w:t>2.</w:t>
      </w:r>
      <w:r w:rsidRPr="00BC5327">
        <w:rPr>
          <w:rFonts w:asciiTheme="majorHAnsi" w:hAnsiTheme="majorHAnsi" w:cs="CenturyGothic"/>
          <w:b/>
          <w:bCs/>
          <w:color w:val="000000"/>
        </w:rPr>
        <w:t>3 – Aziende non assicurate per regione</w:t>
      </w:r>
    </w:p>
    <w:tbl>
      <w:tblPr>
        <w:tblW w:w="5000" w:type="pct"/>
        <w:tblCellMar>
          <w:left w:w="0" w:type="dxa"/>
          <w:right w:w="0" w:type="dxa"/>
        </w:tblCellMar>
        <w:tblLook w:val="04A0" w:firstRow="1" w:lastRow="0" w:firstColumn="1" w:lastColumn="0" w:noHBand="0" w:noVBand="1"/>
      </w:tblPr>
      <w:tblGrid>
        <w:gridCol w:w="6223"/>
        <w:gridCol w:w="3395"/>
      </w:tblGrid>
      <w:tr w:rsidR="008D6C73" w:rsidRPr="00323DE2" w14:paraId="3DC89ED0" w14:textId="77777777" w:rsidTr="001C3944">
        <w:trPr>
          <w:trHeight w:val="170"/>
        </w:trPr>
        <w:tc>
          <w:tcPr>
            <w:tcW w:w="3235" w:type="pct"/>
            <w:tcBorders>
              <w:top w:val="single" w:sz="8" w:space="0" w:color="FF9933"/>
              <w:left w:val="single" w:sz="8" w:space="0" w:color="FF9933"/>
              <w:bottom w:val="single" w:sz="8" w:space="0" w:color="FF9933"/>
              <w:right w:val="single" w:sz="8" w:space="0" w:color="FF9933"/>
            </w:tcBorders>
            <w:shd w:val="clear" w:color="000000" w:fill="FF9933"/>
            <w:noWrap/>
            <w:tcMar>
              <w:top w:w="15" w:type="dxa"/>
              <w:left w:w="15" w:type="dxa"/>
              <w:bottom w:w="0" w:type="dxa"/>
              <w:right w:w="15" w:type="dxa"/>
            </w:tcMar>
            <w:vAlign w:val="center"/>
            <w:hideMark/>
          </w:tcPr>
          <w:p w14:paraId="4295DE95" w14:textId="77777777" w:rsidR="008D6C73" w:rsidRPr="00323DE2" w:rsidRDefault="008D6C73" w:rsidP="001C3944">
            <w:pPr>
              <w:spacing w:after="0"/>
              <w:rPr>
                <w:rFonts w:asciiTheme="majorHAnsi" w:hAnsiTheme="majorHAnsi" w:cs="Calibri"/>
                <w:b/>
                <w:bCs/>
                <w:color w:val="000000"/>
                <w:sz w:val="20"/>
              </w:rPr>
            </w:pPr>
            <w:r w:rsidRPr="00323DE2">
              <w:rPr>
                <w:rFonts w:asciiTheme="majorHAnsi" w:hAnsiTheme="majorHAnsi" w:cs="Calibri"/>
                <w:b/>
                <w:bCs/>
                <w:color w:val="000000"/>
                <w:sz w:val="20"/>
              </w:rPr>
              <w:t>Regioni</w:t>
            </w:r>
          </w:p>
        </w:tc>
        <w:tc>
          <w:tcPr>
            <w:tcW w:w="1765" w:type="pct"/>
            <w:tcBorders>
              <w:top w:val="single" w:sz="8" w:space="0" w:color="FF9933"/>
              <w:left w:val="nil"/>
              <w:bottom w:val="single" w:sz="8" w:space="0" w:color="FF9933"/>
              <w:right w:val="single" w:sz="8" w:space="0" w:color="FF9933"/>
            </w:tcBorders>
            <w:shd w:val="clear" w:color="000000" w:fill="FF9933"/>
            <w:noWrap/>
            <w:tcMar>
              <w:top w:w="15" w:type="dxa"/>
              <w:left w:w="15" w:type="dxa"/>
              <w:bottom w:w="0" w:type="dxa"/>
              <w:right w:w="15" w:type="dxa"/>
            </w:tcMar>
            <w:vAlign w:val="center"/>
            <w:hideMark/>
          </w:tcPr>
          <w:p w14:paraId="0A88D10D" w14:textId="77777777" w:rsidR="008D6C73" w:rsidRPr="00323DE2" w:rsidRDefault="008D6C73" w:rsidP="001C3944">
            <w:pPr>
              <w:spacing w:after="0"/>
              <w:jc w:val="center"/>
              <w:rPr>
                <w:rFonts w:asciiTheme="majorHAnsi" w:hAnsiTheme="majorHAnsi" w:cs="Calibri"/>
                <w:b/>
                <w:bCs/>
                <w:color w:val="000000"/>
                <w:sz w:val="20"/>
              </w:rPr>
            </w:pPr>
            <w:r w:rsidRPr="00323DE2">
              <w:rPr>
                <w:rFonts w:asciiTheme="majorHAnsi" w:hAnsiTheme="majorHAnsi" w:cs="Calibri"/>
                <w:b/>
                <w:bCs/>
                <w:color w:val="000000"/>
                <w:sz w:val="20"/>
              </w:rPr>
              <w:t>%</w:t>
            </w:r>
          </w:p>
        </w:tc>
      </w:tr>
      <w:tr w:rsidR="008D6C73" w:rsidRPr="00323DE2" w14:paraId="74558306"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54816927"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Sardegna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03ABE3F9"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22,2%</w:t>
            </w:r>
          </w:p>
        </w:tc>
      </w:tr>
      <w:tr w:rsidR="008D6C73" w:rsidRPr="00323DE2" w14:paraId="4F17EFE8"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0F906688"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Abruzzo</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31BA31DE"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11,1%</w:t>
            </w:r>
          </w:p>
        </w:tc>
      </w:tr>
      <w:tr w:rsidR="008D6C73" w:rsidRPr="00323DE2" w14:paraId="483BF901"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645B8473"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Sicilia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25F52292"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11,1%</w:t>
            </w:r>
          </w:p>
        </w:tc>
      </w:tr>
      <w:tr w:rsidR="008D6C73" w:rsidRPr="00323DE2" w14:paraId="2637E091"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3FCC7D85"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Toscana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22F82F36"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11,1%</w:t>
            </w:r>
          </w:p>
        </w:tc>
      </w:tr>
      <w:tr w:rsidR="008D6C73" w:rsidRPr="00323DE2" w14:paraId="5565A8C2"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48AEEC1F"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Veneto</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79A54C1B"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11,1%</w:t>
            </w:r>
          </w:p>
        </w:tc>
      </w:tr>
      <w:tr w:rsidR="008D6C73" w:rsidRPr="00323DE2" w14:paraId="1A266794"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38080B8B"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Basilicata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27AFB102"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5,6%</w:t>
            </w:r>
          </w:p>
        </w:tc>
      </w:tr>
      <w:tr w:rsidR="008D6C73" w:rsidRPr="00323DE2" w14:paraId="6007A4FD"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4E60680A"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Calabria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63842837"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5,6%</w:t>
            </w:r>
          </w:p>
        </w:tc>
      </w:tr>
      <w:tr w:rsidR="008D6C73" w:rsidRPr="00323DE2" w14:paraId="20D708B2"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2051640A"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Campania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6D779D36"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5,6%</w:t>
            </w:r>
          </w:p>
        </w:tc>
      </w:tr>
      <w:tr w:rsidR="008D6C73" w:rsidRPr="00323DE2" w14:paraId="3964784D"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747553AD"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Lazio</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54180AD5"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5,6%</w:t>
            </w:r>
          </w:p>
        </w:tc>
      </w:tr>
      <w:tr w:rsidR="008D6C73" w:rsidRPr="00323DE2" w14:paraId="08E66DEE"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5E680387"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Lombardia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575C3EEA"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5,6%</w:t>
            </w:r>
          </w:p>
        </w:tc>
      </w:tr>
      <w:tr w:rsidR="008D6C73" w:rsidRPr="00323DE2" w14:paraId="3911BFEE" w14:textId="77777777" w:rsidTr="001C3944">
        <w:trPr>
          <w:trHeight w:val="170"/>
        </w:trPr>
        <w:tc>
          <w:tcPr>
            <w:tcW w:w="3235" w:type="pct"/>
            <w:tcBorders>
              <w:top w:val="nil"/>
              <w:left w:val="single" w:sz="8" w:space="0" w:color="FF9933"/>
              <w:bottom w:val="single" w:sz="4" w:space="0" w:color="FF9933"/>
              <w:right w:val="nil"/>
            </w:tcBorders>
            <w:shd w:val="clear" w:color="auto" w:fill="auto"/>
            <w:tcMar>
              <w:top w:w="15" w:type="dxa"/>
              <w:left w:w="15" w:type="dxa"/>
              <w:bottom w:w="0" w:type="dxa"/>
              <w:right w:w="15" w:type="dxa"/>
            </w:tcMar>
            <w:vAlign w:val="center"/>
            <w:hideMark/>
          </w:tcPr>
          <w:p w14:paraId="0B13EB8D" w14:textId="77777777" w:rsidR="008D6C73" w:rsidRPr="00323DE2" w:rsidRDefault="008D6C73" w:rsidP="001C3944">
            <w:pPr>
              <w:spacing w:after="0"/>
              <w:rPr>
                <w:rFonts w:asciiTheme="majorHAnsi" w:hAnsiTheme="majorHAnsi" w:cs="Calibri"/>
                <w:color w:val="000000"/>
                <w:sz w:val="20"/>
              </w:rPr>
            </w:pPr>
            <w:r w:rsidRPr="00323DE2">
              <w:rPr>
                <w:rFonts w:asciiTheme="majorHAnsi" w:hAnsiTheme="majorHAnsi" w:cs="Calibri"/>
                <w:color w:val="000000"/>
                <w:sz w:val="20"/>
              </w:rPr>
              <w:t>Puglia</w:t>
            </w:r>
          </w:p>
        </w:tc>
        <w:tc>
          <w:tcPr>
            <w:tcW w:w="1765" w:type="pct"/>
            <w:tcBorders>
              <w:top w:val="nil"/>
              <w:left w:val="nil"/>
              <w:bottom w:val="single" w:sz="4" w:space="0" w:color="FF9933"/>
              <w:right w:val="single" w:sz="8" w:space="0" w:color="FF9933"/>
            </w:tcBorders>
            <w:shd w:val="clear" w:color="auto" w:fill="auto"/>
            <w:noWrap/>
            <w:tcMar>
              <w:top w:w="15" w:type="dxa"/>
              <w:left w:w="15" w:type="dxa"/>
              <w:bottom w:w="0" w:type="dxa"/>
              <w:right w:w="15" w:type="dxa"/>
            </w:tcMar>
            <w:vAlign w:val="center"/>
            <w:hideMark/>
          </w:tcPr>
          <w:p w14:paraId="16403A85" w14:textId="77777777" w:rsidR="008D6C73" w:rsidRPr="00323DE2" w:rsidRDefault="008D6C73" w:rsidP="001C3944">
            <w:pPr>
              <w:spacing w:after="0"/>
              <w:jc w:val="right"/>
              <w:rPr>
                <w:rFonts w:asciiTheme="majorHAnsi" w:hAnsiTheme="majorHAnsi" w:cs="Calibri"/>
                <w:color w:val="000000"/>
                <w:sz w:val="20"/>
              </w:rPr>
            </w:pPr>
            <w:r w:rsidRPr="00323DE2">
              <w:rPr>
                <w:rFonts w:asciiTheme="majorHAnsi" w:hAnsiTheme="majorHAnsi" w:cs="Calibri"/>
                <w:color w:val="000000"/>
                <w:sz w:val="20"/>
              </w:rPr>
              <w:t>5,6%</w:t>
            </w:r>
          </w:p>
        </w:tc>
      </w:tr>
      <w:tr w:rsidR="008D6C73" w:rsidRPr="00323DE2" w14:paraId="1298177E" w14:textId="77777777" w:rsidTr="001C3944">
        <w:trPr>
          <w:trHeight w:val="170"/>
        </w:trPr>
        <w:tc>
          <w:tcPr>
            <w:tcW w:w="3235" w:type="pct"/>
            <w:tcBorders>
              <w:top w:val="nil"/>
              <w:left w:val="single" w:sz="8" w:space="0" w:color="FF9933"/>
              <w:bottom w:val="single" w:sz="8" w:space="0" w:color="FF9933"/>
              <w:right w:val="nil"/>
            </w:tcBorders>
            <w:shd w:val="clear" w:color="auto" w:fill="auto"/>
            <w:tcMar>
              <w:top w:w="15" w:type="dxa"/>
              <w:left w:w="15" w:type="dxa"/>
              <w:bottom w:w="0" w:type="dxa"/>
              <w:right w:w="15" w:type="dxa"/>
            </w:tcMar>
            <w:vAlign w:val="center"/>
            <w:hideMark/>
          </w:tcPr>
          <w:p w14:paraId="78FCEF77" w14:textId="77777777" w:rsidR="008D6C73" w:rsidRPr="00323DE2" w:rsidRDefault="008D6C73" w:rsidP="001C3944">
            <w:pPr>
              <w:spacing w:after="0"/>
              <w:rPr>
                <w:rFonts w:asciiTheme="majorHAnsi" w:hAnsiTheme="majorHAnsi" w:cs="Calibri"/>
                <w:b/>
                <w:bCs/>
                <w:color w:val="000000"/>
                <w:sz w:val="20"/>
              </w:rPr>
            </w:pPr>
            <w:r w:rsidRPr="00323DE2">
              <w:rPr>
                <w:rFonts w:asciiTheme="majorHAnsi" w:hAnsiTheme="majorHAnsi" w:cs="Calibri"/>
                <w:b/>
                <w:bCs/>
                <w:color w:val="000000"/>
                <w:sz w:val="20"/>
              </w:rPr>
              <w:t>Totale</w:t>
            </w:r>
          </w:p>
        </w:tc>
        <w:tc>
          <w:tcPr>
            <w:tcW w:w="1765" w:type="pct"/>
            <w:tcBorders>
              <w:top w:val="nil"/>
              <w:left w:val="nil"/>
              <w:bottom w:val="single" w:sz="8" w:space="0" w:color="FF9933"/>
              <w:right w:val="single" w:sz="8" w:space="0" w:color="FF9933"/>
            </w:tcBorders>
            <w:shd w:val="clear" w:color="auto" w:fill="auto"/>
            <w:noWrap/>
            <w:tcMar>
              <w:top w:w="15" w:type="dxa"/>
              <w:left w:w="15" w:type="dxa"/>
              <w:bottom w:w="0" w:type="dxa"/>
              <w:right w:w="15" w:type="dxa"/>
            </w:tcMar>
            <w:vAlign w:val="center"/>
            <w:hideMark/>
          </w:tcPr>
          <w:p w14:paraId="1A7B988D" w14:textId="77777777" w:rsidR="008D6C73" w:rsidRPr="00323DE2" w:rsidRDefault="008D6C73" w:rsidP="001C3944">
            <w:pPr>
              <w:spacing w:after="0"/>
              <w:jc w:val="right"/>
              <w:rPr>
                <w:rFonts w:asciiTheme="majorHAnsi" w:hAnsiTheme="majorHAnsi" w:cs="Calibri"/>
                <w:b/>
                <w:bCs/>
                <w:color w:val="000000"/>
                <w:sz w:val="20"/>
              </w:rPr>
            </w:pPr>
            <w:r w:rsidRPr="00323DE2">
              <w:rPr>
                <w:rFonts w:asciiTheme="majorHAnsi" w:hAnsiTheme="majorHAnsi" w:cs="Calibri"/>
                <w:b/>
                <w:bCs/>
                <w:color w:val="000000"/>
                <w:sz w:val="20"/>
              </w:rPr>
              <w:t>100,0%</w:t>
            </w:r>
          </w:p>
        </w:tc>
      </w:tr>
    </w:tbl>
    <w:p w14:paraId="663E075A" w14:textId="74ACF217" w:rsidR="00BC5327" w:rsidRDefault="00BC5327" w:rsidP="008D6C73">
      <w:pPr>
        <w:spacing w:before="240" w:line="360" w:lineRule="auto"/>
        <w:rPr>
          <w:rFonts w:asciiTheme="majorHAnsi" w:hAnsiTheme="majorHAnsi" w:cs="CenturyGothic"/>
          <w:b/>
          <w:bCs/>
          <w:color w:val="000000"/>
        </w:rPr>
      </w:pPr>
    </w:p>
    <w:p w14:paraId="29D059DD" w14:textId="77777777" w:rsidR="00BC5327" w:rsidRDefault="00BC5327" w:rsidP="008D6C73">
      <w:pPr>
        <w:spacing w:before="240" w:line="360" w:lineRule="auto"/>
        <w:rPr>
          <w:rFonts w:asciiTheme="majorHAnsi" w:hAnsiTheme="majorHAnsi" w:cs="CenturyGothic"/>
          <w:b/>
          <w:bCs/>
          <w:color w:val="000000"/>
        </w:rPr>
      </w:pPr>
    </w:p>
    <w:p w14:paraId="6FC9EE13" w14:textId="378E396E" w:rsidR="008D6C73" w:rsidRPr="00BC5327" w:rsidRDefault="008D6C73" w:rsidP="008D6C73">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t xml:space="preserve">Tab. </w:t>
      </w:r>
      <w:r w:rsidR="00BC5327" w:rsidRPr="00BC5327">
        <w:rPr>
          <w:rFonts w:asciiTheme="majorHAnsi" w:hAnsiTheme="majorHAnsi" w:cs="CenturyGothic"/>
          <w:b/>
          <w:bCs/>
          <w:color w:val="000000"/>
        </w:rPr>
        <w:t>2.4</w:t>
      </w:r>
      <w:r w:rsidRPr="00BC5327">
        <w:rPr>
          <w:rFonts w:asciiTheme="majorHAnsi" w:hAnsiTheme="majorHAnsi" w:cs="CenturyGothic"/>
          <w:b/>
          <w:bCs/>
          <w:color w:val="000000"/>
        </w:rPr>
        <w:t xml:space="preserve"> – Aziende non assicurate per comparti</w:t>
      </w:r>
    </w:p>
    <w:tbl>
      <w:tblPr>
        <w:tblW w:w="5000" w:type="pct"/>
        <w:tblCellMar>
          <w:left w:w="70" w:type="dxa"/>
          <w:right w:w="70" w:type="dxa"/>
        </w:tblCellMar>
        <w:tblLook w:val="04A0" w:firstRow="1" w:lastRow="0" w:firstColumn="1" w:lastColumn="0" w:noHBand="0" w:noVBand="1"/>
      </w:tblPr>
      <w:tblGrid>
        <w:gridCol w:w="6223"/>
        <w:gridCol w:w="3395"/>
      </w:tblGrid>
      <w:tr w:rsidR="008D6C73" w:rsidRPr="00323DE2" w14:paraId="6DEEB6D7" w14:textId="77777777" w:rsidTr="001C3944">
        <w:trPr>
          <w:trHeight w:val="20"/>
        </w:trPr>
        <w:tc>
          <w:tcPr>
            <w:tcW w:w="3235" w:type="pct"/>
            <w:tcBorders>
              <w:top w:val="single" w:sz="8" w:space="0" w:color="FF9933"/>
              <w:left w:val="single" w:sz="8" w:space="0" w:color="FF9933"/>
              <w:bottom w:val="single" w:sz="8" w:space="0" w:color="FF9933"/>
              <w:right w:val="single" w:sz="8" w:space="0" w:color="FF9933"/>
            </w:tcBorders>
            <w:shd w:val="clear" w:color="000000" w:fill="FF9933"/>
            <w:noWrap/>
            <w:vAlign w:val="center"/>
            <w:hideMark/>
          </w:tcPr>
          <w:p w14:paraId="30BF3CAC" w14:textId="77777777" w:rsidR="008D6C73" w:rsidRPr="00323DE2" w:rsidRDefault="008D6C73" w:rsidP="001C3944">
            <w:pPr>
              <w:spacing w:after="0"/>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Comparti</w:t>
            </w:r>
          </w:p>
        </w:tc>
        <w:tc>
          <w:tcPr>
            <w:tcW w:w="1765" w:type="pct"/>
            <w:tcBorders>
              <w:top w:val="single" w:sz="8" w:space="0" w:color="FF9933"/>
              <w:left w:val="nil"/>
              <w:bottom w:val="single" w:sz="8" w:space="0" w:color="FF9933"/>
              <w:right w:val="single" w:sz="8" w:space="0" w:color="FF9933"/>
            </w:tcBorders>
            <w:shd w:val="clear" w:color="000000" w:fill="FF9933"/>
            <w:noWrap/>
            <w:vAlign w:val="center"/>
            <w:hideMark/>
          </w:tcPr>
          <w:p w14:paraId="3387705F" w14:textId="77777777" w:rsidR="008D6C73" w:rsidRPr="00323DE2" w:rsidRDefault="008D6C73" w:rsidP="001C3944">
            <w:pPr>
              <w:spacing w:after="0"/>
              <w:jc w:val="center"/>
              <w:rPr>
                <w:rFonts w:asciiTheme="majorHAnsi" w:eastAsia="Times New Roman" w:hAnsiTheme="majorHAnsi" w:cs="Calibri"/>
                <w:b/>
                <w:bCs/>
                <w:color w:val="000000"/>
                <w:sz w:val="20"/>
                <w:lang w:eastAsia="it-IT"/>
              </w:rPr>
            </w:pPr>
            <w:r w:rsidRPr="00323DE2">
              <w:rPr>
                <w:rFonts w:asciiTheme="majorHAnsi" w:eastAsia="Times New Roman" w:hAnsiTheme="majorHAnsi" w:cs="Calibri"/>
                <w:b/>
                <w:bCs/>
                <w:color w:val="000000"/>
                <w:sz w:val="20"/>
                <w:lang w:eastAsia="it-IT"/>
              </w:rPr>
              <w:t>%</w:t>
            </w:r>
          </w:p>
        </w:tc>
      </w:tr>
      <w:tr w:rsidR="008D6C73" w:rsidRPr="00323DE2" w14:paraId="10497156" w14:textId="77777777" w:rsidTr="001C3944">
        <w:trPr>
          <w:trHeight w:val="20"/>
        </w:trPr>
        <w:tc>
          <w:tcPr>
            <w:tcW w:w="3235" w:type="pct"/>
            <w:tcBorders>
              <w:top w:val="nil"/>
              <w:left w:val="single" w:sz="8" w:space="0" w:color="FF9933"/>
              <w:bottom w:val="single" w:sz="4" w:space="0" w:color="FF9933"/>
              <w:right w:val="nil"/>
            </w:tcBorders>
            <w:shd w:val="clear" w:color="auto" w:fill="auto"/>
            <w:vAlign w:val="center"/>
            <w:hideMark/>
          </w:tcPr>
          <w:p w14:paraId="79E93722"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Cereali</w:t>
            </w:r>
          </w:p>
        </w:tc>
        <w:tc>
          <w:tcPr>
            <w:tcW w:w="1765" w:type="pct"/>
            <w:tcBorders>
              <w:top w:val="nil"/>
              <w:left w:val="nil"/>
              <w:bottom w:val="single" w:sz="4" w:space="0" w:color="FF9933"/>
              <w:right w:val="single" w:sz="8" w:space="0" w:color="FF9933"/>
            </w:tcBorders>
            <w:shd w:val="clear" w:color="auto" w:fill="auto"/>
            <w:noWrap/>
            <w:vAlign w:val="center"/>
            <w:hideMark/>
          </w:tcPr>
          <w:p w14:paraId="02F51C40"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11,1%</w:t>
            </w:r>
          </w:p>
        </w:tc>
      </w:tr>
      <w:tr w:rsidR="008D6C73" w:rsidRPr="00323DE2" w14:paraId="35A7C6EF" w14:textId="77777777" w:rsidTr="001C3944">
        <w:trPr>
          <w:trHeight w:val="20"/>
        </w:trPr>
        <w:tc>
          <w:tcPr>
            <w:tcW w:w="3235" w:type="pct"/>
            <w:tcBorders>
              <w:top w:val="nil"/>
              <w:left w:val="single" w:sz="8" w:space="0" w:color="FF9933"/>
              <w:bottom w:val="single" w:sz="4" w:space="0" w:color="FF9933"/>
              <w:right w:val="nil"/>
            </w:tcBorders>
            <w:shd w:val="clear" w:color="auto" w:fill="auto"/>
            <w:vAlign w:val="center"/>
            <w:hideMark/>
          </w:tcPr>
          <w:p w14:paraId="6C8D988E"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Foraggere</w:t>
            </w:r>
          </w:p>
        </w:tc>
        <w:tc>
          <w:tcPr>
            <w:tcW w:w="1765" w:type="pct"/>
            <w:tcBorders>
              <w:top w:val="nil"/>
              <w:left w:val="nil"/>
              <w:bottom w:val="single" w:sz="4" w:space="0" w:color="FF9933"/>
              <w:right w:val="single" w:sz="8" w:space="0" w:color="FF9933"/>
            </w:tcBorders>
            <w:shd w:val="clear" w:color="auto" w:fill="auto"/>
            <w:noWrap/>
            <w:vAlign w:val="center"/>
            <w:hideMark/>
          </w:tcPr>
          <w:p w14:paraId="0F2265CB"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5,6%</w:t>
            </w:r>
          </w:p>
        </w:tc>
      </w:tr>
      <w:tr w:rsidR="008D6C73" w:rsidRPr="00323DE2" w14:paraId="2F24FB93" w14:textId="77777777" w:rsidTr="001C3944">
        <w:trPr>
          <w:trHeight w:val="20"/>
        </w:trPr>
        <w:tc>
          <w:tcPr>
            <w:tcW w:w="3235" w:type="pct"/>
            <w:tcBorders>
              <w:top w:val="nil"/>
              <w:left w:val="single" w:sz="8" w:space="0" w:color="FF9933"/>
              <w:bottom w:val="single" w:sz="4" w:space="0" w:color="FF9933"/>
              <w:right w:val="nil"/>
            </w:tcBorders>
            <w:shd w:val="clear" w:color="auto" w:fill="auto"/>
            <w:vAlign w:val="center"/>
            <w:hideMark/>
          </w:tcPr>
          <w:p w14:paraId="00877C6B"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Frutta fresca</w:t>
            </w:r>
          </w:p>
        </w:tc>
        <w:tc>
          <w:tcPr>
            <w:tcW w:w="1765" w:type="pct"/>
            <w:tcBorders>
              <w:top w:val="nil"/>
              <w:left w:val="nil"/>
              <w:bottom w:val="single" w:sz="4" w:space="0" w:color="FF9933"/>
              <w:right w:val="single" w:sz="8" w:space="0" w:color="FF9933"/>
            </w:tcBorders>
            <w:shd w:val="clear" w:color="auto" w:fill="auto"/>
            <w:noWrap/>
            <w:vAlign w:val="center"/>
            <w:hideMark/>
          </w:tcPr>
          <w:p w14:paraId="68BCD42F"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22,2%</w:t>
            </w:r>
          </w:p>
        </w:tc>
      </w:tr>
      <w:tr w:rsidR="008D6C73" w:rsidRPr="00323DE2" w14:paraId="2609E3EF" w14:textId="77777777" w:rsidTr="001C3944">
        <w:trPr>
          <w:trHeight w:val="20"/>
        </w:trPr>
        <w:tc>
          <w:tcPr>
            <w:tcW w:w="3235" w:type="pct"/>
            <w:tcBorders>
              <w:top w:val="nil"/>
              <w:left w:val="single" w:sz="8" w:space="0" w:color="FF9933"/>
              <w:bottom w:val="single" w:sz="4" w:space="0" w:color="FF9933"/>
              <w:right w:val="nil"/>
            </w:tcBorders>
            <w:shd w:val="clear" w:color="auto" w:fill="auto"/>
            <w:vAlign w:val="center"/>
            <w:hideMark/>
          </w:tcPr>
          <w:p w14:paraId="38D3F5F1"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Olivicolo</w:t>
            </w:r>
          </w:p>
        </w:tc>
        <w:tc>
          <w:tcPr>
            <w:tcW w:w="1765" w:type="pct"/>
            <w:tcBorders>
              <w:top w:val="nil"/>
              <w:left w:val="nil"/>
              <w:bottom w:val="single" w:sz="4" w:space="0" w:color="FF9933"/>
              <w:right w:val="single" w:sz="8" w:space="0" w:color="FF9933"/>
            </w:tcBorders>
            <w:shd w:val="clear" w:color="auto" w:fill="auto"/>
            <w:noWrap/>
            <w:vAlign w:val="center"/>
            <w:hideMark/>
          </w:tcPr>
          <w:p w14:paraId="368EF997"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5,6%</w:t>
            </w:r>
          </w:p>
        </w:tc>
      </w:tr>
      <w:tr w:rsidR="008D6C73" w:rsidRPr="00323DE2" w14:paraId="398ACA3E" w14:textId="77777777" w:rsidTr="001C3944">
        <w:trPr>
          <w:trHeight w:val="20"/>
        </w:trPr>
        <w:tc>
          <w:tcPr>
            <w:tcW w:w="3235" w:type="pct"/>
            <w:tcBorders>
              <w:top w:val="nil"/>
              <w:left w:val="single" w:sz="8" w:space="0" w:color="FF9933"/>
              <w:bottom w:val="single" w:sz="4" w:space="0" w:color="FF9933"/>
              <w:right w:val="nil"/>
            </w:tcBorders>
            <w:shd w:val="clear" w:color="auto" w:fill="auto"/>
            <w:vAlign w:val="center"/>
            <w:hideMark/>
          </w:tcPr>
          <w:p w14:paraId="647A05A3"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Ortaggi</w:t>
            </w:r>
          </w:p>
        </w:tc>
        <w:tc>
          <w:tcPr>
            <w:tcW w:w="1765" w:type="pct"/>
            <w:tcBorders>
              <w:top w:val="nil"/>
              <w:left w:val="nil"/>
              <w:bottom w:val="single" w:sz="4" w:space="0" w:color="FF9933"/>
              <w:right w:val="single" w:sz="8" w:space="0" w:color="FF9933"/>
            </w:tcBorders>
            <w:shd w:val="clear" w:color="auto" w:fill="auto"/>
            <w:noWrap/>
            <w:vAlign w:val="center"/>
            <w:hideMark/>
          </w:tcPr>
          <w:p w14:paraId="383738C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50,0%</w:t>
            </w:r>
          </w:p>
        </w:tc>
      </w:tr>
      <w:tr w:rsidR="008D6C73" w:rsidRPr="00323DE2" w14:paraId="594C3861" w14:textId="77777777" w:rsidTr="001C3944">
        <w:trPr>
          <w:trHeight w:val="20"/>
        </w:trPr>
        <w:tc>
          <w:tcPr>
            <w:tcW w:w="3235" w:type="pct"/>
            <w:tcBorders>
              <w:top w:val="nil"/>
              <w:left w:val="single" w:sz="8" w:space="0" w:color="FF9933"/>
              <w:bottom w:val="single" w:sz="4" w:space="0" w:color="FF9933"/>
              <w:right w:val="nil"/>
            </w:tcBorders>
            <w:shd w:val="clear" w:color="auto" w:fill="auto"/>
            <w:vAlign w:val="center"/>
            <w:hideMark/>
          </w:tcPr>
          <w:p w14:paraId="1C7D8817" w14:textId="77777777" w:rsidR="008D6C73" w:rsidRPr="00323DE2" w:rsidRDefault="008D6C73" w:rsidP="001C3944">
            <w:pPr>
              <w:spacing w:after="0"/>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Vinicolo</w:t>
            </w:r>
          </w:p>
        </w:tc>
        <w:tc>
          <w:tcPr>
            <w:tcW w:w="1765" w:type="pct"/>
            <w:tcBorders>
              <w:top w:val="nil"/>
              <w:left w:val="nil"/>
              <w:bottom w:val="single" w:sz="4" w:space="0" w:color="FF9933"/>
              <w:right w:val="single" w:sz="8" w:space="0" w:color="FF9933"/>
            </w:tcBorders>
            <w:shd w:val="clear" w:color="auto" w:fill="auto"/>
            <w:noWrap/>
            <w:vAlign w:val="center"/>
            <w:hideMark/>
          </w:tcPr>
          <w:p w14:paraId="16DA8C7C" w14:textId="77777777" w:rsidR="008D6C73" w:rsidRPr="00323DE2" w:rsidRDefault="008D6C73" w:rsidP="001C3944">
            <w:pPr>
              <w:spacing w:after="0"/>
              <w:jc w:val="right"/>
              <w:rPr>
                <w:rFonts w:asciiTheme="majorHAnsi" w:eastAsia="Times New Roman" w:hAnsiTheme="majorHAnsi" w:cs="Calibri"/>
                <w:color w:val="000000"/>
                <w:sz w:val="20"/>
                <w:lang w:eastAsia="it-IT"/>
              </w:rPr>
            </w:pPr>
            <w:r w:rsidRPr="00323DE2">
              <w:rPr>
                <w:rFonts w:asciiTheme="majorHAnsi" w:eastAsia="Times New Roman" w:hAnsiTheme="majorHAnsi" w:cs="Calibri"/>
                <w:color w:val="000000"/>
                <w:sz w:val="20"/>
                <w:lang w:eastAsia="it-IT"/>
              </w:rPr>
              <w:t>5,6%</w:t>
            </w:r>
          </w:p>
        </w:tc>
      </w:tr>
      <w:tr w:rsidR="008D6C73" w:rsidRPr="00323DE2" w14:paraId="5DA3A7F3" w14:textId="77777777" w:rsidTr="001C3944">
        <w:trPr>
          <w:trHeight w:val="20"/>
        </w:trPr>
        <w:tc>
          <w:tcPr>
            <w:tcW w:w="3235" w:type="pct"/>
            <w:tcBorders>
              <w:top w:val="nil"/>
              <w:left w:val="single" w:sz="8" w:space="0" w:color="FF9933"/>
              <w:bottom w:val="single" w:sz="8" w:space="0" w:color="FF9933"/>
              <w:right w:val="nil"/>
            </w:tcBorders>
            <w:shd w:val="clear" w:color="auto" w:fill="auto"/>
            <w:vAlign w:val="center"/>
            <w:hideMark/>
          </w:tcPr>
          <w:p w14:paraId="5C1BB814" w14:textId="77777777" w:rsidR="008D6C73" w:rsidRPr="00323DE2" w:rsidRDefault="008D6C73" w:rsidP="001C3944">
            <w:pPr>
              <w:spacing w:after="0"/>
              <w:rPr>
                <w:rFonts w:asciiTheme="majorHAnsi" w:eastAsia="Times New Roman" w:hAnsiTheme="majorHAnsi" w:cs="Calibri"/>
                <w:b/>
                <w:color w:val="000000"/>
                <w:sz w:val="20"/>
                <w:lang w:eastAsia="it-IT"/>
              </w:rPr>
            </w:pPr>
            <w:r w:rsidRPr="00323DE2">
              <w:rPr>
                <w:rFonts w:asciiTheme="majorHAnsi" w:eastAsia="Times New Roman" w:hAnsiTheme="majorHAnsi" w:cs="Calibri"/>
                <w:b/>
                <w:color w:val="000000"/>
                <w:sz w:val="20"/>
                <w:lang w:eastAsia="it-IT"/>
              </w:rPr>
              <w:t>Totale</w:t>
            </w:r>
          </w:p>
        </w:tc>
        <w:tc>
          <w:tcPr>
            <w:tcW w:w="1765" w:type="pct"/>
            <w:tcBorders>
              <w:top w:val="nil"/>
              <w:left w:val="nil"/>
              <w:bottom w:val="single" w:sz="8" w:space="0" w:color="FF9933"/>
              <w:right w:val="single" w:sz="8" w:space="0" w:color="FF9933"/>
            </w:tcBorders>
            <w:shd w:val="clear" w:color="auto" w:fill="auto"/>
            <w:noWrap/>
            <w:vAlign w:val="center"/>
            <w:hideMark/>
          </w:tcPr>
          <w:p w14:paraId="2E71C51D" w14:textId="77777777" w:rsidR="008D6C73" w:rsidRPr="00323DE2" w:rsidRDefault="008D6C73" w:rsidP="001C3944">
            <w:pPr>
              <w:spacing w:after="0"/>
              <w:jc w:val="right"/>
              <w:rPr>
                <w:rFonts w:asciiTheme="majorHAnsi" w:eastAsia="Times New Roman" w:hAnsiTheme="majorHAnsi" w:cs="Calibri"/>
                <w:b/>
                <w:color w:val="000000"/>
                <w:sz w:val="20"/>
                <w:lang w:eastAsia="it-IT"/>
              </w:rPr>
            </w:pPr>
            <w:r w:rsidRPr="00323DE2">
              <w:rPr>
                <w:rFonts w:asciiTheme="majorHAnsi" w:eastAsia="Times New Roman" w:hAnsiTheme="majorHAnsi" w:cs="Calibri"/>
                <w:b/>
                <w:color w:val="000000"/>
                <w:sz w:val="20"/>
                <w:lang w:eastAsia="it-IT"/>
              </w:rPr>
              <w:t>100%</w:t>
            </w:r>
          </w:p>
        </w:tc>
      </w:tr>
    </w:tbl>
    <w:p w14:paraId="4F764D43" w14:textId="087EF190" w:rsidR="008D6C73" w:rsidRDefault="008D6C73" w:rsidP="008D6C73"/>
    <w:p w14:paraId="7CBDE467" w14:textId="77777777" w:rsidR="008D6C73" w:rsidRPr="00CD2E02" w:rsidRDefault="008D6C73" w:rsidP="00CD2E02"/>
    <w:p w14:paraId="36159FED" w14:textId="4F736F14" w:rsidR="0062554B" w:rsidRPr="002833CD" w:rsidRDefault="002833CD" w:rsidP="002833CD">
      <w:pPr>
        <w:pStyle w:val="Titolo2"/>
        <w:rPr>
          <w:color w:val="4BACC6" w:themeColor="accent5"/>
        </w:rPr>
      </w:pPr>
      <w:bookmarkStart w:id="5" w:name="_Toc56584457"/>
      <w:r>
        <w:rPr>
          <w:color w:val="4BACC6" w:themeColor="accent5"/>
        </w:rPr>
        <w:t>2.2 R</w:t>
      </w:r>
      <w:r w:rsidR="0062554B" w:rsidRPr="002833CD">
        <w:rPr>
          <w:color w:val="4BACC6" w:themeColor="accent5"/>
        </w:rPr>
        <w:t>ischi economici (prezzo, produzione e volatilità del reddito)</w:t>
      </w:r>
      <w:bookmarkEnd w:id="5"/>
    </w:p>
    <w:p w14:paraId="05FBA4BA" w14:textId="3410F951" w:rsidR="00AF7033" w:rsidRDefault="00AF7033" w:rsidP="00AF7033">
      <w:r w:rsidRPr="00AF7033">
        <w:t>Dalle analisi condotte emerge la sussistenza di una cultura diffusa e capillare sulla gestione del rischio tra le aziende di grandi dimensioni (in termini di fatturato). Oltre l’80% delle aziende campione dell’indagine condotta da ISMEA, ha dichiarato di adottare misure di difesa aggiuntive rispetto alla sottoscrizione di polizze assicurative. Tra le azioni di prevenzione o mitigazione dei rischi maggiormente adottate dalle aziende si annoverano l’impiego di tecniche produttive e pratiche agronomiche specifiche e la costituzione di riserve finanziarie proprie. Significativa anche la percentuale di aziende che si dota di strutture e impianti di protezione per le colture (17,2%). Al contrario, è molto contenuto il ricorso agli strumenti contro il rischio di prezzo (1,7%).</w:t>
      </w:r>
    </w:p>
    <w:p w14:paraId="59B06310" w14:textId="77777777" w:rsidR="002A1691" w:rsidRPr="00AF7033" w:rsidRDefault="002A1691" w:rsidP="002A1691">
      <w:r w:rsidRPr="00AF7033">
        <w:t xml:space="preserve">Le aziende del comparto frutta secca sembrano inoltre riservare particolare attenzione alla gestione dei rischi sul piano finanziario dal momento che, unitamente ai produttori di colture da biomassa, sono tra i principali utilizzatori di strumenti contro il rischio di prezzo.    </w:t>
      </w:r>
    </w:p>
    <w:p w14:paraId="36142587" w14:textId="77777777" w:rsidR="002A1691" w:rsidRPr="00AF7033" w:rsidRDefault="002A1691" w:rsidP="002A1691">
      <w:r w:rsidRPr="00AF7033">
        <w:t>La polizza ricavo, seppure ancora poco nota e diffusa (oltre il 60% degli intervistati ha dichiarato di non conoscerla), mostra un elevato potenziale di sviluppo, con molte aziende propense a stipulare questa tipologia di contratto assicurativo, a copertura anche del rischio prezzo, se esteso ad altre produzioni oltre al frumento. A livello settoriale emerge una più accentuata predisposizione nei comparti olivicolo, degli ortaggi e delle colture industriali.</w:t>
      </w:r>
    </w:p>
    <w:p w14:paraId="0A3977AA" w14:textId="77777777" w:rsidR="002A1691" w:rsidRPr="00AF7033" w:rsidRDefault="002A1691" w:rsidP="00AF7033"/>
    <w:p w14:paraId="5729BAE1" w14:textId="77777777" w:rsidR="00AF7033" w:rsidRDefault="00AF7033" w:rsidP="00AF7033">
      <w:pPr>
        <w:pStyle w:val="Paragrafoelenco"/>
        <w:spacing w:before="240" w:line="276" w:lineRule="auto"/>
        <w:rPr>
          <w:rFonts w:asciiTheme="majorHAnsi" w:hAnsiTheme="majorHAnsi" w:cstheme="majorHAnsi"/>
          <w:color w:val="000000"/>
        </w:rPr>
      </w:pPr>
    </w:p>
    <w:p w14:paraId="21EB24BA" w14:textId="2FFB34EE" w:rsidR="00AF7033" w:rsidRPr="00BC5327" w:rsidRDefault="00AF7033" w:rsidP="00BC5327">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lastRenderedPageBreak/>
        <w:t xml:space="preserve">Tab. </w:t>
      </w:r>
      <w:r w:rsidR="00BC5327">
        <w:rPr>
          <w:rFonts w:asciiTheme="majorHAnsi" w:hAnsiTheme="majorHAnsi" w:cs="CenturyGothic"/>
          <w:b/>
          <w:bCs/>
          <w:color w:val="000000"/>
        </w:rPr>
        <w:t>2.5</w:t>
      </w:r>
      <w:r w:rsidRPr="00BC5327">
        <w:rPr>
          <w:rFonts w:asciiTheme="majorHAnsi" w:hAnsiTheme="majorHAnsi" w:cs="CenturyGothic"/>
          <w:b/>
          <w:bCs/>
          <w:color w:val="000000"/>
        </w:rPr>
        <w:t xml:space="preserve"> – Forme di prevenzione dei rischi oltre la copertura assicurativa</w:t>
      </w:r>
    </w:p>
    <w:tbl>
      <w:tblPr>
        <w:tblW w:w="5000" w:type="pct"/>
        <w:tblCellMar>
          <w:left w:w="70" w:type="dxa"/>
          <w:right w:w="70" w:type="dxa"/>
        </w:tblCellMar>
        <w:tblLook w:val="04A0" w:firstRow="1" w:lastRow="0" w:firstColumn="1" w:lastColumn="0" w:noHBand="0" w:noVBand="1"/>
      </w:tblPr>
      <w:tblGrid>
        <w:gridCol w:w="8108"/>
        <w:gridCol w:w="1510"/>
      </w:tblGrid>
      <w:tr w:rsidR="00AF7033" w:rsidRPr="00C07DBB" w14:paraId="0EECA88D" w14:textId="77777777" w:rsidTr="001C3944">
        <w:trPr>
          <w:trHeight w:val="20"/>
        </w:trPr>
        <w:tc>
          <w:tcPr>
            <w:tcW w:w="4215" w:type="pct"/>
            <w:tcBorders>
              <w:top w:val="single" w:sz="8" w:space="0" w:color="FF9933"/>
              <w:left w:val="single" w:sz="8" w:space="0" w:color="FF9933"/>
              <w:bottom w:val="nil"/>
              <w:right w:val="nil"/>
            </w:tcBorders>
            <w:shd w:val="clear" w:color="000000" w:fill="FF9933"/>
            <w:noWrap/>
            <w:vAlign w:val="center"/>
            <w:hideMark/>
          </w:tcPr>
          <w:p w14:paraId="54ECAD0A" w14:textId="77777777" w:rsidR="00AF7033" w:rsidRPr="00C07DBB" w:rsidRDefault="00AF7033"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Forme di prevenzione dei rischi oltre alla polizza:</w:t>
            </w:r>
          </w:p>
        </w:tc>
        <w:tc>
          <w:tcPr>
            <w:tcW w:w="785" w:type="pct"/>
            <w:tcBorders>
              <w:top w:val="single" w:sz="8" w:space="0" w:color="FF9933"/>
              <w:left w:val="nil"/>
              <w:bottom w:val="nil"/>
              <w:right w:val="single" w:sz="8" w:space="0" w:color="FF9933"/>
            </w:tcBorders>
            <w:shd w:val="clear" w:color="000000" w:fill="FF9933"/>
            <w:noWrap/>
            <w:vAlign w:val="center"/>
            <w:hideMark/>
          </w:tcPr>
          <w:p w14:paraId="16B73EB0"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 </w:t>
            </w:r>
          </w:p>
        </w:tc>
      </w:tr>
      <w:tr w:rsidR="00AF7033" w:rsidRPr="00C07DBB" w14:paraId="7D3C53A0" w14:textId="77777777" w:rsidTr="001C3944">
        <w:trPr>
          <w:trHeight w:val="20"/>
        </w:trPr>
        <w:tc>
          <w:tcPr>
            <w:tcW w:w="4215" w:type="pct"/>
            <w:tcBorders>
              <w:top w:val="single" w:sz="8" w:space="0" w:color="FF9933"/>
              <w:left w:val="single" w:sz="8" w:space="0" w:color="FF9933"/>
              <w:bottom w:val="single" w:sz="4" w:space="0" w:color="FF9933"/>
              <w:right w:val="nil"/>
            </w:tcBorders>
            <w:shd w:val="clear" w:color="auto" w:fill="auto"/>
            <w:vAlign w:val="center"/>
            <w:hideMark/>
          </w:tcPr>
          <w:p w14:paraId="280AEF0F"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Nessuna forma di difesa attiva</w:t>
            </w:r>
          </w:p>
        </w:tc>
        <w:tc>
          <w:tcPr>
            <w:tcW w:w="785" w:type="pct"/>
            <w:tcBorders>
              <w:top w:val="single" w:sz="8" w:space="0" w:color="FF9933"/>
              <w:left w:val="nil"/>
              <w:bottom w:val="single" w:sz="4" w:space="0" w:color="FF9933"/>
              <w:right w:val="single" w:sz="8" w:space="0" w:color="FF9933"/>
            </w:tcBorders>
            <w:shd w:val="clear" w:color="auto" w:fill="auto"/>
            <w:noWrap/>
            <w:vAlign w:val="center"/>
            <w:hideMark/>
          </w:tcPr>
          <w:p w14:paraId="4681D10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19,8%</w:t>
            </w:r>
          </w:p>
        </w:tc>
      </w:tr>
      <w:tr w:rsidR="00AF7033" w:rsidRPr="00C07DBB" w14:paraId="2808A2AB"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0E6124C7"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Tecniche produttive e agronomiche</w:t>
            </w:r>
          </w:p>
        </w:tc>
        <w:tc>
          <w:tcPr>
            <w:tcW w:w="785" w:type="pct"/>
            <w:tcBorders>
              <w:top w:val="nil"/>
              <w:left w:val="nil"/>
              <w:bottom w:val="single" w:sz="4" w:space="0" w:color="FF9933"/>
              <w:right w:val="single" w:sz="8" w:space="0" w:color="FF9933"/>
            </w:tcBorders>
            <w:shd w:val="clear" w:color="auto" w:fill="auto"/>
            <w:noWrap/>
            <w:vAlign w:val="center"/>
            <w:hideMark/>
          </w:tcPr>
          <w:p w14:paraId="3FCC9F50"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38,6%</w:t>
            </w:r>
          </w:p>
        </w:tc>
      </w:tr>
      <w:tr w:rsidR="00AF7033" w:rsidRPr="00C07DBB" w14:paraId="05DA5CFD"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6E555575"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Strutture di protezione per le colture</w:t>
            </w:r>
          </w:p>
        </w:tc>
        <w:tc>
          <w:tcPr>
            <w:tcW w:w="785" w:type="pct"/>
            <w:tcBorders>
              <w:top w:val="nil"/>
              <w:left w:val="nil"/>
              <w:bottom w:val="single" w:sz="4" w:space="0" w:color="FF9933"/>
              <w:right w:val="single" w:sz="8" w:space="0" w:color="FF9933"/>
            </w:tcBorders>
            <w:shd w:val="clear" w:color="auto" w:fill="auto"/>
            <w:noWrap/>
            <w:vAlign w:val="center"/>
            <w:hideMark/>
          </w:tcPr>
          <w:p w14:paraId="5ABC537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17,2%</w:t>
            </w:r>
          </w:p>
        </w:tc>
      </w:tr>
      <w:tr w:rsidR="00AF7033" w:rsidRPr="00C07DBB" w14:paraId="61CD3248"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252E1334"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Costituzione di riserve finanziarie proprie</w:t>
            </w:r>
          </w:p>
        </w:tc>
        <w:tc>
          <w:tcPr>
            <w:tcW w:w="785" w:type="pct"/>
            <w:tcBorders>
              <w:top w:val="nil"/>
              <w:left w:val="nil"/>
              <w:bottom w:val="single" w:sz="4" w:space="0" w:color="FF9933"/>
              <w:right w:val="single" w:sz="8" w:space="0" w:color="FF9933"/>
            </w:tcBorders>
            <w:shd w:val="clear" w:color="auto" w:fill="auto"/>
            <w:noWrap/>
            <w:vAlign w:val="center"/>
            <w:hideMark/>
          </w:tcPr>
          <w:p w14:paraId="73A37BB1"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21,3%</w:t>
            </w:r>
          </w:p>
        </w:tc>
      </w:tr>
      <w:tr w:rsidR="00AF7033" w:rsidRPr="00C07DBB" w14:paraId="287D9667"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180ECD19"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Strumenti contro il rischio di prezzo</w:t>
            </w:r>
          </w:p>
        </w:tc>
        <w:tc>
          <w:tcPr>
            <w:tcW w:w="785" w:type="pct"/>
            <w:tcBorders>
              <w:top w:val="nil"/>
              <w:left w:val="nil"/>
              <w:bottom w:val="single" w:sz="4" w:space="0" w:color="FF9933"/>
              <w:right w:val="single" w:sz="8" w:space="0" w:color="FF9933"/>
            </w:tcBorders>
            <w:shd w:val="clear" w:color="auto" w:fill="auto"/>
            <w:noWrap/>
            <w:vAlign w:val="center"/>
            <w:hideMark/>
          </w:tcPr>
          <w:p w14:paraId="0ADF02DD"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1,7%</w:t>
            </w:r>
          </w:p>
        </w:tc>
      </w:tr>
      <w:tr w:rsidR="00AF7033" w:rsidRPr="00C07DBB" w14:paraId="5FDECB46" w14:textId="77777777" w:rsidTr="001C3944">
        <w:trPr>
          <w:trHeight w:val="20"/>
        </w:trPr>
        <w:tc>
          <w:tcPr>
            <w:tcW w:w="4215" w:type="pct"/>
            <w:tcBorders>
              <w:top w:val="nil"/>
              <w:left w:val="single" w:sz="8" w:space="0" w:color="FF9933"/>
              <w:bottom w:val="single" w:sz="4" w:space="0" w:color="FF9933"/>
              <w:right w:val="nil"/>
            </w:tcBorders>
            <w:shd w:val="clear" w:color="auto" w:fill="auto"/>
            <w:vAlign w:val="center"/>
            <w:hideMark/>
          </w:tcPr>
          <w:p w14:paraId="74FFB725"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Altri tipi di intervento</w:t>
            </w:r>
          </w:p>
        </w:tc>
        <w:tc>
          <w:tcPr>
            <w:tcW w:w="785" w:type="pct"/>
            <w:tcBorders>
              <w:top w:val="nil"/>
              <w:left w:val="nil"/>
              <w:bottom w:val="single" w:sz="4" w:space="0" w:color="FF9933"/>
              <w:right w:val="single" w:sz="8" w:space="0" w:color="FF9933"/>
            </w:tcBorders>
            <w:shd w:val="clear" w:color="auto" w:fill="auto"/>
            <w:noWrap/>
            <w:vAlign w:val="center"/>
            <w:hideMark/>
          </w:tcPr>
          <w:p w14:paraId="1121FC75"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1,5%</w:t>
            </w:r>
          </w:p>
        </w:tc>
      </w:tr>
      <w:tr w:rsidR="00AF7033" w:rsidRPr="00C07DBB" w14:paraId="6AC2046C" w14:textId="77777777" w:rsidTr="001C3944">
        <w:trPr>
          <w:trHeight w:val="20"/>
        </w:trPr>
        <w:tc>
          <w:tcPr>
            <w:tcW w:w="4215" w:type="pct"/>
            <w:tcBorders>
              <w:top w:val="nil"/>
              <w:left w:val="single" w:sz="8" w:space="0" w:color="FF9933"/>
              <w:bottom w:val="single" w:sz="8" w:space="0" w:color="FF9933"/>
              <w:right w:val="nil"/>
            </w:tcBorders>
            <w:shd w:val="clear" w:color="auto" w:fill="auto"/>
            <w:vAlign w:val="center"/>
            <w:hideMark/>
          </w:tcPr>
          <w:p w14:paraId="0129342B" w14:textId="77777777" w:rsidR="00AF7033" w:rsidRPr="00C07DBB" w:rsidRDefault="00AF7033"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Totale risposte</w:t>
            </w:r>
          </w:p>
        </w:tc>
        <w:tc>
          <w:tcPr>
            <w:tcW w:w="785" w:type="pct"/>
            <w:tcBorders>
              <w:top w:val="nil"/>
              <w:left w:val="nil"/>
              <w:bottom w:val="single" w:sz="8" w:space="0" w:color="FF9933"/>
              <w:right w:val="single" w:sz="8" w:space="0" w:color="FF9933"/>
            </w:tcBorders>
            <w:shd w:val="clear" w:color="auto" w:fill="auto"/>
            <w:noWrap/>
            <w:vAlign w:val="center"/>
            <w:hideMark/>
          </w:tcPr>
          <w:p w14:paraId="24C31324"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100%</w:t>
            </w:r>
          </w:p>
        </w:tc>
      </w:tr>
    </w:tbl>
    <w:p w14:paraId="6AF5FBEC" w14:textId="77777777" w:rsidR="00AF7033" w:rsidRDefault="00AF7033" w:rsidP="00AF7033">
      <w:pPr>
        <w:pStyle w:val="Paragrafoelenco"/>
        <w:spacing w:before="240" w:line="276" w:lineRule="auto"/>
        <w:rPr>
          <w:rFonts w:asciiTheme="majorHAnsi" w:hAnsiTheme="majorHAnsi" w:cstheme="majorHAnsi"/>
          <w:color w:val="000000"/>
        </w:rPr>
      </w:pPr>
    </w:p>
    <w:p w14:paraId="545E2872" w14:textId="0259961B" w:rsidR="00AF7033" w:rsidRPr="00BC5327" w:rsidRDefault="00AF7033" w:rsidP="00BC5327">
      <w:pPr>
        <w:spacing w:before="240" w:line="360" w:lineRule="auto"/>
        <w:rPr>
          <w:rFonts w:asciiTheme="majorHAnsi" w:hAnsiTheme="majorHAnsi" w:cs="CenturyGothic"/>
          <w:b/>
          <w:bCs/>
          <w:color w:val="000000"/>
        </w:rPr>
      </w:pPr>
      <w:r w:rsidRPr="00BC5327">
        <w:rPr>
          <w:rFonts w:asciiTheme="majorHAnsi" w:hAnsiTheme="majorHAnsi" w:cs="CenturyGothic"/>
          <w:b/>
          <w:bCs/>
          <w:color w:val="000000"/>
        </w:rPr>
        <w:t xml:space="preserve">Tab. </w:t>
      </w:r>
      <w:r w:rsidR="00BC5327">
        <w:rPr>
          <w:rFonts w:asciiTheme="majorHAnsi" w:hAnsiTheme="majorHAnsi" w:cs="CenturyGothic"/>
          <w:b/>
          <w:bCs/>
          <w:color w:val="000000"/>
        </w:rPr>
        <w:t>2.6</w:t>
      </w:r>
      <w:r w:rsidRPr="00BC5327">
        <w:rPr>
          <w:rFonts w:asciiTheme="majorHAnsi" w:hAnsiTheme="majorHAnsi" w:cs="CenturyGothic"/>
          <w:b/>
          <w:bCs/>
          <w:color w:val="000000"/>
        </w:rPr>
        <w:t xml:space="preserve"> – Forme di prevenzione dei rischi oltre la copertura assicurativa, per comparto</w:t>
      </w:r>
    </w:p>
    <w:tbl>
      <w:tblPr>
        <w:tblW w:w="5000" w:type="pct"/>
        <w:tblCellMar>
          <w:left w:w="70" w:type="dxa"/>
          <w:right w:w="70" w:type="dxa"/>
        </w:tblCellMar>
        <w:tblLook w:val="04A0" w:firstRow="1" w:lastRow="0" w:firstColumn="1" w:lastColumn="0" w:noHBand="0" w:noVBand="1"/>
      </w:tblPr>
      <w:tblGrid>
        <w:gridCol w:w="1864"/>
        <w:gridCol w:w="1346"/>
        <w:gridCol w:w="1140"/>
        <w:gridCol w:w="1064"/>
        <w:gridCol w:w="1283"/>
        <w:gridCol w:w="1285"/>
        <w:gridCol w:w="909"/>
        <w:gridCol w:w="727"/>
      </w:tblGrid>
      <w:tr w:rsidR="00AF7033" w:rsidRPr="00C07DBB" w14:paraId="08341BA1" w14:textId="77777777" w:rsidTr="001C3944">
        <w:trPr>
          <w:trHeight w:val="20"/>
        </w:trPr>
        <w:tc>
          <w:tcPr>
            <w:tcW w:w="1018" w:type="pct"/>
            <w:vMerge w:val="restart"/>
            <w:tcBorders>
              <w:top w:val="single" w:sz="8" w:space="0" w:color="FF9900"/>
              <w:left w:val="single" w:sz="8" w:space="0" w:color="FF9900"/>
              <w:bottom w:val="single" w:sz="8" w:space="0" w:color="FF9900"/>
              <w:right w:val="nil"/>
            </w:tcBorders>
            <w:shd w:val="clear" w:color="000000" w:fill="FF9933"/>
            <w:vAlign w:val="center"/>
            <w:hideMark/>
          </w:tcPr>
          <w:p w14:paraId="3B4274B5" w14:textId="77777777" w:rsidR="00AF7033" w:rsidRPr="00C07DBB" w:rsidRDefault="00AF7033"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Forme di prevenzione dei rischi oltre alla polizza - per comparto</w:t>
            </w:r>
          </w:p>
        </w:tc>
        <w:tc>
          <w:tcPr>
            <w:tcW w:w="3982" w:type="pct"/>
            <w:gridSpan w:val="7"/>
            <w:tcBorders>
              <w:top w:val="single" w:sz="8" w:space="0" w:color="FF9900"/>
              <w:left w:val="nil"/>
              <w:bottom w:val="single" w:sz="8" w:space="0" w:color="FF9933"/>
              <w:right w:val="single" w:sz="8" w:space="0" w:color="FF9900"/>
            </w:tcBorders>
            <w:shd w:val="clear" w:color="000000" w:fill="FF9933"/>
            <w:noWrap/>
            <w:vAlign w:val="center"/>
            <w:hideMark/>
          </w:tcPr>
          <w:p w14:paraId="7F840EAE"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w:t>
            </w:r>
          </w:p>
        </w:tc>
      </w:tr>
      <w:tr w:rsidR="00AF7033" w:rsidRPr="00C07DBB" w14:paraId="3403AEAA" w14:textId="77777777" w:rsidTr="001C3944">
        <w:trPr>
          <w:trHeight w:val="20"/>
        </w:trPr>
        <w:tc>
          <w:tcPr>
            <w:tcW w:w="1018" w:type="pct"/>
            <w:vMerge/>
            <w:tcBorders>
              <w:top w:val="single" w:sz="8" w:space="0" w:color="FF9900"/>
              <w:left w:val="single" w:sz="8" w:space="0" w:color="FF9900"/>
              <w:bottom w:val="single" w:sz="8" w:space="0" w:color="FF9900"/>
              <w:right w:val="nil"/>
            </w:tcBorders>
            <w:vAlign w:val="center"/>
            <w:hideMark/>
          </w:tcPr>
          <w:p w14:paraId="5214B10D" w14:textId="77777777" w:rsidR="00AF7033" w:rsidRPr="00C07DBB" w:rsidRDefault="00AF7033" w:rsidP="001C3944">
            <w:pPr>
              <w:spacing w:after="0" w:line="276" w:lineRule="auto"/>
              <w:rPr>
                <w:rFonts w:asciiTheme="majorHAnsi" w:eastAsia="Times New Roman" w:hAnsiTheme="majorHAnsi" w:cstheme="majorHAnsi"/>
                <w:b/>
                <w:bCs/>
                <w:color w:val="000000"/>
                <w:sz w:val="20"/>
                <w:lang w:eastAsia="it-IT"/>
              </w:rPr>
            </w:pPr>
          </w:p>
        </w:tc>
        <w:tc>
          <w:tcPr>
            <w:tcW w:w="732" w:type="pct"/>
            <w:tcBorders>
              <w:top w:val="nil"/>
              <w:left w:val="single" w:sz="8" w:space="0" w:color="FF9933"/>
              <w:bottom w:val="single" w:sz="8" w:space="0" w:color="FF9900"/>
              <w:right w:val="nil"/>
            </w:tcBorders>
            <w:shd w:val="clear" w:color="000000" w:fill="FF9933"/>
            <w:vAlign w:val="center"/>
            <w:hideMark/>
          </w:tcPr>
          <w:p w14:paraId="7ED91716"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Tecniche produttive agronomiche</w:t>
            </w:r>
          </w:p>
        </w:tc>
        <w:tc>
          <w:tcPr>
            <w:tcW w:w="583" w:type="pct"/>
            <w:tcBorders>
              <w:top w:val="nil"/>
              <w:left w:val="single" w:sz="8" w:space="0" w:color="FF9933"/>
              <w:bottom w:val="single" w:sz="8" w:space="0" w:color="FF9900"/>
              <w:right w:val="nil"/>
            </w:tcBorders>
            <w:shd w:val="clear" w:color="000000" w:fill="FF9933"/>
            <w:vAlign w:val="center"/>
            <w:hideMark/>
          </w:tcPr>
          <w:p w14:paraId="69579F40"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Strutture di protezione per le colture</w:t>
            </w:r>
          </w:p>
        </w:tc>
        <w:tc>
          <w:tcPr>
            <w:tcW w:w="511" w:type="pct"/>
            <w:tcBorders>
              <w:top w:val="nil"/>
              <w:left w:val="single" w:sz="8" w:space="0" w:color="FF9933"/>
              <w:bottom w:val="single" w:sz="8" w:space="0" w:color="FF9900"/>
              <w:right w:val="nil"/>
            </w:tcBorders>
            <w:shd w:val="clear" w:color="000000" w:fill="FF9933"/>
            <w:vAlign w:val="center"/>
            <w:hideMark/>
          </w:tcPr>
          <w:p w14:paraId="6185489E"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Strumenti contro il rischio di prezzo</w:t>
            </w:r>
          </w:p>
        </w:tc>
        <w:tc>
          <w:tcPr>
            <w:tcW w:w="660" w:type="pct"/>
            <w:tcBorders>
              <w:top w:val="nil"/>
              <w:left w:val="single" w:sz="8" w:space="0" w:color="FF9933"/>
              <w:bottom w:val="single" w:sz="8" w:space="0" w:color="FF9900"/>
              <w:right w:val="nil"/>
            </w:tcBorders>
            <w:shd w:val="clear" w:color="000000" w:fill="FF9933"/>
            <w:vAlign w:val="center"/>
            <w:hideMark/>
          </w:tcPr>
          <w:p w14:paraId="513FC497"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Costituzione di riserve finanziarie proprie</w:t>
            </w:r>
          </w:p>
        </w:tc>
        <w:tc>
          <w:tcPr>
            <w:tcW w:w="673" w:type="pct"/>
            <w:tcBorders>
              <w:top w:val="nil"/>
              <w:left w:val="single" w:sz="8" w:space="0" w:color="FF9933"/>
              <w:bottom w:val="single" w:sz="8" w:space="0" w:color="FF9900"/>
              <w:right w:val="nil"/>
            </w:tcBorders>
            <w:shd w:val="clear" w:color="000000" w:fill="FF9933"/>
            <w:vAlign w:val="center"/>
            <w:hideMark/>
          </w:tcPr>
          <w:p w14:paraId="1665C3FA"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Altre misure di prevenzione</w:t>
            </w:r>
          </w:p>
        </w:tc>
        <w:tc>
          <w:tcPr>
            <w:tcW w:w="476" w:type="pct"/>
            <w:tcBorders>
              <w:top w:val="nil"/>
              <w:left w:val="single" w:sz="8" w:space="0" w:color="FF9933"/>
              <w:bottom w:val="single" w:sz="8" w:space="0" w:color="FF9900"/>
              <w:right w:val="nil"/>
            </w:tcBorders>
            <w:shd w:val="clear" w:color="000000" w:fill="FF9933"/>
            <w:vAlign w:val="center"/>
            <w:hideMark/>
          </w:tcPr>
          <w:p w14:paraId="591C0F9B"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Nessuna forma di difesa attiva</w:t>
            </w:r>
          </w:p>
        </w:tc>
        <w:tc>
          <w:tcPr>
            <w:tcW w:w="347" w:type="pct"/>
            <w:tcBorders>
              <w:top w:val="nil"/>
              <w:left w:val="single" w:sz="8" w:space="0" w:color="FF9933"/>
              <w:bottom w:val="single" w:sz="8" w:space="0" w:color="FF9900"/>
              <w:right w:val="single" w:sz="8" w:space="0" w:color="FF9900"/>
            </w:tcBorders>
            <w:shd w:val="clear" w:color="000000" w:fill="FF9933"/>
            <w:vAlign w:val="center"/>
            <w:hideMark/>
          </w:tcPr>
          <w:p w14:paraId="248F9995" w14:textId="77777777" w:rsidR="00AF7033" w:rsidRPr="00C07DBB" w:rsidRDefault="00AF7033"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Totale</w:t>
            </w:r>
          </w:p>
        </w:tc>
      </w:tr>
      <w:tr w:rsidR="00AF7033" w:rsidRPr="00C07DBB" w14:paraId="2CB532CE"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0C5078D1"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Agrumi</w:t>
            </w:r>
          </w:p>
        </w:tc>
        <w:tc>
          <w:tcPr>
            <w:tcW w:w="732" w:type="pct"/>
            <w:tcBorders>
              <w:top w:val="nil"/>
              <w:left w:val="nil"/>
              <w:bottom w:val="single" w:sz="4" w:space="0" w:color="FF9933"/>
              <w:right w:val="nil"/>
            </w:tcBorders>
            <w:shd w:val="clear" w:color="auto" w:fill="auto"/>
            <w:noWrap/>
            <w:vAlign w:val="center"/>
            <w:hideMark/>
          </w:tcPr>
          <w:p w14:paraId="0637A13A"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44,4%</w:t>
            </w:r>
          </w:p>
        </w:tc>
        <w:tc>
          <w:tcPr>
            <w:tcW w:w="583" w:type="pct"/>
            <w:tcBorders>
              <w:top w:val="nil"/>
              <w:left w:val="nil"/>
              <w:bottom w:val="single" w:sz="4" w:space="0" w:color="FF9933"/>
              <w:right w:val="nil"/>
            </w:tcBorders>
            <w:shd w:val="clear" w:color="auto" w:fill="auto"/>
            <w:noWrap/>
            <w:vAlign w:val="center"/>
            <w:hideMark/>
          </w:tcPr>
          <w:p w14:paraId="1F30E37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22,2%</w:t>
            </w:r>
          </w:p>
        </w:tc>
        <w:tc>
          <w:tcPr>
            <w:tcW w:w="511" w:type="pct"/>
            <w:tcBorders>
              <w:top w:val="nil"/>
              <w:left w:val="nil"/>
              <w:bottom w:val="single" w:sz="4" w:space="0" w:color="FF9933"/>
              <w:right w:val="nil"/>
            </w:tcBorders>
            <w:shd w:val="clear" w:color="auto" w:fill="auto"/>
            <w:noWrap/>
            <w:vAlign w:val="center"/>
            <w:hideMark/>
          </w:tcPr>
          <w:p w14:paraId="3194462C"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2054C0F5"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22,2%</w:t>
            </w:r>
          </w:p>
        </w:tc>
        <w:tc>
          <w:tcPr>
            <w:tcW w:w="673" w:type="pct"/>
            <w:tcBorders>
              <w:top w:val="nil"/>
              <w:left w:val="nil"/>
              <w:bottom w:val="single" w:sz="4" w:space="0" w:color="FF9933"/>
              <w:right w:val="nil"/>
            </w:tcBorders>
            <w:shd w:val="clear" w:color="auto" w:fill="auto"/>
            <w:noWrap/>
            <w:vAlign w:val="center"/>
            <w:hideMark/>
          </w:tcPr>
          <w:p w14:paraId="6E7B289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05D1A598"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11,1%</w:t>
            </w:r>
          </w:p>
        </w:tc>
        <w:tc>
          <w:tcPr>
            <w:tcW w:w="347" w:type="pct"/>
            <w:tcBorders>
              <w:top w:val="nil"/>
              <w:left w:val="nil"/>
              <w:bottom w:val="single" w:sz="4" w:space="0" w:color="FF9933"/>
              <w:right w:val="single" w:sz="8" w:space="0" w:color="FF9900"/>
            </w:tcBorders>
            <w:shd w:val="clear" w:color="auto" w:fill="auto"/>
            <w:noWrap/>
            <w:vAlign w:val="center"/>
            <w:hideMark/>
          </w:tcPr>
          <w:p w14:paraId="56CA5F41"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5E47B5D3"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3E6ADBC8"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Cereali</w:t>
            </w:r>
          </w:p>
        </w:tc>
        <w:tc>
          <w:tcPr>
            <w:tcW w:w="732" w:type="pct"/>
            <w:tcBorders>
              <w:top w:val="nil"/>
              <w:left w:val="nil"/>
              <w:bottom w:val="single" w:sz="4" w:space="0" w:color="FF9933"/>
              <w:right w:val="nil"/>
            </w:tcBorders>
            <w:shd w:val="clear" w:color="auto" w:fill="auto"/>
            <w:noWrap/>
            <w:vAlign w:val="center"/>
            <w:hideMark/>
          </w:tcPr>
          <w:p w14:paraId="247E646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41,4%</w:t>
            </w:r>
          </w:p>
        </w:tc>
        <w:tc>
          <w:tcPr>
            <w:tcW w:w="583" w:type="pct"/>
            <w:tcBorders>
              <w:top w:val="nil"/>
              <w:left w:val="nil"/>
              <w:bottom w:val="single" w:sz="4" w:space="0" w:color="FF9933"/>
              <w:right w:val="nil"/>
            </w:tcBorders>
            <w:shd w:val="clear" w:color="auto" w:fill="auto"/>
            <w:noWrap/>
            <w:vAlign w:val="center"/>
            <w:hideMark/>
          </w:tcPr>
          <w:p w14:paraId="1FDF31C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9,1%</w:t>
            </w:r>
          </w:p>
        </w:tc>
        <w:tc>
          <w:tcPr>
            <w:tcW w:w="511" w:type="pct"/>
            <w:tcBorders>
              <w:top w:val="nil"/>
              <w:left w:val="nil"/>
              <w:bottom w:val="single" w:sz="4" w:space="0" w:color="FF9933"/>
              <w:right w:val="nil"/>
            </w:tcBorders>
            <w:shd w:val="clear" w:color="auto" w:fill="auto"/>
            <w:noWrap/>
            <w:vAlign w:val="center"/>
            <w:hideMark/>
          </w:tcPr>
          <w:p w14:paraId="5084FE53"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w:t>
            </w:r>
          </w:p>
        </w:tc>
        <w:tc>
          <w:tcPr>
            <w:tcW w:w="660" w:type="pct"/>
            <w:tcBorders>
              <w:top w:val="nil"/>
              <w:left w:val="nil"/>
              <w:bottom w:val="single" w:sz="4" w:space="0" w:color="FF9933"/>
              <w:right w:val="nil"/>
            </w:tcBorders>
            <w:shd w:val="clear" w:color="auto" w:fill="auto"/>
            <w:noWrap/>
            <w:vAlign w:val="center"/>
            <w:hideMark/>
          </w:tcPr>
          <w:p w14:paraId="191D92FE"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20,2%</w:t>
            </w:r>
          </w:p>
        </w:tc>
        <w:tc>
          <w:tcPr>
            <w:tcW w:w="673" w:type="pct"/>
            <w:tcBorders>
              <w:top w:val="nil"/>
              <w:left w:val="nil"/>
              <w:bottom w:val="single" w:sz="4" w:space="0" w:color="FF9933"/>
              <w:right w:val="nil"/>
            </w:tcBorders>
            <w:shd w:val="clear" w:color="auto" w:fill="auto"/>
            <w:noWrap/>
            <w:vAlign w:val="center"/>
            <w:hideMark/>
          </w:tcPr>
          <w:p w14:paraId="1E9CCFC6"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2,0%</w:t>
            </w:r>
          </w:p>
        </w:tc>
        <w:tc>
          <w:tcPr>
            <w:tcW w:w="476" w:type="pct"/>
            <w:tcBorders>
              <w:top w:val="nil"/>
              <w:left w:val="nil"/>
              <w:bottom w:val="single" w:sz="4" w:space="0" w:color="FF9933"/>
              <w:right w:val="nil"/>
            </w:tcBorders>
            <w:shd w:val="clear" w:color="auto" w:fill="auto"/>
            <w:noWrap/>
            <w:vAlign w:val="center"/>
            <w:hideMark/>
          </w:tcPr>
          <w:p w14:paraId="00DBACE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26,3%</w:t>
            </w:r>
          </w:p>
        </w:tc>
        <w:tc>
          <w:tcPr>
            <w:tcW w:w="347" w:type="pct"/>
            <w:tcBorders>
              <w:top w:val="nil"/>
              <w:left w:val="nil"/>
              <w:bottom w:val="single" w:sz="4" w:space="0" w:color="FF9933"/>
              <w:right w:val="single" w:sz="8" w:space="0" w:color="FF9900"/>
            </w:tcBorders>
            <w:shd w:val="clear" w:color="auto" w:fill="auto"/>
            <w:noWrap/>
            <w:vAlign w:val="center"/>
            <w:hideMark/>
          </w:tcPr>
          <w:p w14:paraId="068603AD"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7C43D5B9"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00174AE9"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Colture da biomassa</w:t>
            </w:r>
          </w:p>
        </w:tc>
        <w:tc>
          <w:tcPr>
            <w:tcW w:w="732" w:type="pct"/>
            <w:tcBorders>
              <w:top w:val="nil"/>
              <w:left w:val="nil"/>
              <w:bottom w:val="single" w:sz="4" w:space="0" w:color="FF9933"/>
              <w:right w:val="nil"/>
            </w:tcBorders>
            <w:shd w:val="clear" w:color="auto" w:fill="auto"/>
            <w:noWrap/>
            <w:vAlign w:val="center"/>
            <w:hideMark/>
          </w:tcPr>
          <w:p w14:paraId="18A18C6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35,0%</w:t>
            </w:r>
          </w:p>
        </w:tc>
        <w:tc>
          <w:tcPr>
            <w:tcW w:w="583" w:type="pct"/>
            <w:tcBorders>
              <w:top w:val="nil"/>
              <w:left w:val="nil"/>
              <w:bottom w:val="single" w:sz="4" w:space="0" w:color="FF9933"/>
              <w:right w:val="nil"/>
            </w:tcBorders>
            <w:shd w:val="clear" w:color="auto" w:fill="auto"/>
            <w:noWrap/>
            <w:vAlign w:val="center"/>
            <w:hideMark/>
          </w:tcPr>
          <w:p w14:paraId="089461B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w:t>
            </w:r>
          </w:p>
        </w:tc>
        <w:tc>
          <w:tcPr>
            <w:tcW w:w="511" w:type="pct"/>
            <w:tcBorders>
              <w:top w:val="nil"/>
              <w:left w:val="nil"/>
              <w:bottom w:val="single" w:sz="4" w:space="0" w:color="FF9933"/>
              <w:right w:val="nil"/>
            </w:tcBorders>
            <w:shd w:val="clear" w:color="auto" w:fill="auto"/>
            <w:noWrap/>
            <w:vAlign w:val="center"/>
            <w:hideMark/>
          </w:tcPr>
          <w:p w14:paraId="3F75EBF0"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c>
          <w:tcPr>
            <w:tcW w:w="660" w:type="pct"/>
            <w:tcBorders>
              <w:top w:val="nil"/>
              <w:left w:val="nil"/>
              <w:bottom w:val="single" w:sz="4" w:space="0" w:color="FF9933"/>
              <w:right w:val="nil"/>
            </w:tcBorders>
            <w:shd w:val="clear" w:color="auto" w:fill="auto"/>
            <w:noWrap/>
            <w:vAlign w:val="center"/>
            <w:hideMark/>
          </w:tcPr>
          <w:p w14:paraId="29E935E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15,0%</w:t>
            </w:r>
          </w:p>
        </w:tc>
        <w:tc>
          <w:tcPr>
            <w:tcW w:w="673" w:type="pct"/>
            <w:tcBorders>
              <w:top w:val="nil"/>
              <w:left w:val="nil"/>
              <w:bottom w:val="single" w:sz="4" w:space="0" w:color="FF9933"/>
              <w:right w:val="nil"/>
            </w:tcBorders>
            <w:shd w:val="clear" w:color="auto" w:fill="auto"/>
            <w:noWrap/>
            <w:vAlign w:val="center"/>
            <w:hideMark/>
          </w:tcPr>
          <w:p w14:paraId="72C53C13"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w:t>
            </w:r>
          </w:p>
        </w:tc>
        <w:tc>
          <w:tcPr>
            <w:tcW w:w="476" w:type="pct"/>
            <w:tcBorders>
              <w:top w:val="nil"/>
              <w:left w:val="nil"/>
              <w:bottom w:val="single" w:sz="4" w:space="0" w:color="FF9933"/>
              <w:right w:val="nil"/>
            </w:tcBorders>
            <w:shd w:val="clear" w:color="auto" w:fill="auto"/>
            <w:noWrap/>
            <w:vAlign w:val="center"/>
            <w:hideMark/>
          </w:tcPr>
          <w:p w14:paraId="139E935A"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30,0%</w:t>
            </w:r>
          </w:p>
        </w:tc>
        <w:tc>
          <w:tcPr>
            <w:tcW w:w="347" w:type="pct"/>
            <w:tcBorders>
              <w:top w:val="nil"/>
              <w:left w:val="nil"/>
              <w:bottom w:val="single" w:sz="4" w:space="0" w:color="FF9933"/>
              <w:right w:val="single" w:sz="8" w:space="0" w:color="FF9900"/>
            </w:tcBorders>
            <w:shd w:val="clear" w:color="auto" w:fill="auto"/>
            <w:noWrap/>
            <w:vAlign w:val="center"/>
            <w:hideMark/>
          </w:tcPr>
          <w:p w14:paraId="45878D48"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6074D7FF"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516B20DA"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Colture da seme</w:t>
            </w:r>
          </w:p>
        </w:tc>
        <w:tc>
          <w:tcPr>
            <w:tcW w:w="732" w:type="pct"/>
            <w:tcBorders>
              <w:top w:val="nil"/>
              <w:left w:val="nil"/>
              <w:bottom w:val="single" w:sz="4" w:space="0" w:color="FF9933"/>
              <w:right w:val="nil"/>
            </w:tcBorders>
            <w:shd w:val="clear" w:color="auto" w:fill="auto"/>
            <w:noWrap/>
            <w:vAlign w:val="center"/>
            <w:hideMark/>
          </w:tcPr>
          <w:p w14:paraId="15D834C6"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36,4%</w:t>
            </w:r>
          </w:p>
        </w:tc>
        <w:tc>
          <w:tcPr>
            <w:tcW w:w="583" w:type="pct"/>
            <w:tcBorders>
              <w:top w:val="nil"/>
              <w:left w:val="nil"/>
              <w:bottom w:val="single" w:sz="4" w:space="0" w:color="FF9933"/>
              <w:right w:val="nil"/>
            </w:tcBorders>
            <w:shd w:val="clear" w:color="auto" w:fill="auto"/>
            <w:noWrap/>
            <w:vAlign w:val="center"/>
            <w:hideMark/>
          </w:tcPr>
          <w:p w14:paraId="226D40C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27,3%</w:t>
            </w:r>
          </w:p>
        </w:tc>
        <w:tc>
          <w:tcPr>
            <w:tcW w:w="511" w:type="pct"/>
            <w:tcBorders>
              <w:top w:val="nil"/>
              <w:left w:val="nil"/>
              <w:bottom w:val="single" w:sz="4" w:space="0" w:color="FF9933"/>
              <w:right w:val="nil"/>
            </w:tcBorders>
            <w:shd w:val="clear" w:color="auto" w:fill="auto"/>
            <w:noWrap/>
            <w:vAlign w:val="center"/>
            <w:hideMark/>
          </w:tcPr>
          <w:p w14:paraId="545B22F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4759C75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18,2%</w:t>
            </w:r>
          </w:p>
        </w:tc>
        <w:tc>
          <w:tcPr>
            <w:tcW w:w="673" w:type="pct"/>
            <w:tcBorders>
              <w:top w:val="nil"/>
              <w:left w:val="nil"/>
              <w:bottom w:val="single" w:sz="4" w:space="0" w:color="FF9933"/>
              <w:right w:val="nil"/>
            </w:tcBorders>
            <w:shd w:val="clear" w:color="auto" w:fill="auto"/>
            <w:noWrap/>
            <w:vAlign w:val="center"/>
            <w:hideMark/>
          </w:tcPr>
          <w:p w14:paraId="5A41D58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9,1%</w:t>
            </w:r>
          </w:p>
        </w:tc>
        <w:tc>
          <w:tcPr>
            <w:tcW w:w="476" w:type="pct"/>
            <w:tcBorders>
              <w:top w:val="nil"/>
              <w:left w:val="nil"/>
              <w:bottom w:val="single" w:sz="4" w:space="0" w:color="FF9933"/>
              <w:right w:val="nil"/>
            </w:tcBorders>
            <w:shd w:val="clear" w:color="auto" w:fill="auto"/>
            <w:noWrap/>
            <w:vAlign w:val="center"/>
            <w:hideMark/>
          </w:tcPr>
          <w:p w14:paraId="2AA9BCB1"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9,1%</w:t>
            </w:r>
          </w:p>
        </w:tc>
        <w:tc>
          <w:tcPr>
            <w:tcW w:w="347" w:type="pct"/>
            <w:tcBorders>
              <w:top w:val="nil"/>
              <w:left w:val="nil"/>
              <w:bottom w:val="single" w:sz="4" w:space="0" w:color="FF9933"/>
              <w:right w:val="single" w:sz="8" w:space="0" w:color="FF9900"/>
            </w:tcBorders>
            <w:shd w:val="clear" w:color="auto" w:fill="auto"/>
            <w:noWrap/>
            <w:vAlign w:val="center"/>
            <w:hideMark/>
          </w:tcPr>
          <w:p w14:paraId="4CB8968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3FCA32BD"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7D8F28A0"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Colture industriali</w:t>
            </w:r>
          </w:p>
        </w:tc>
        <w:tc>
          <w:tcPr>
            <w:tcW w:w="732" w:type="pct"/>
            <w:tcBorders>
              <w:top w:val="nil"/>
              <w:left w:val="nil"/>
              <w:bottom w:val="single" w:sz="4" w:space="0" w:color="FF9933"/>
              <w:right w:val="nil"/>
            </w:tcBorders>
            <w:shd w:val="clear" w:color="auto" w:fill="auto"/>
            <w:noWrap/>
            <w:vAlign w:val="center"/>
            <w:hideMark/>
          </w:tcPr>
          <w:p w14:paraId="78167DE7"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45,0%</w:t>
            </w:r>
          </w:p>
        </w:tc>
        <w:tc>
          <w:tcPr>
            <w:tcW w:w="583" w:type="pct"/>
            <w:tcBorders>
              <w:top w:val="nil"/>
              <w:left w:val="nil"/>
              <w:bottom w:val="single" w:sz="4" w:space="0" w:color="FF9933"/>
              <w:right w:val="nil"/>
            </w:tcBorders>
            <w:shd w:val="clear" w:color="auto" w:fill="auto"/>
            <w:noWrap/>
            <w:vAlign w:val="center"/>
            <w:hideMark/>
          </w:tcPr>
          <w:p w14:paraId="11E909D2"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511" w:type="pct"/>
            <w:tcBorders>
              <w:top w:val="nil"/>
              <w:left w:val="nil"/>
              <w:bottom w:val="single" w:sz="4" w:space="0" w:color="FF9933"/>
              <w:right w:val="nil"/>
            </w:tcBorders>
            <w:shd w:val="clear" w:color="auto" w:fill="auto"/>
            <w:noWrap/>
            <w:vAlign w:val="center"/>
            <w:hideMark/>
          </w:tcPr>
          <w:p w14:paraId="342A7D5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5D17CB26"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25,0%</w:t>
            </w:r>
          </w:p>
        </w:tc>
        <w:tc>
          <w:tcPr>
            <w:tcW w:w="673" w:type="pct"/>
            <w:tcBorders>
              <w:top w:val="nil"/>
              <w:left w:val="nil"/>
              <w:bottom w:val="single" w:sz="4" w:space="0" w:color="FF9933"/>
              <w:right w:val="nil"/>
            </w:tcBorders>
            <w:shd w:val="clear" w:color="auto" w:fill="auto"/>
            <w:noWrap/>
            <w:vAlign w:val="center"/>
            <w:hideMark/>
          </w:tcPr>
          <w:p w14:paraId="74D94865"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4EBB317E"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30,0%</w:t>
            </w:r>
          </w:p>
        </w:tc>
        <w:tc>
          <w:tcPr>
            <w:tcW w:w="347" w:type="pct"/>
            <w:tcBorders>
              <w:top w:val="nil"/>
              <w:left w:val="nil"/>
              <w:bottom w:val="single" w:sz="4" w:space="0" w:color="FF9933"/>
              <w:right w:val="single" w:sz="8" w:space="0" w:color="FF9900"/>
            </w:tcBorders>
            <w:shd w:val="clear" w:color="auto" w:fill="auto"/>
            <w:noWrap/>
            <w:vAlign w:val="center"/>
            <w:hideMark/>
          </w:tcPr>
          <w:p w14:paraId="7E6690B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1E4602B2"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4B09657C"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Florovivaismo</w:t>
            </w:r>
          </w:p>
        </w:tc>
        <w:tc>
          <w:tcPr>
            <w:tcW w:w="732" w:type="pct"/>
            <w:tcBorders>
              <w:top w:val="nil"/>
              <w:left w:val="nil"/>
              <w:bottom w:val="single" w:sz="4" w:space="0" w:color="FF9933"/>
              <w:right w:val="nil"/>
            </w:tcBorders>
            <w:shd w:val="clear" w:color="auto" w:fill="auto"/>
            <w:noWrap/>
            <w:vAlign w:val="center"/>
            <w:hideMark/>
          </w:tcPr>
          <w:p w14:paraId="4287244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33,3%</w:t>
            </w:r>
          </w:p>
        </w:tc>
        <w:tc>
          <w:tcPr>
            <w:tcW w:w="583" w:type="pct"/>
            <w:tcBorders>
              <w:top w:val="nil"/>
              <w:left w:val="nil"/>
              <w:bottom w:val="single" w:sz="4" w:space="0" w:color="FF9933"/>
              <w:right w:val="nil"/>
            </w:tcBorders>
            <w:shd w:val="clear" w:color="auto" w:fill="auto"/>
            <w:noWrap/>
            <w:vAlign w:val="center"/>
            <w:hideMark/>
          </w:tcPr>
          <w:p w14:paraId="5588B181"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33,3%</w:t>
            </w:r>
          </w:p>
        </w:tc>
        <w:tc>
          <w:tcPr>
            <w:tcW w:w="511" w:type="pct"/>
            <w:tcBorders>
              <w:top w:val="nil"/>
              <w:left w:val="nil"/>
              <w:bottom w:val="single" w:sz="4" w:space="0" w:color="FF9933"/>
              <w:right w:val="nil"/>
            </w:tcBorders>
            <w:shd w:val="clear" w:color="auto" w:fill="auto"/>
            <w:noWrap/>
            <w:vAlign w:val="center"/>
            <w:hideMark/>
          </w:tcPr>
          <w:p w14:paraId="780E94A6"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2,8%</w:t>
            </w:r>
          </w:p>
        </w:tc>
        <w:tc>
          <w:tcPr>
            <w:tcW w:w="660" w:type="pct"/>
            <w:tcBorders>
              <w:top w:val="nil"/>
              <w:left w:val="nil"/>
              <w:bottom w:val="single" w:sz="4" w:space="0" w:color="FF9933"/>
              <w:right w:val="nil"/>
            </w:tcBorders>
            <w:shd w:val="clear" w:color="auto" w:fill="auto"/>
            <w:noWrap/>
            <w:vAlign w:val="center"/>
            <w:hideMark/>
          </w:tcPr>
          <w:p w14:paraId="6269AEF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19,4%</w:t>
            </w:r>
          </w:p>
        </w:tc>
        <w:tc>
          <w:tcPr>
            <w:tcW w:w="673" w:type="pct"/>
            <w:tcBorders>
              <w:top w:val="nil"/>
              <w:left w:val="nil"/>
              <w:bottom w:val="single" w:sz="4" w:space="0" w:color="FF9933"/>
              <w:right w:val="nil"/>
            </w:tcBorders>
            <w:shd w:val="clear" w:color="auto" w:fill="auto"/>
            <w:noWrap/>
            <w:vAlign w:val="center"/>
            <w:hideMark/>
          </w:tcPr>
          <w:p w14:paraId="0B6B4ED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2,8%</w:t>
            </w:r>
          </w:p>
        </w:tc>
        <w:tc>
          <w:tcPr>
            <w:tcW w:w="476" w:type="pct"/>
            <w:tcBorders>
              <w:top w:val="nil"/>
              <w:left w:val="nil"/>
              <w:bottom w:val="single" w:sz="4" w:space="0" w:color="FF9933"/>
              <w:right w:val="nil"/>
            </w:tcBorders>
            <w:shd w:val="clear" w:color="auto" w:fill="auto"/>
            <w:noWrap/>
            <w:vAlign w:val="center"/>
            <w:hideMark/>
          </w:tcPr>
          <w:p w14:paraId="2EBD7982"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8,3%</w:t>
            </w:r>
          </w:p>
        </w:tc>
        <w:tc>
          <w:tcPr>
            <w:tcW w:w="347" w:type="pct"/>
            <w:tcBorders>
              <w:top w:val="nil"/>
              <w:left w:val="nil"/>
              <w:bottom w:val="single" w:sz="4" w:space="0" w:color="FF9933"/>
              <w:right w:val="single" w:sz="8" w:space="0" w:color="FF9900"/>
            </w:tcBorders>
            <w:shd w:val="clear" w:color="auto" w:fill="auto"/>
            <w:noWrap/>
            <w:vAlign w:val="center"/>
            <w:hideMark/>
          </w:tcPr>
          <w:p w14:paraId="35EB486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37020F4F"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7EE227A0"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Foraggere</w:t>
            </w:r>
          </w:p>
        </w:tc>
        <w:tc>
          <w:tcPr>
            <w:tcW w:w="732" w:type="pct"/>
            <w:tcBorders>
              <w:top w:val="nil"/>
              <w:left w:val="nil"/>
              <w:bottom w:val="single" w:sz="4" w:space="0" w:color="FF9933"/>
              <w:right w:val="nil"/>
            </w:tcBorders>
            <w:shd w:val="clear" w:color="auto" w:fill="auto"/>
            <w:noWrap/>
            <w:vAlign w:val="center"/>
            <w:hideMark/>
          </w:tcPr>
          <w:p w14:paraId="4517117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46,8%</w:t>
            </w:r>
          </w:p>
        </w:tc>
        <w:tc>
          <w:tcPr>
            <w:tcW w:w="583" w:type="pct"/>
            <w:tcBorders>
              <w:top w:val="nil"/>
              <w:left w:val="nil"/>
              <w:bottom w:val="single" w:sz="4" w:space="0" w:color="FF9933"/>
              <w:right w:val="nil"/>
            </w:tcBorders>
            <w:shd w:val="clear" w:color="auto" w:fill="auto"/>
            <w:noWrap/>
            <w:vAlign w:val="center"/>
            <w:hideMark/>
          </w:tcPr>
          <w:p w14:paraId="21061B9C"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2,1%</w:t>
            </w:r>
          </w:p>
        </w:tc>
        <w:tc>
          <w:tcPr>
            <w:tcW w:w="511" w:type="pct"/>
            <w:tcBorders>
              <w:top w:val="nil"/>
              <w:left w:val="nil"/>
              <w:bottom w:val="single" w:sz="4" w:space="0" w:color="FF9933"/>
              <w:right w:val="nil"/>
            </w:tcBorders>
            <w:shd w:val="clear" w:color="auto" w:fill="auto"/>
            <w:noWrap/>
            <w:vAlign w:val="center"/>
            <w:hideMark/>
          </w:tcPr>
          <w:p w14:paraId="025E028C"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6B94644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12,8%</w:t>
            </w:r>
          </w:p>
        </w:tc>
        <w:tc>
          <w:tcPr>
            <w:tcW w:w="673" w:type="pct"/>
            <w:tcBorders>
              <w:top w:val="nil"/>
              <w:left w:val="nil"/>
              <w:bottom w:val="single" w:sz="4" w:space="0" w:color="FF9933"/>
              <w:right w:val="nil"/>
            </w:tcBorders>
            <w:shd w:val="clear" w:color="auto" w:fill="auto"/>
            <w:noWrap/>
            <w:vAlign w:val="center"/>
            <w:hideMark/>
          </w:tcPr>
          <w:p w14:paraId="36D843E7"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2,1%</w:t>
            </w:r>
          </w:p>
        </w:tc>
        <w:tc>
          <w:tcPr>
            <w:tcW w:w="476" w:type="pct"/>
            <w:tcBorders>
              <w:top w:val="nil"/>
              <w:left w:val="nil"/>
              <w:bottom w:val="single" w:sz="4" w:space="0" w:color="FF9933"/>
              <w:right w:val="nil"/>
            </w:tcBorders>
            <w:shd w:val="clear" w:color="auto" w:fill="auto"/>
            <w:noWrap/>
            <w:vAlign w:val="center"/>
            <w:hideMark/>
          </w:tcPr>
          <w:p w14:paraId="21B1B762"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36,2%</w:t>
            </w:r>
          </w:p>
        </w:tc>
        <w:tc>
          <w:tcPr>
            <w:tcW w:w="347" w:type="pct"/>
            <w:tcBorders>
              <w:top w:val="nil"/>
              <w:left w:val="nil"/>
              <w:bottom w:val="single" w:sz="4" w:space="0" w:color="FF9933"/>
              <w:right w:val="single" w:sz="8" w:space="0" w:color="FF9900"/>
            </w:tcBorders>
            <w:shd w:val="clear" w:color="auto" w:fill="auto"/>
            <w:noWrap/>
            <w:vAlign w:val="center"/>
            <w:hideMark/>
          </w:tcPr>
          <w:p w14:paraId="39D4E280"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38E9E0C7"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65121620"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Frutta fresca</w:t>
            </w:r>
          </w:p>
        </w:tc>
        <w:tc>
          <w:tcPr>
            <w:tcW w:w="732" w:type="pct"/>
            <w:tcBorders>
              <w:top w:val="nil"/>
              <w:left w:val="nil"/>
              <w:bottom w:val="single" w:sz="4" w:space="0" w:color="FF9933"/>
              <w:right w:val="nil"/>
            </w:tcBorders>
            <w:shd w:val="clear" w:color="auto" w:fill="auto"/>
            <w:noWrap/>
            <w:vAlign w:val="center"/>
            <w:hideMark/>
          </w:tcPr>
          <w:p w14:paraId="01E7ADF5"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34,1%</w:t>
            </w:r>
          </w:p>
        </w:tc>
        <w:tc>
          <w:tcPr>
            <w:tcW w:w="583" w:type="pct"/>
            <w:tcBorders>
              <w:top w:val="nil"/>
              <w:left w:val="nil"/>
              <w:bottom w:val="single" w:sz="4" w:space="0" w:color="FF9933"/>
              <w:right w:val="nil"/>
            </w:tcBorders>
            <w:shd w:val="clear" w:color="auto" w:fill="auto"/>
            <w:noWrap/>
            <w:vAlign w:val="center"/>
            <w:hideMark/>
          </w:tcPr>
          <w:p w14:paraId="30094BCC"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36,6%</w:t>
            </w:r>
          </w:p>
        </w:tc>
        <w:tc>
          <w:tcPr>
            <w:tcW w:w="511" w:type="pct"/>
            <w:tcBorders>
              <w:top w:val="nil"/>
              <w:left w:val="nil"/>
              <w:bottom w:val="single" w:sz="4" w:space="0" w:color="FF9933"/>
              <w:right w:val="nil"/>
            </w:tcBorders>
            <w:shd w:val="clear" w:color="auto" w:fill="auto"/>
            <w:noWrap/>
            <w:vAlign w:val="center"/>
            <w:hideMark/>
          </w:tcPr>
          <w:p w14:paraId="6FADA900"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0,6%</w:t>
            </w:r>
          </w:p>
        </w:tc>
        <w:tc>
          <w:tcPr>
            <w:tcW w:w="660" w:type="pct"/>
            <w:tcBorders>
              <w:top w:val="nil"/>
              <w:left w:val="nil"/>
              <w:bottom w:val="single" w:sz="4" w:space="0" w:color="FF9933"/>
              <w:right w:val="nil"/>
            </w:tcBorders>
            <w:shd w:val="clear" w:color="auto" w:fill="auto"/>
            <w:noWrap/>
            <w:vAlign w:val="center"/>
            <w:hideMark/>
          </w:tcPr>
          <w:p w14:paraId="74395850"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17,1%</w:t>
            </w:r>
          </w:p>
        </w:tc>
        <w:tc>
          <w:tcPr>
            <w:tcW w:w="673" w:type="pct"/>
            <w:tcBorders>
              <w:top w:val="nil"/>
              <w:left w:val="nil"/>
              <w:bottom w:val="single" w:sz="4" w:space="0" w:color="FF9933"/>
              <w:right w:val="nil"/>
            </w:tcBorders>
            <w:shd w:val="clear" w:color="auto" w:fill="auto"/>
            <w:noWrap/>
            <w:vAlign w:val="center"/>
            <w:hideMark/>
          </w:tcPr>
          <w:p w14:paraId="56FDE3E1"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0,6%</w:t>
            </w:r>
          </w:p>
        </w:tc>
        <w:tc>
          <w:tcPr>
            <w:tcW w:w="476" w:type="pct"/>
            <w:tcBorders>
              <w:top w:val="nil"/>
              <w:left w:val="nil"/>
              <w:bottom w:val="single" w:sz="4" w:space="0" w:color="FF9933"/>
              <w:right w:val="nil"/>
            </w:tcBorders>
            <w:shd w:val="clear" w:color="auto" w:fill="auto"/>
            <w:noWrap/>
            <w:vAlign w:val="center"/>
            <w:hideMark/>
          </w:tcPr>
          <w:p w14:paraId="651C217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11,0%</w:t>
            </w:r>
          </w:p>
        </w:tc>
        <w:tc>
          <w:tcPr>
            <w:tcW w:w="347" w:type="pct"/>
            <w:tcBorders>
              <w:top w:val="nil"/>
              <w:left w:val="nil"/>
              <w:bottom w:val="single" w:sz="4" w:space="0" w:color="FF9933"/>
              <w:right w:val="single" w:sz="8" w:space="0" w:color="FF9900"/>
            </w:tcBorders>
            <w:shd w:val="clear" w:color="auto" w:fill="auto"/>
            <w:noWrap/>
            <w:vAlign w:val="center"/>
            <w:hideMark/>
          </w:tcPr>
          <w:p w14:paraId="033C3C81"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48D821C7"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7F6109CF"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Frutta secca</w:t>
            </w:r>
          </w:p>
        </w:tc>
        <w:tc>
          <w:tcPr>
            <w:tcW w:w="732" w:type="pct"/>
            <w:tcBorders>
              <w:top w:val="nil"/>
              <w:left w:val="nil"/>
              <w:bottom w:val="single" w:sz="4" w:space="0" w:color="FF9933"/>
              <w:right w:val="nil"/>
            </w:tcBorders>
            <w:shd w:val="clear" w:color="auto" w:fill="auto"/>
            <w:noWrap/>
            <w:vAlign w:val="center"/>
            <w:hideMark/>
          </w:tcPr>
          <w:p w14:paraId="48C2410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40,0%</w:t>
            </w:r>
          </w:p>
        </w:tc>
        <w:tc>
          <w:tcPr>
            <w:tcW w:w="583" w:type="pct"/>
            <w:tcBorders>
              <w:top w:val="nil"/>
              <w:left w:val="nil"/>
              <w:bottom w:val="single" w:sz="4" w:space="0" w:color="FF9933"/>
              <w:right w:val="nil"/>
            </w:tcBorders>
            <w:shd w:val="clear" w:color="auto" w:fill="auto"/>
            <w:noWrap/>
            <w:vAlign w:val="center"/>
            <w:hideMark/>
          </w:tcPr>
          <w:p w14:paraId="5F45D367"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511" w:type="pct"/>
            <w:tcBorders>
              <w:top w:val="nil"/>
              <w:left w:val="nil"/>
              <w:bottom w:val="single" w:sz="4" w:space="0" w:color="FF9933"/>
              <w:right w:val="nil"/>
            </w:tcBorders>
            <w:shd w:val="clear" w:color="auto" w:fill="auto"/>
            <w:noWrap/>
            <w:vAlign w:val="center"/>
            <w:hideMark/>
          </w:tcPr>
          <w:p w14:paraId="14CC0E28"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c>
          <w:tcPr>
            <w:tcW w:w="660" w:type="pct"/>
            <w:tcBorders>
              <w:top w:val="nil"/>
              <w:left w:val="nil"/>
              <w:bottom w:val="single" w:sz="4" w:space="0" w:color="FF9933"/>
              <w:right w:val="nil"/>
            </w:tcBorders>
            <w:shd w:val="clear" w:color="auto" w:fill="auto"/>
            <w:noWrap/>
            <w:vAlign w:val="center"/>
            <w:hideMark/>
          </w:tcPr>
          <w:p w14:paraId="7347D20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30,0%</w:t>
            </w:r>
          </w:p>
        </w:tc>
        <w:tc>
          <w:tcPr>
            <w:tcW w:w="673" w:type="pct"/>
            <w:tcBorders>
              <w:top w:val="nil"/>
              <w:left w:val="nil"/>
              <w:bottom w:val="single" w:sz="4" w:space="0" w:color="FF9933"/>
              <w:right w:val="nil"/>
            </w:tcBorders>
            <w:shd w:val="clear" w:color="auto" w:fill="auto"/>
            <w:noWrap/>
            <w:vAlign w:val="center"/>
            <w:hideMark/>
          </w:tcPr>
          <w:p w14:paraId="2551F512"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54337DC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20,0%</w:t>
            </w:r>
          </w:p>
        </w:tc>
        <w:tc>
          <w:tcPr>
            <w:tcW w:w="347" w:type="pct"/>
            <w:tcBorders>
              <w:top w:val="nil"/>
              <w:left w:val="nil"/>
              <w:bottom w:val="single" w:sz="4" w:space="0" w:color="FF9933"/>
              <w:right w:val="single" w:sz="8" w:space="0" w:color="FF9900"/>
            </w:tcBorders>
            <w:shd w:val="clear" w:color="auto" w:fill="auto"/>
            <w:noWrap/>
            <w:vAlign w:val="center"/>
            <w:hideMark/>
          </w:tcPr>
          <w:p w14:paraId="566DAEC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45081332"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26949C52"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Olivicolo</w:t>
            </w:r>
          </w:p>
        </w:tc>
        <w:tc>
          <w:tcPr>
            <w:tcW w:w="732" w:type="pct"/>
            <w:tcBorders>
              <w:top w:val="nil"/>
              <w:left w:val="nil"/>
              <w:bottom w:val="single" w:sz="4" w:space="0" w:color="FF9933"/>
              <w:right w:val="nil"/>
            </w:tcBorders>
            <w:shd w:val="clear" w:color="auto" w:fill="auto"/>
            <w:noWrap/>
            <w:vAlign w:val="center"/>
            <w:hideMark/>
          </w:tcPr>
          <w:p w14:paraId="2E3DC524"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50,0%</w:t>
            </w:r>
          </w:p>
        </w:tc>
        <w:tc>
          <w:tcPr>
            <w:tcW w:w="583" w:type="pct"/>
            <w:tcBorders>
              <w:top w:val="nil"/>
              <w:left w:val="nil"/>
              <w:bottom w:val="single" w:sz="4" w:space="0" w:color="FF9933"/>
              <w:right w:val="nil"/>
            </w:tcBorders>
            <w:shd w:val="clear" w:color="auto" w:fill="auto"/>
            <w:noWrap/>
            <w:vAlign w:val="center"/>
            <w:hideMark/>
          </w:tcPr>
          <w:p w14:paraId="12C0B745"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511" w:type="pct"/>
            <w:tcBorders>
              <w:top w:val="nil"/>
              <w:left w:val="nil"/>
              <w:bottom w:val="single" w:sz="4" w:space="0" w:color="FF9933"/>
              <w:right w:val="nil"/>
            </w:tcBorders>
            <w:shd w:val="clear" w:color="auto" w:fill="auto"/>
            <w:noWrap/>
            <w:vAlign w:val="center"/>
            <w:hideMark/>
          </w:tcPr>
          <w:p w14:paraId="06438698"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60" w:type="pct"/>
            <w:tcBorders>
              <w:top w:val="nil"/>
              <w:left w:val="nil"/>
              <w:bottom w:val="single" w:sz="4" w:space="0" w:color="FF9933"/>
              <w:right w:val="nil"/>
            </w:tcBorders>
            <w:shd w:val="clear" w:color="auto" w:fill="auto"/>
            <w:noWrap/>
            <w:vAlign w:val="center"/>
            <w:hideMark/>
          </w:tcPr>
          <w:p w14:paraId="678F355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73" w:type="pct"/>
            <w:tcBorders>
              <w:top w:val="nil"/>
              <w:left w:val="nil"/>
              <w:bottom w:val="single" w:sz="4" w:space="0" w:color="FF9933"/>
              <w:right w:val="nil"/>
            </w:tcBorders>
            <w:shd w:val="clear" w:color="auto" w:fill="auto"/>
            <w:noWrap/>
            <w:vAlign w:val="center"/>
            <w:hideMark/>
          </w:tcPr>
          <w:p w14:paraId="7BFED07A"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476" w:type="pct"/>
            <w:tcBorders>
              <w:top w:val="nil"/>
              <w:left w:val="nil"/>
              <w:bottom w:val="single" w:sz="4" w:space="0" w:color="FF9933"/>
              <w:right w:val="nil"/>
            </w:tcBorders>
            <w:shd w:val="clear" w:color="auto" w:fill="auto"/>
            <w:noWrap/>
            <w:vAlign w:val="center"/>
            <w:hideMark/>
          </w:tcPr>
          <w:p w14:paraId="7990D227"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50,0%</w:t>
            </w:r>
          </w:p>
        </w:tc>
        <w:tc>
          <w:tcPr>
            <w:tcW w:w="347" w:type="pct"/>
            <w:tcBorders>
              <w:top w:val="nil"/>
              <w:left w:val="nil"/>
              <w:bottom w:val="single" w:sz="4" w:space="0" w:color="FF9933"/>
              <w:right w:val="single" w:sz="8" w:space="0" w:color="FF9900"/>
            </w:tcBorders>
            <w:shd w:val="clear" w:color="auto" w:fill="auto"/>
            <w:noWrap/>
            <w:vAlign w:val="center"/>
            <w:hideMark/>
          </w:tcPr>
          <w:p w14:paraId="43DB097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5871C69B"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61D538A2"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Ortaggi</w:t>
            </w:r>
          </w:p>
        </w:tc>
        <w:tc>
          <w:tcPr>
            <w:tcW w:w="732" w:type="pct"/>
            <w:tcBorders>
              <w:top w:val="nil"/>
              <w:left w:val="nil"/>
              <w:bottom w:val="single" w:sz="4" w:space="0" w:color="FF9933"/>
              <w:right w:val="nil"/>
            </w:tcBorders>
            <w:shd w:val="clear" w:color="auto" w:fill="auto"/>
            <w:noWrap/>
            <w:vAlign w:val="center"/>
            <w:hideMark/>
          </w:tcPr>
          <w:p w14:paraId="4BEA8607"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38,7%</w:t>
            </w:r>
          </w:p>
        </w:tc>
        <w:tc>
          <w:tcPr>
            <w:tcW w:w="583" w:type="pct"/>
            <w:tcBorders>
              <w:top w:val="nil"/>
              <w:left w:val="nil"/>
              <w:bottom w:val="single" w:sz="4" w:space="0" w:color="FF9933"/>
              <w:right w:val="nil"/>
            </w:tcBorders>
            <w:shd w:val="clear" w:color="auto" w:fill="auto"/>
            <w:noWrap/>
            <w:vAlign w:val="center"/>
            <w:hideMark/>
          </w:tcPr>
          <w:p w14:paraId="7F2498F3"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14,2%</w:t>
            </w:r>
          </w:p>
        </w:tc>
        <w:tc>
          <w:tcPr>
            <w:tcW w:w="511" w:type="pct"/>
            <w:tcBorders>
              <w:top w:val="nil"/>
              <w:left w:val="nil"/>
              <w:bottom w:val="single" w:sz="4" w:space="0" w:color="FF9933"/>
              <w:right w:val="nil"/>
            </w:tcBorders>
            <w:shd w:val="clear" w:color="auto" w:fill="auto"/>
            <w:noWrap/>
            <w:vAlign w:val="center"/>
            <w:hideMark/>
          </w:tcPr>
          <w:p w14:paraId="3A0C9D63"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0,9%</w:t>
            </w:r>
          </w:p>
        </w:tc>
        <w:tc>
          <w:tcPr>
            <w:tcW w:w="660" w:type="pct"/>
            <w:tcBorders>
              <w:top w:val="nil"/>
              <w:left w:val="nil"/>
              <w:bottom w:val="single" w:sz="4" w:space="0" w:color="FF9933"/>
              <w:right w:val="nil"/>
            </w:tcBorders>
            <w:shd w:val="clear" w:color="auto" w:fill="auto"/>
            <w:noWrap/>
            <w:vAlign w:val="center"/>
            <w:hideMark/>
          </w:tcPr>
          <w:p w14:paraId="10FEA33A"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25,5%</w:t>
            </w:r>
          </w:p>
        </w:tc>
        <w:tc>
          <w:tcPr>
            <w:tcW w:w="673" w:type="pct"/>
            <w:tcBorders>
              <w:top w:val="nil"/>
              <w:left w:val="nil"/>
              <w:bottom w:val="single" w:sz="4" w:space="0" w:color="FF9933"/>
              <w:right w:val="nil"/>
            </w:tcBorders>
            <w:shd w:val="clear" w:color="auto" w:fill="auto"/>
            <w:noWrap/>
            <w:vAlign w:val="center"/>
            <w:hideMark/>
          </w:tcPr>
          <w:p w14:paraId="13C8ADC2"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0,9%</w:t>
            </w:r>
          </w:p>
        </w:tc>
        <w:tc>
          <w:tcPr>
            <w:tcW w:w="476" w:type="pct"/>
            <w:tcBorders>
              <w:top w:val="nil"/>
              <w:left w:val="nil"/>
              <w:bottom w:val="single" w:sz="4" w:space="0" w:color="FF9933"/>
              <w:right w:val="nil"/>
            </w:tcBorders>
            <w:shd w:val="clear" w:color="auto" w:fill="auto"/>
            <w:noWrap/>
            <w:vAlign w:val="center"/>
            <w:hideMark/>
          </w:tcPr>
          <w:p w14:paraId="14BE9C1C"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19,8%</w:t>
            </w:r>
          </w:p>
        </w:tc>
        <w:tc>
          <w:tcPr>
            <w:tcW w:w="347" w:type="pct"/>
            <w:tcBorders>
              <w:top w:val="nil"/>
              <w:left w:val="nil"/>
              <w:bottom w:val="single" w:sz="4" w:space="0" w:color="FF9933"/>
              <w:right w:val="single" w:sz="8" w:space="0" w:color="FF9900"/>
            </w:tcBorders>
            <w:shd w:val="clear" w:color="auto" w:fill="auto"/>
            <w:noWrap/>
            <w:vAlign w:val="center"/>
            <w:hideMark/>
          </w:tcPr>
          <w:p w14:paraId="6F778D39"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106C3F45" w14:textId="77777777" w:rsidTr="001C3944">
        <w:trPr>
          <w:trHeight w:val="20"/>
        </w:trPr>
        <w:tc>
          <w:tcPr>
            <w:tcW w:w="1018" w:type="pct"/>
            <w:tcBorders>
              <w:top w:val="nil"/>
              <w:left w:val="single" w:sz="8" w:space="0" w:color="FF9900"/>
              <w:bottom w:val="single" w:sz="4" w:space="0" w:color="FF9933"/>
              <w:right w:val="nil"/>
            </w:tcBorders>
            <w:shd w:val="clear" w:color="auto" w:fill="auto"/>
            <w:noWrap/>
            <w:vAlign w:val="center"/>
            <w:hideMark/>
          </w:tcPr>
          <w:p w14:paraId="1FDD0EBD" w14:textId="77777777" w:rsidR="00AF7033" w:rsidRPr="00C07DBB" w:rsidRDefault="00AF7033"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Uva da vino</w:t>
            </w:r>
          </w:p>
        </w:tc>
        <w:tc>
          <w:tcPr>
            <w:tcW w:w="732" w:type="pct"/>
            <w:tcBorders>
              <w:top w:val="nil"/>
              <w:left w:val="nil"/>
              <w:bottom w:val="single" w:sz="4" w:space="0" w:color="FF9933"/>
              <w:right w:val="nil"/>
            </w:tcBorders>
            <w:shd w:val="clear" w:color="auto" w:fill="auto"/>
            <w:noWrap/>
            <w:vAlign w:val="center"/>
            <w:hideMark/>
          </w:tcPr>
          <w:p w14:paraId="7E8B27BF"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33,6%</w:t>
            </w:r>
          </w:p>
        </w:tc>
        <w:tc>
          <w:tcPr>
            <w:tcW w:w="583" w:type="pct"/>
            <w:tcBorders>
              <w:top w:val="nil"/>
              <w:left w:val="nil"/>
              <w:bottom w:val="single" w:sz="4" w:space="0" w:color="FF9933"/>
              <w:right w:val="nil"/>
            </w:tcBorders>
            <w:shd w:val="clear" w:color="auto" w:fill="auto"/>
            <w:noWrap/>
            <w:vAlign w:val="center"/>
            <w:hideMark/>
          </w:tcPr>
          <w:p w14:paraId="3B80C857"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8,8%</w:t>
            </w:r>
          </w:p>
        </w:tc>
        <w:tc>
          <w:tcPr>
            <w:tcW w:w="511" w:type="pct"/>
            <w:tcBorders>
              <w:top w:val="nil"/>
              <w:left w:val="nil"/>
              <w:bottom w:val="single" w:sz="4" w:space="0" w:color="FF9933"/>
              <w:right w:val="nil"/>
            </w:tcBorders>
            <w:shd w:val="clear" w:color="auto" w:fill="auto"/>
            <w:noWrap/>
            <w:vAlign w:val="center"/>
            <w:hideMark/>
          </w:tcPr>
          <w:p w14:paraId="5692987B"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3,2%</w:t>
            </w:r>
          </w:p>
        </w:tc>
        <w:tc>
          <w:tcPr>
            <w:tcW w:w="660" w:type="pct"/>
            <w:tcBorders>
              <w:top w:val="nil"/>
              <w:left w:val="nil"/>
              <w:bottom w:val="single" w:sz="4" w:space="0" w:color="FF9933"/>
              <w:right w:val="nil"/>
            </w:tcBorders>
            <w:shd w:val="clear" w:color="auto" w:fill="auto"/>
            <w:noWrap/>
            <w:vAlign w:val="center"/>
            <w:hideMark/>
          </w:tcPr>
          <w:p w14:paraId="50F08F95"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30,4%</w:t>
            </w:r>
          </w:p>
        </w:tc>
        <w:tc>
          <w:tcPr>
            <w:tcW w:w="673" w:type="pct"/>
            <w:tcBorders>
              <w:top w:val="nil"/>
              <w:left w:val="nil"/>
              <w:bottom w:val="single" w:sz="4" w:space="0" w:color="FF9933"/>
              <w:right w:val="nil"/>
            </w:tcBorders>
            <w:shd w:val="clear" w:color="auto" w:fill="auto"/>
            <w:noWrap/>
            <w:vAlign w:val="center"/>
            <w:hideMark/>
          </w:tcPr>
          <w:p w14:paraId="37C12C5C"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1,6%</w:t>
            </w:r>
          </w:p>
        </w:tc>
        <w:tc>
          <w:tcPr>
            <w:tcW w:w="476" w:type="pct"/>
            <w:tcBorders>
              <w:top w:val="nil"/>
              <w:left w:val="nil"/>
              <w:bottom w:val="single" w:sz="4" w:space="0" w:color="FF9933"/>
              <w:right w:val="nil"/>
            </w:tcBorders>
            <w:shd w:val="clear" w:color="auto" w:fill="auto"/>
            <w:noWrap/>
            <w:vAlign w:val="center"/>
            <w:hideMark/>
          </w:tcPr>
          <w:p w14:paraId="08CF881D"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22,4%</w:t>
            </w:r>
          </w:p>
        </w:tc>
        <w:tc>
          <w:tcPr>
            <w:tcW w:w="347" w:type="pct"/>
            <w:tcBorders>
              <w:top w:val="nil"/>
              <w:left w:val="nil"/>
              <w:bottom w:val="single" w:sz="4" w:space="0" w:color="FF9933"/>
              <w:right w:val="single" w:sz="8" w:space="0" w:color="FF9900"/>
            </w:tcBorders>
            <w:shd w:val="clear" w:color="auto" w:fill="auto"/>
            <w:noWrap/>
            <w:vAlign w:val="center"/>
            <w:hideMark/>
          </w:tcPr>
          <w:p w14:paraId="1CA566FA" w14:textId="77777777" w:rsidR="00AF7033" w:rsidRPr="00C07DBB" w:rsidRDefault="00AF7033" w:rsidP="001C3944">
            <w:pPr>
              <w:spacing w:after="0" w:line="276" w:lineRule="auto"/>
              <w:jc w:val="right"/>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AF7033" w:rsidRPr="00C07DBB" w14:paraId="0B803A00" w14:textId="77777777" w:rsidTr="001C3944">
        <w:trPr>
          <w:trHeight w:val="20"/>
        </w:trPr>
        <w:tc>
          <w:tcPr>
            <w:tcW w:w="1018" w:type="pct"/>
            <w:tcBorders>
              <w:top w:val="nil"/>
              <w:left w:val="single" w:sz="8" w:space="0" w:color="FF9900"/>
              <w:bottom w:val="single" w:sz="8" w:space="0" w:color="FF9900"/>
              <w:right w:val="nil"/>
            </w:tcBorders>
            <w:shd w:val="clear" w:color="auto" w:fill="auto"/>
            <w:noWrap/>
            <w:vAlign w:val="center"/>
            <w:hideMark/>
          </w:tcPr>
          <w:p w14:paraId="23C3E142" w14:textId="77777777" w:rsidR="00AF7033" w:rsidRPr="00C07DBB" w:rsidRDefault="00AF7033"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Totale </w:t>
            </w:r>
          </w:p>
        </w:tc>
        <w:tc>
          <w:tcPr>
            <w:tcW w:w="732" w:type="pct"/>
            <w:tcBorders>
              <w:top w:val="nil"/>
              <w:left w:val="nil"/>
              <w:bottom w:val="single" w:sz="8" w:space="0" w:color="FF9900"/>
              <w:right w:val="nil"/>
            </w:tcBorders>
            <w:shd w:val="clear" w:color="auto" w:fill="auto"/>
            <w:noWrap/>
            <w:vAlign w:val="center"/>
            <w:hideMark/>
          </w:tcPr>
          <w:p w14:paraId="2CA55461"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37,5%</w:t>
            </w:r>
          </w:p>
        </w:tc>
        <w:tc>
          <w:tcPr>
            <w:tcW w:w="583" w:type="pct"/>
            <w:tcBorders>
              <w:top w:val="nil"/>
              <w:left w:val="nil"/>
              <w:bottom w:val="single" w:sz="8" w:space="0" w:color="FF9900"/>
              <w:right w:val="nil"/>
            </w:tcBorders>
            <w:shd w:val="clear" w:color="auto" w:fill="auto"/>
            <w:noWrap/>
            <w:vAlign w:val="center"/>
            <w:hideMark/>
          </w:tcPr>
          <w:p w14:paraId="5DA2D7F1"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17,5%</w:t>
            </w:r>
          </w:p>
        </w:tc>
        <w:tc>
          <w:tcPr>
            <w:tcW w:w="511" w:type="pct"/>
            <w:tcBorders>
              <w:top w:val="nil"/>
              <w:left w:val="nil"/>
              <w:bottom w:val="single" w:sz="8" w:space="0" w:color="FF9900"/>
              <w:right w:val="nil"/>
            </w:tcBorders>
            <w:shd w:val="clear" w:color="auto" w:fill="auto"/>
            <w:noWrap/>
            <w:vAlign w:val="center"/>
            <w:hideMark/>
          </w:tcPr>
          <w:p w14:paraId="4B431610"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1,7%</w:t>
            </w:r>
          </w:p>
        </w:tc>
        <w:tc>
          <w:tcPr>
            <w:tcW w:w="660" w:type="pct"/>
            <w:tcBorders>
              <w:top w:val="nil"/>
              <w:left w:val="nil"/>
              <w:bottom w:val="single" w:sz="8" w:space="0" w:color="FF9900"/>
              <w:right w:val="nil"/>
            </w:tcBorders>
            <w:shd w:val="clear" w:color="auto" w:fill="auto"/>
            <w:noWrap/>
            <w:vAlign w:val="center"/>
            <w:hideMark/>
          </w:tcPr>
          <w:p w14:paraId="67B231A9"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21,7%</w:t>
            </w:r>
          </w:p>
        </w:tc>
        <w:tc>
          <w:tcPr>
            <w:tcW w:w="673" w:type="pct"/>
            <w:tcBorders>
              <w:top w:val="nil"/>
              <w:left w:val="nil"/>
              <w:bottom w:val="single" w:sz="8" w:space="0" w:color="FF9900"/>
              <w:right w:val="nil"/>
            </w:tcBorders>
            <w:shd w:val="clear" w:color="auto" w:fill="auto"/>
            <w:noWrap/>
            <w:vAlign w:val="center"/>
            <w:hideMark/>
          </w:tcPr>
          <w:p w14:paraId="3A281608"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1,5%</w:t>
            </w:r>
          </w:p>
        </w:tc>
        <w:tc>
          <w:tcPr>
            <w:tcW w:w="476" w:type="pct"/>
            <w:tcBorders>
              <w:top w:val="nil"/>
              <w:left w:val="nil"/>
              <w:bottom w:val="single" w:sz="8" w:space="0" w:color="FF9900"/>
              <w:right w:val="nil"/>
            </w:tcBorders>
            <w:shd w:val="clear" w:color="auto" w:fill="auto"/>
            <w:noWrap/>
            <w:vAlign w:val="center"/>
            <w:hideMark/>
          </w:tcPr>
          <w:p w14:paraId="2EE2117D"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20,1%</w:t>
            </w:r>
          </w:p>
        </w:tc>
        <w:tc>
          <w:tcPr>
            <w:tcW w:w="347" w:type="pct"/>
            <w:tcBorders>
              <w:top w:val="nil"/>
              <w:left w:val="nil"/>
              <w:bottom w:val="single" w:sz="8" w:space="0" w:color="FF9900"/>
              <w:right w:val="single" w:sz="8" w:space="0" w:color="FF9900"/>
            </w:tcBorders>
            <w:shd w:val="clear" w:color="auto" w:fill="auto"/>
            <w:noWrap/>
            <w:vAlign w:val="center"/>
            <w:hideMark/>
          </w:tcPr>
          <w:p w14:paraId="31C5C76C" w14:textId="77777777" w:rsidR="00AF7033" w:rsidRPr="00C07DBB" w:rsidRDefault="00AF7033" w:rsidP="001C3944">
            <w:pPr>
              <w:spacing w:after="0" w:line="276" w:lineRule="auto"/>
              <w:jc w:val="right"/>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100%</w:t>
            </w:r>
          </w:p>
        </w:tc>
      </w:tr>
    </w:tbl>
    <w:p w14:paraId="38A5C2CE" w14:textId="77777777" w:rsidR="00AF7033" w:rsidRPr="00AF7033" w:rsidRDefault="00AF7033" w:rsidP="00BC5327">
      <w:pPr>
        <w:pStyle w:val="Paragrafoelenco"/>
        <w:tabs>
          <w:tab w:val="left" w:pos="1005"/>
        </w:tabs>
        <w:autoSpaceDE w:val="0"/>
        <w:autoSpaceDN w:val="0"/>
        <w:adjustRightInd w:val="0"/>
        <w:spacing w:line="276" w:lineRule="auto"/>
        <w:ind w:left="0"/>
        <w:jc w:val="left"/>
        <w:rPr>
          <w:rFonts w:asciiTheme="majorHAnsi" w:hAnsiTheme="majorHAnsi" w:cstheme="majorHAnsi"/>
          <w:color w:val="000000"/>
        </w:rPr>
      </w:pPr>
    </w:p>
    <w:p w14:paraId="0549B16A" w14:textId="38437B41" w:rsidR="00AF7033" w:rsidRPr="00BC5327" w:rsidRDefault="00AF7033" w:rsidP="00BC5327">
      <w:pPr>
        <w:pStyle w:val="Default"/>
        <w:spacing w:line="276" w:lineRule="auto"/>
        <w:rPr>
          <w:rFonts w:asciiTheme="majorHAnsi" w:hAnsiTheme="majorHAnsi" w:cstheme="majorHAnsi"/>
          <w:b/>
          <w:bCs/>
          <w:sz w:val="22"/>
          <w:szCs w:val="22"/>
        </w:rPr>
      </w:pPr>
      <w:r w:rsidRPr="00BC5327">
        <w:rPr>
          <w:rFonts w:asciiTheme="majorHAnsi" w:hAnsiTheme="majorHAnsi" w:cstheme="majorHAnsi"/>
          <w:b/>
          <w:bCs/>
          <w:sz w:val="22"/>
          <w:szCs w:val="22"/>
        </w:rPr>
        <w:t xml:space="preserve">Fig. </w:t>
      </w:r>
      <w:r w:rsidR="00BC5327" w:rsidRPr="00BC5327">
        <w:rPr>
          <w:rFonts w:asciiTheme="majorHAnsi" w:hAnsiTheme="majorHAnsi" w:cstheme="majorHAnsi"/>
          <w:b/>
          <w:bCs/>
          <w:sz w:val="22"/>
          <w:szCs w:val="22"/>
        </w:rPr>
        <w:t>2.2</w:t>
      </w:r>
      <w:r w:rsidRPr="00BC5327">
        <w:rPr>
          <w:rFonts w:asciiTheme="majorHAnsi" w:hAnsiTheme="majorHAnsi" w:cstheme="majorHAnsi"/>
          <w:b/>
          <w:bCs/>
          <w:sz w:val="22"/>
          <w:szCs w:val="22"/>
        </w:rPr>
        <w:t xml:space="preserve"> – Disponibilità a stipulare polizze ricavo nel caso in cui venissero estese ad altri prodotti</w:t>
      </w:r>
    </w:p>
    <w:p w14:paraId="7727D2CC" w14:textId="77777777" w:rsidR="00AF7033" w:rsidRPr="00323DE2" w:rsidRDefault="00AF7033" w:rsidP="00BC5327">
      <w:pPr>
        <w:pStyle w:val="Default"/>
        <w:spacing w:line="276" w:lineRule="auto"/>
        <w:rPr>
          <w:rFonts w:asciiTheme="majorHAnsi" w:hAnsiTheme="majorHAnsi" w:cstheme="majorHAnsi"/>
          <w:i/>
          <w:sz w:val="22"/>
          <w:szCs w:val="22"/>
        </w:rPr>
      </w:pPr>
      <w:r w:rsidRPr="00323DE2">
        <w:rPr>
          <w:rFonts w:asciiTheme="majorHAnsi" w:hAnsiTheme="majorHAnsi" w:cstheme="majorHAnsi"/>
          <w:noProof/>
          <w:sz w:val="22"/>
          <w:szCs w:val="22"/>
          <w:lang w:eastAsia="it-IT"/>
        </w:rPr>
        <w:drawing>
          <wp:inline distT="0" distB="0" distL="0" distR="0" wp14:anchorId="368F1E83" wp14:editId="2B9254FE">
            <wp:extent cx="5940000" cy="2340000"/>
            <wp:effectExtent l="0" t="0" r="3810" b="3175"/>
            <wp:docPr id="38" name="Gra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DE1F04" w14:textId="2C7B3955" w:rsidR="002817B7" w:rsidRDefault="002817B7" w:rsidP="002817B7">
      <w:pPr>
        <w:jc w:val="left"/>
      </w:pPr>
      <w:r>
        <w:br w:type="page"/>
      </w:r>
    </w:p>
    <w:p w14:paraId="0E533970" w14:textId="77777777" w:rsidR="002817B7" w:rsidRDefault="002817B7" w:rsidP="002817B7">
      <w:pPr>
        <w:jc w:val="left"/>
      </w:pPr>
    </w:p>
    <w:p w14:paraId="4758A4FC" w14:textId="0B203B86" w:rsidR="002817B7" w:rsidRDefault="002817B7" w:rsidP="002817B7">
      <w:pPr>
        <w:pStyle w:val="Titolo2"/>
        <w:numPr>
          <w:ilvl w:val="0"/>
          <w:numId w:val="1"/>
        </w:numPr>
      </w:pPr>
      <w:bookmarkStart w:id="6" w:name="_Toc56584458"/>
      <w:r>
        <w:t>PARTE II</w:t>
      </w:r>
      <w:r w:rsidR="00470F06">
        <w:t>I</w:t>
      </w:r>
      <w:r>
        <w:t xml:space="preserve"> – LA CONOSCENZA DEGLI STRUMENTI</w:t>
      </w:r>
      <w:bookmarkEnd w:id="6"/>
    </w:p>
    <w:p w14:paraId="0FA81714" w14:textId="3E8A2592" w:rsidR="001C3944" w:rsidRDefault="001C3944" w:rsidP="00AF7033"/>
    <w:p w14:paraId="7258E7CE" w14:textId="18093132" w:rsidR="001C3944" w:rsidRPr="002817B7" w:rsidRDefault="002817B7" w:rsidP="002817B7">
      <w:pPr>
        <w:pStyle w:val="Titolo2"/>
        <w:rPr>
          <w:color w:val="4BACC6" w:themeColor="accent5"/>
        </w:rPr>
      </w:pPr>
      <w:bookmarkStart w:id="7" w:name="_Toc56584459"/>
      <w:r>
        <w:rPr>
          <w:color w:val="4BACC6" w:themeColor="accent5"/>
        </w:rPr>
        <w:t>3.1 G</w:t>
      </w:r>
      <w:r w:rsidR="001C3944" w:rsidRPr="002817B7">
        <w:rPr>
          <w:color w:val="4BACC6" w:themeColor="accent5"/>
        </w:rPr>
        <w:t>li strumenti di gestione del rischio?</w:t>
      </w:r>
      <w:bookmarkEnd w:id="7"/>
    </w:p>
    <w:p w14:paraId="54D01A92" w14:textId="09754C7C" w:rsidR="001C3944" w:rsidRDefault="001C3944" w:rsidP="002A1691">
      <w:r>
        <w:t xml:space="preserve">Sul tema specifico delle polizze indicizzate (c.d. index </w:t>
      </w:r>
      <w:proofErr w:type="spellStart"/>
      <w:r>
        <w:t>based</w:t>
      </w:r>
      <w:proofErr w:type="spellEnd"/>
      <w:r>
        <w:t xml:space="preserve">) o parametriche, che per il calcolo dell’indennizzo fanno riferimento a un indice predeterminato, </w:t>
      </w:r>
      <w:r w:rsidRPr="00BC5327">
        <w:rPr>
          <w:highlight w:val="green"/>
        </w:rPr>
        <w:t>dall’indagine ISMEA sui “Grandi Assicurati</w:t>
      </w:r>
      <w:r>
        <w:t>” emerge che il 93% degli intervistati non conosce lo strumento, mentre un altro 4%, a cui invece risulta noto, non lo considera adeguato alle esigenze delle aziende agricole. Solo l’1% del campione, prevalentemente in Veneto ed Emilia-Romagna, afferma di aver sottoscritto una polizza index, che le norme attuali circoscrivono però ai comparti cerealicolo, foraggero e delle oleaginose (restano fuori dal perimetro l’ortofrutticolo e il vitivinicolo, il florovivaismo e le altre produzioni assicurabili), mentre un altro 2% si è detto propenso a sottoscriverle in futuro.</w:t>
      </w:r>
    </w:p>
    <w:p w14:paraId="71487C02" w14:textId="77777777" w:rsidR="002817B7" w:rsidRDefault="002817B7" w:rsidP="002A1691">
      <w:r w:rsidRPr="001C3944">
        <w:t>Quanto alle polizze ricavo, note al 38% circa delle aziende del campione, ma a più del 50% se appartenenti al comparto cerealicolo (l’unico che ad oggi può usufruire di questo strumento, che oltre alla perdita di resa prevede un indennizzo anche nel caso di una riduzione del fatturato dovuto a un calo, oltre una certa soglia, del prezzo di vendita).</w:t>
      </w:r>
    </w:p>
    <w:p w14:paraId="1AC07C59" w14:textId="77777777" w:rsidR="002817B7" w:rsidRDefault="002817B7" w:rsidP="002A1691">
      <w:r w:rsidRPr="001C3944">
        <w:t>Appare poco diffusa la conoscenza sui fondi di mutualizzazione, che non risultano noti a quasi tre quarti degli intervistati. Chi è informato sullo strumento lo ritiene utile ma prevalentemente in combinazione con una polizza tradizionale, sia che si tratti di un fondo per fitopatie, attacchi parassitari o epizoozie sia che si tratti di un IST (</w:t>
      </w:r>
      <w:proofErr w:type="spellStart"/>
      <w:r w:rsidRPr="001C3944">
        <w:t>Income</w:t>
      </w:r>
      <w:proofErr w:type="spellEnd"/>
      <w:r w:rsidRPr="001C3944">
        <w:t xml:space="preserve"> </w:t>
      </w:r>
      <w:proofErr w:type="spellStart"/>
      <w:r w:rsidRPr="001C3944">
        <w:t>stabilization</w:t>
      </w:r>
      <w:proofErr w:type="spellEnd"/>
      <w:r w:rsidRPr="001C3944">
        <w:t xml:space="preserve"> tool). La loro funzione, quindi, è considerata solo in termini complementari e non come strumento sostitutivo delle polizze assicurative. </w:t>
      </w:r>
    </w:p>
    <w:p w14:paraId="04325A57" w14:textId="77777777" w:rsidR="002817B7" w:rsidRDefault="002817B7" w:rsidP="001C3944"/>
    <w:p w14:paraId="44A73FA5" w14:textId="05A5B18B" w:rsidR="001C3944" w:rsidRPr="00BC5327" w:rsidRDefault="001C3944" w:rsidP="001C3944">
      <w:pPr>
        <w:spacing w:before="240" w:line="276" w:lineRule="auto"/>
        <w:rPr>
          <w:rFonts w:asciiTheme="majorHAnsi" w:hAnsiTheme="majorHAnsi" w:cstheme="majorHAnsi"/>
          <w:b/>
          <w:bCs/>
          <w:color w:val="000000"/>
        </w:rPr>
      </w:pPr>
      <w:r w:rsidRPr="00BC5327">
        <w:rPr>
          <w:rFonts w:asciiTheme="majorHAnsi" w:hAnsiTheme="majorHAnsi" w:cstheme="majorHAnsi"/>
          <w:b/>
          <w:bCs/>
          <w:color w:val="000000"/>
        </w:rPr>
        <w:t xml:space="preserve">Fig. </w:t>
      </w:r>
      <w:r w:rsidR="00BC5327" w:rsidRPr="00BC5327">
        <w:rPr>
          <w:rFonts w:asciiTheme="majorHAnsi" w:hAnsiTheme="majorHAnsi" w:cstheme="majorHAnsi"/>
          <w:b/>
          <w:bCs/>
          <w:color w:val="000000"/>
        </w:rPr>
        <w:t>3.1</w:t>
      </w:r>
      <w:r w:rsidRPr="00BC5327">
        <w:rPr>
          <w:rFonts w:asciiTheme="majorHAnsi" w:hAnsiTheme="majorHAnsi" w:cstheme="majorHAnsi"/>
          <w:b/>
          <w:bCs/>
          <w:color w:val="000000"/>
        </w:rPr>
        <w:t xml:space="preserve"> – Conoscenza e opinione sulle polizze index </w:t>
      </w:r>
      <w:proofErr w:type="spellStart"/>
      <w:r w:rsidRPr="00BC5327">
        <w:rPr>
          <w:rFonts w:asciiTheme="majorHAnsi" w:hAnsiTheme="majorHAnsi" w:cstheme="majorHAnsi"/>
          <w:b/>
          <w:bCs/>
          <w:color w:val="000000"/>
        </w:rPr>
        <w:t>based</w:t>
      </w:r>
      <w:proofErr w:type="spellEnd"/>
    </w:p>
    <w:p w14:paraId="5F416F70" w14:textId="77777777" w:rsidR="001C3944" w:rsidRPr="00323DE2" w:rsidRDefault="001C3944" w:rsidP="001C3944">
      <w:pPr>
        <w:pStyle w:val="Default"/>
        <w:spacing w:line="276" w:lineRule="auto"/>
        <w:jc w:val="both"/>
        <w:rPr>
          <w:rFonts w:asciiTheme="majorHAnsi" w:hAnsiTheme="majorHAnsi" w:cstheme="majorHAnsi"/>
          <w:i/>
          <w:sz w:val="22"/>
          <w:szCs w:val="22"/>
        </w:rPr>
      </w:pPr>
      <w:r w:rsidRPr="00323DE2">
        <w:rPr>
          <w:rFonts w:asciiTheme="majorHAnsi" w:hAnsiTheme="majorHAnsi" w:cstheme="majorHAnsi"/>
          <w:noProof/>
          <w:sz w:val="22"/>
          <w:szCs w:val="22"/>
          <w:lang w:eastAsia="it-IT"/>
        </w:rPr>
        <w:drawing>
          <wp:inline distT="0" distB="0" distL="0" distR="0" wp14:anchorId="7C1BFBBC" wp14:editId="58955787">
            <wp:extent cx="5939790" cy="1981200"/>
            <wp:effectExtent l="0" t="0" r="3810" b="0"/>
            <wp:docPr id="28" name="Grafico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C5CF500" w14:textId="042EB9CC" w:rsidR="001C3944" w:rsidRPr="00BC5327" w:rsidRDefault="001C3944" w:rsidP="001C3944">
      <w:pPr>
        <w:spacing w:before="240" w:line="276" w:lineRule="auto"/>
        <w:rPr>
          <w:rFonts w:asciiTheme="majorHAnsi" w:hAnsiTheme="majorHAnsi" w:cstheme="majorHAnsi"/>
          <w:b/>
          <w:bCs/>
          <w:color w:val="000000"/>
        </w:rPr>
      </w:pPr>
      <w:r w:rsidRPr="00BC5327">
        <w:rPr>
          <w:rFonts w:asciiTheme="majorHAnsi" w:hAnsiTheme="majorHAnsi" w:cstheme="majorHAnsi"/>
          <w:b/>
          <w:bCs/>
          <w:color w:val="000000"/>
        </w:rPr>
        <w:t>Tab. 3</w:t>
      </w:r>
      <w:r w:rsidR="00BC5327" w:rsidRPr="00BC5327">
        <w:rPr>
          <w:rFonts w:asciiTheme="majorHAnsi" w:hAnsiTheme="majorHAnsi" w:cstheme="majorHAnsi"/>
          <w:b/>
          <w:bCs/>
          <w:color w:val="000000"/>
        </w:rPr>
        <w:t>.1</w:t>
      </w:r>
      <w:r w:rsidRPr="00BC5327">
        <w:rPr>
          <w:rFonts w:asciiTheme="majorHAnsi" w:hAnsiTheme="majorHAnsi" w:cstheme="majorHAnsi"/>
          <w:b/>
          <w:bCs/>
          <w:color w:val="000000"/>
        </w:rPr>
        <w:t xml:space="preserve"> </w:t>
      </w:r>
      <w:proofErr w:type="gramStart"/>
      <w:r w:rsidRPr="00BC5327">
        <w:rPr>
          <w:rFonts w:asciiTheme="majorHAnsi" w:hAnsiTheme="majorHAnsi" w:cstheme="majorHAnsi"/>
          <w:b/>
          <w:bCs/>
          <w:color w:val="000000"/>
        </w:rPr>
        <w:t>–  Conoscenza</w:t>
      </w:r>
      <w:proofErr w:type="gramEnd"/>
      <w:r w:rsidRPr="00BC5327">
        <w:rPr>
          <w:rFonts w:asciiTheme="majorHAnsi" w:hAnsiTheme="majorHAnsi" w:cstheme="majorHAnsi"/>
          <w:b/>
          <w:bCs/>
          <w:color w:val="000000"/>
        </w:rPr>
        <w:t xml:space="preserve"> e opinione sulle polizze index </w:t>
      </w:r>
      <w:proofErr w:type="spellStart"/>
      <w:r w:rsidRPr="00BC5327">
        <w:rPr>
          <w:rFonts w:asciiTheme="majorHAnsi" w:hAnsiTheme="majorHAnsi" w:cstheme="majorHAnsi"/>
          <w:b/>
          <w:bCs/>
          <w:color w:val="000000"/>
        </w:rPr>
        <w:t>based</w:t>
      </w:r>
      <w:proofErr w:type="spellEnd"/>
      <w:r w:rsidRPr="00BC5327">
        <w:rPr>
          <w:rFonts w:asciiTheme="majorHAnsi" w:hAnsiTheme="majorHAnsi" w:cstheme="majorHAnsi"/>
          <w:b/>
          <w:bCs/>
          <w:color w:val="000000"/>
        </w:rPr>
        <w:t>, per comparto</w:t>
      </w:r>
    </w:p>
    <w:tbl>
      <w:tblPr>
        <w:tblW w:w="5000" w:type="pct"/>
        <w:tblCellMar>
          <w:left w:w="70" w:type="dxa"/>
          <w:right w:w="70" w:type="dxa"/>
        </w:tblCellMar>
        <w:tblLook w:val="04A0" w:firstRow="1" w:lastRow="0" w:firstColumn="1" w:lastColumn="0" w:noHBand="0" w:noVBand="1"/>
      </w:tblPr>
      <w:tblGrid>
        <w:gridCol w:w="2752"/>
        <w:gridCol w:w="1835"/>
        <w:gridCol w:w="1729"/>
        <w:gridCol w:w="2206"/>
        <w:gridCol w:w="1096"/>
      </w:tblGrid>
      <w:tr w:rsidR="001C3944" w:rsidRPr="00C07DBB" w14:paraId="2F012DB1" w14:textId="77777777" w:rsidTr="001C3944">
        <w:trPr>
          <w:trHeight w:val="20"/>
        </w:trPr>
        <w:tc>
          <w:tcPr>
            <w:tcW w:w="1430" w:type="pct"/>
            <w:vMerge w:val="restart"/>
            <w:tcBorders>
              <w:top w:val="single" w:sz="8" w:space="0" w:color="FF9900"/>
              <w:left w:val="single" w:sz="8" w:space="0" w:color="FF9900"/>
              <w:bottom w:val="single" w:sz="8" w:space="0" w:color="FF9900"/>
              <w:right w:val="single" w:sz="8" w:space="0" w:color="FF9900"/>
            </w:tcBorders>
            <w:shd w:val="clear" w:color="000000" w:fill="FF9933"/>
            <w:vAlign w:val="center"/>
            <w:hideMark/>
          </w:tcPr>
          <w:p w14:paraId="452FEE9F"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Comparto</w:t>
            </w:r>
          </w:p>
        </w:tc>
        <w:tc>
          <w:tcPr>
            <w:tcW w:w="3570" w:type="pct"/>
            <w:gridSpan w:val="4"/>
            <w:tcBorders>
              <w:top w:val="single" w:sz="8" w:space="0" w:color="FF9900"/>
              <w:left w:val="nil"/>
              <w:bottom w:val="single" w:sz="8" w:space="0" w:color="FF9900"/>
              <w:right w:val="single" w:sz="8" w:space="0" w:color="FF9900"/>
            </w:tcBorders>
            <w:shd w:val="clear" w:color="000000" w:fill="FF9933"/>
            <w:vAlign w:val="center"/>
            <w:hideMark/>
          </w:tcPr>
          <w:p w14:paraId="5AE219B5"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 xml:space="preserve">Conosce le polizze index </w:t>
            </w:r>
            <w:proofErr w:type="spellStart"/>
            <w:r w:rsidRPr="00C07DBB">
              <w:rPr>
                <w:rFonts w:asciiTheme="majorHAnsi" w:eastAsia="Times New Roman" w:hAnsiTheme="majorHAnsi" w:cstheme="majorHAnsi"/>
                <w:b/>
                <w:bCs/>
                <w:color w:val="000000"/>
                <w:sz w:val="20"/>
                <w:szCs w:val="20"/>
                <w:lang w:eastAsia="it-IT"/>
              </w:rPr>
              <w:t>based</w:t>
            </w:r>
            <w:proofErr w:type="spellEnd"/>
            <w:r w:rsidRPr="00C07DBB">
              <w:rPr>
                <w:rFonts w:asciiTheme="majorHAnsi" w:eastAsia="Times New Roman" w:hAnsiTheme="majorHAnsi" w:cstheme="majorHAnsi"/>
                <w:b/>
                <w:bCs/>
                <w:color w:val="000000"/>
                <w:sz w:val="20"/>
                <w:szCs w:val="20"/>
                <w:lang w:eastAsia="it-IT"/>
              </w:rPr>
              <w:t>? - %</w:t>
            </w:r>
          </w:p>
        </w:tc>
      </w:tr>
      <w:tr w:rsidR="001C3944" w:rsidRPr="00C07DBB" w14:paraId="5A647530" w14:textId="77777777" w:rsidTr="001C3944">
        <w:trPr>
          <w:trHeight w:val="20"/>
        </w:trPr>
        <w:tc>
          <w:tcPr>
            <w:tcW w:w="1430" w:type="pct"/>
            <w:vMerge/>
            <w:tcBorders>
              <w:top w:val="single" w:sz="8" w:space="0" w:color="FF9900"/>
              <w:left w:val="single" w:sz="8" w:space="0" w:color="FF9900"/>
              <w:bottom w:val="single" w:sz="8" w:space="0" w:color="FF9900"/>
              <w:right w:val="single" w:sz="8" w:space="0" w:color="FF9900"/>
            </w:tcBorders>
            <w:vAlign w:val="center"/>
            <w:hideMark/>
          </w:tcPr>
          <w:p w14:paraId="5B429938"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p>
        </w:tc>
        <w:tc>
          <w:tcPr>
            <w:tcW w:w="954" w:type="pct"/>
            <w:tcBorders>
              <w:top w:val="nil"/>
              <w:left w:val="single" w:sz="8" w:space="0" w:color="FF9933"/>
              <w:bottom w:val="single" w:sz="8" w:space="0" w:color="FF9900"/>
              <w:right w:val="single" w:sz="8" w:space="0" w:color="FF9900"/>
            </w:tcBorders>
            <w:shd w:val="clear" w:color="000000" w:fill="FF9933"/>
            <w:vAlign w:val="center"/>
            <w:hideMark/>
          </w:tcPr>
          <w:p w14:paraId="24FCE2D8"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Sì, già le sottoscrivo</w:t>
            </w:r>
          </w:p>
        </w:tc>
        <w:tc>
          <w:tcPr>
            <w:tcW w:w="899" w:type="pct"/>
            <w:tcBorders>
              <w:top w:val="nil"/>
              <w:left w:val="single" w:sz="8" w:space="0" w:color="FF9933"/>
              <w:bottom w:val="single" w:sz="8" w:space="0" w:color="FF9900"/>
              <w:right w:val="single" w:sz="8" w:space="0" w:color="FF9900"/>
            </w:tcBorders>
            <w:shd w:val="clear" w:color="000000" w:fill="FF9933"/>
            <w:vAlign w:val="center"/>
            <w:hideMark/>
          </w:tcPr>
          <w:p w14:paraId="149748B8"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Sì, ma non le ritengo adeguate</w:t>
            </w:r>
          </w:p>
        </w:tc>
        <w:tc>
          <w:tcPr>
            <w:tcW w:w="1147" w:type="pct"/>
            <w:tcBorders>
              <w:top w:val="nil"/>
              <w:left w:val="single" w:sz="8" w:space="0" w:color="FF9933"/>
              <w:bottom w:val="single" w:sz="8" w:space="0" w:color="FF9900"/>
              <w:right w:val="single" w:sz="8" w:space="0" w:color="FF9900"/>
            </w:tcBorders>
            <w:shd w:val="clear" w:color="000000" w:fill="FF9933"/>
            <w:vAlign w:val="center"/>
            <w:hideMark/>
          </w:tcPr>
          <w:p w14:paraId="0ACD82EE"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Sì, ne sottoscriverei in futuro</w:t>
            </w:r>
          </w:p>
        </w:tc>
        <w:tc>
          <w:tcPr>
            <w:tcW w:w="571" w:type="pct"/>
            <w:tcBorders>
              <w:top w:val="nil"/>
              <w:left w:val="single" w:sz="8" w:space="0" w:color="FF9933"/>
              <w:bottom w:val="single" w:sz="8" w:space="0" w:color="FF9900"/>
              <w:right w:val="single" w:sz="8" w:space="0" w:color="FF9900"/>
            </w:tcBorders>
            <w:shd w:val="clear" w:color="000000" w:fill="FF9933"/>
            <w:vAlign w:val="center"/>
            <w:hideMark/>
          </w:tcPr>
          <w:p w14:paraId="09248DE6"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totale</w:t>
            </w:r>
          </w:p>
        </w:tc>
      </w:tr>
      <w:tr w:rsidR="001C3944" w:rsidRPr="00C07DBB" w14:paraId="029F3067"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5AF09AF6"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Cereali</w:t>
            </w:r>
          </w:p>
        </w:tc>
        <w:tc>
          <w:tcPr>
            <w:tcW w:w="954" w:type="pct"/>
            <w:tcBorders>
              <w:top w:val="nil"/>
              <w:left w:val="nil"/>
              <w:bottom w:val="single" w:sz="4" w:space="0" w:color="FF9933"/>
              <w:right w:val="nil"/>
            </w:tcBorders>
            <w:shd w:val="clear" w:color="auto" w:fill="auto"/>
            <w:noWrap/>
            <w:vAlign w:val="bottom"/>
            <w:hideMark/>
          </w:tcPr>
          <w:p w14:paraId="5B75B81E"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33,3%</w:t>
            </w:r>
          </w:p>
        </w:tc>
        <w:tc>
          <w:tcPr>
            <w:tcW w:w="899" w:type="pct"/>
            <w:tcBorders>
              <w:top w:val="nil"/>
              <w:left w:val="nil"/>
              <w:bottom w:val="single" w:sz="4" w:space="0" w:color="FF9933"/>
              <w:right w:val="nil"/>
            </w:tcBorders>
            <w:shd w:val="clear" w:color="auto" w:fill="auto"/>
            <w:noWrap/>
            <w:vAlign w:val="bottom"/>
            <w:hideMark/>
          </w:tcPr>
          <w:p w14:paraId="4E252E30"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33,3%</w:t>
            </w:r>
          </w:p>
        </w:tc>
        <w:tc>
          <w:tcPr>
            <w:tcW w:w="1147" w:type="pct"/>
            <w:tcBorders>
              <w:top w:val="nil"/>
              <w:left w:val="nil"/>
              <w:bottom w:val="single" w:sz="4" w:space="0" w:color="FF9933"/>
              <w:right w:val="nil"/>
            </w:tcBorders>
            <w:shd w:val="clear" w:color="auto" w:fill="auto"/>
            <w:noWrap/>
            <w:vAlign w:val="bottom"/>
            <w:hideMark/>
          </w:tcPr>
          <w:p w14:paraId="0369D8BC"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33,3%</w:t>
            </w:r>
          </w:p>
        </w:tc>
        <w:tc>
          <w:tcPr>
            <w:tcW w:w="571" w:type="pct"/>
            <w:tcBorders>
              <w:top w:val="nil"/>
              <w:left w:val="nil"/>
              <w:bottom w:val="single" w:sz="4" w:space="0" w:color="FF9933"/>
              <w:right w:val="single" w:sz="8" w:space="0" w:color="FF9900"/>
            </w:tcBorders>
            <w:shd w:val="clear" w:color="auto" w:fill="auto"/>
            <w:noWrap/>
            <w:vAlign w:val="bottom"/>
            <w:hideMark/>
          </w:tcPr>
          <w:p w14:paraId="0EAC49FD"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57695F0C"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30108974"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Colture da seme</w:t>
            </w:r>
          </w:p>
        </w:tc>
        <w:tc>
          <w:tcPr>
            <w:tcW w:w="954" w:type="pct"/>
            <w:tcBorders>
              <w:top w:val="nil"/>
              <w:left w:val="nil"/>
              <w:bottom w:val="single" w:sz="4" w:space="0" w:color="FF9933"/>
              <w:right w:val="nil"/>
            </w:tcBorders>
            <w:shd w:val="clear" w:color="auto" w:fill="auto"/>
            <w:noWrap/>
            <w:vAlign w:val="bottom"/>
            <w:hideMark/>
          </w:tcPr>
          <w:p w14:paraId="0575FD2A"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899" w:type="pct"/>
            <w:tcBorders>
              <w:top w:val="nil"/>
              <w:left w:val="nil"/>
              <w:bottom w:val="single" w:sz="4" w:space="0" w:color="FF9933"/>
              <w:right w:val="nil"/>
            </w:tcBorders>
            <w:shd w:val="clear" w:color="auto" w:fill="auto"/>
            <w:noWrap/>
            <w:vAlign w:val="bottom"/>
            <w:hideMark/>
          </w:tcPr>
          <w:p w14:paraId="1A7DEC75"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 </w:t>
            </w:r>
          </w:p>
        </w:tc>
        <w:tc>
          <w:tcPr>
            <w:tcW w:w="1147" w:type="pct"/>
            <w:tcBorders>
              <w:top w:val="nil"/>
              <w:left w:val="nil"/>
              <w:bottom w:val="single" w:sz="4" w:space="0" w:color="FF9933"/>
              <w:right w:val="nil"/>
            </w:tcBorders>
            <w:shd w:val="clear" w:color="auto" w:fill="auto"/>
            <w:noWrap/>
            <w:vAlign w:val="bottom"/>
            <w:hideMark/>
          </w:tcPr>
          <w:p w14:paraId="6BE500D2"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100,0%</w:t>
            </w:r>
          </w:p>
        </w:tc>
        <w:tc>
          <w:tcPr>
            <w:tcW w:w="571" w:type="pct"/>
            <w:tcBorders>
              <w:top w:val="nil"/>
              <w:left w:val="nil"/>
              <w:bottom w:val="single" w:sz="4" w:space="0" w:color="FF9933"/>
              <w:right w:val="single" w:sz="8" w:space="0" w:color="FF9900"/>
            </w:tcBorders>
            <w:shd w:val="clear" w:color="auto" w:fill="auto"/>
            <w:noWrap/>
            <w:vAlign w:val="bottom"/>
            <w:hideMark/>
          </w:tcPr>
          <w:p w14:paraId="4B5D5A98"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3870B6B2"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0070236F"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Florovivaismo</w:t>
            </w:r>
          </w:p>
        </w:tc>
        <w:tc>
          <w:tcPr>
            <w:tcW w:w="954" w:type="pct"/>
            <w:tcBorders>
              <w:top w:val="nil"/>
              <w:left w:val="nil"/>
              <w:bottom w:val="single" w:sz="4" w:space="0" w:color="FF9933"/>
              <w:right w:val="nil"/>
            </w:tcBorders>
            <w:shd w:val="clear" w:color="auto" w:fill="auto"/>
            <w:noWrap/>
            <w:vAlign w:val="bottom"/>
            <w:hideMark/>
          </w:tcPr>
          <w:p w14:paraId="690C0528"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899" w:type="pct"/>
            <w:tcBorders>
              <w:top w:val="nil"/>
              <w:left w:val="nil"/>
              <w:bottom w:val="single" w:sz="4" w:space="0" w:color="FF9933"/>
              <w:right w:val="nil"/>
            </w:tcBorders>
            <w:shd w:val="clear" w:color="auto" w:fill="auto"/>
            <w:noWrap/>
            <w:vAlign w:val="bottom"/>
            <w:hideMark/>
          </w:tcPr>
          <w:p w14:paraId="0D2EB357"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50,0%</w:t>
            </w:r>
          </w:p>
        </w:tc>
        <w:tc>
          <w:tcPr>
            <w:tcW w:w="1147" w:type="pct"/>
            <w:tcBorders>
              <w:top w:val="nil"/>
              <w:left w:val="nil"/>
              <w:bottom w:val="single" w:sz="4" w:space="0" w:color="FF9933"/>
              <w:right w:val="nil"/>
            </w:tcBorders>
            <w:shd w:val="clear" w:color="auto" w:fill="auto"/>
            <w:noWrap/>
            <w:vAlign w:val="bottom"/>
            <w:hideMark/>
          </w:tcPr>
          <w:p w14:paraId="53A2CD72"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50,0%</w:t>
            </w:r>
          </w:p>
        </w:tc>
        <w:tc>
          <w:tcPr>
            <w:tcW w:w="571" w:type="pct"/>
            <w:tcBorders>
              <w:top w:val="nil"/>
              <w:left w:val="nil"/>
              <w:bottom w:val="single" w:sz="4" w:space="0" w:color="FF9933"/>
              <w:right w:val="single" w:sz="8" w:space="0" w:color="FF9900"/>
            </w:tcBorders>
            <w:shd w:val="clear" w:color="auto" w:fill="auto"/>
            <w:noWrap/>
            <w:vAlign w:val="bottom"/>
            <w:hideMark/>
          </w:tcPr>
          <w:p w14:paraId="27B07B23"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7883025B"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571DA15B"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Foraggere</w:t>
            </w:r>
          </w:p>
        </w:tc>
        <w:tc>
          <w:tcPr>
            <w:tcW w:w="954" w:type="pct"/>
            <w:tcBorders>
              <w:top w:val="nil"/>
              <w:left w:val="nil"/>
              <w:bottom w:val="single" w:sz="4" w:space="0" w:color="FF9933"/>
              <w:right w:val="nil"/>
            </w:tcBorders>
            <w:shd w:val="clear" w:color="auto" w:fill="auto"/>
            <w:noWrap/>
            <w:vAlign w:val="bottom"/>
            <w:hideMark/>
          </w:tcPr>
          <w:p w14:paraId="26C3FFF8"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33,3%</w:t>
            </w:r>
          </w:p>
        </w:tc>
        <w:tc>
          <w:tcPr>
            <w:tcW w:w="899" w:type="pct"/>
            <w:tcBorders>
              <w:top w:val="nil"/>
              <w:left w:val="nil"/>
              <w:bottom w:val="single" w:sz="4" w:space="0" w:color="FF9933"/>
              <w:right w:val="nil"/>
            </w:tcBorders>
            <w:shd w:val="clear" w:color="auto" w:fill="auto"/>
            <w:noWrap/>
            <w:vAlign w:val="bottom"/>
            <w:hideMark/>
          </w:tcPr>
          <w:p w14:paraId="483F93C0"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33,3%</w:t>
            </w:r>
          </w:p>
        </w:tc>
        <w:tc>
          <w:tcPr>
            <w:tcW w:w="1147" w:type="pct"/>
            <w:tcBorders>
              <w:top w:val="nil"/>
              <w:left w:val="nil"/>
              <w:bottom w:val="single" w:sz="4" w:space="0" w:color="FF9933"/>
              <w:right w:val="nil"/>
            </w:tcBorders>
            <w:shd w:val="clear" w:color="auto" w:fill="auto"/>
            <w:noWrap/>
            <w:vAlign w:val="bottom"/>
            <w:hideMark/>
          </w:tcPr>
          <w:p w14:paraId="4A14119A"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33,3%</w:t>
            </w:r>
          </w:p>
        </w:tc>
        <w:tc>
          <w:tcPr>
            <w:tcW w:w="571" w:type="pct"/>
            <w:tcBorders>
              <w:top w:val="nil"/>
              <w:left w:val="nil"/>
              <w:bottom w:val="single" w:sz="4" w:space="0" w:color="FF9933"/>
              <w:right w:val="single" w:sz="8" w:space="0" w:color="FF9900"/>
            </w:tcBorders>
            <w:shd w:val="clear" w:color="auto" w:fill="auto"/>
            <w:noWrap/>
            <w:vAlign w:val="bottom"/>
            <w:hideMark/>
          </w:tcPr>
          <w:p w14:paraId="7EF42D83"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01AA1D0B"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54FE625B"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Frutta fresca</w:t>
            </w:r>
          </w:p>
        </w:tc>
        <w:tc>
          <w:tcPr>
            <w:tcW w:w="954" w:type="pct"/>
            <w:tcBorders>
              <w:top w:val="nil"/>
              <w:left w:val="nil"/>
              <w:bottom w:val="single" w:sz="4" w:space="0" w:color="FF9933"/>
              <w:right w:val="nil"/>
            </w:tcBorders>
            <w:shd w:val="clear" w:color="auto" w:fill="auto"/>
            <w:noWrap/>
            <w:vAlign w:val="bottom"/>
            <w:hideMark/>
          </w:tcPr>
          <w:p w14:paraId="3E101C4B"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899" w:type="pct"/>
            <w:tcBorders>
              <w:top w:val="nil"/>
              <w:left w:val="nil"/>
              <w:bottom w:val="single" w:sz="4" w:space="0" w:color="FF9933"/>
              <w:right w:val="nil"/>
            </w:tcBorders>
            <w:shd w:val="clear" w:color="auto" w:fill="auto"/>
            <w:noWrap/>
            <w:vAlign w:val="bottom"/>
            <w:hideMark/>
          </w:tcPr>
          <w:p w14:paraId="0B1A3DEB"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75,0%</w:t>
            </w:r>
          </w:p>
        </w:tc>
        <w:tc>
          <w:tcPr>
            <w:tcW w:w="1147" w:type="pct"/>
            <w:tcBorders>
              <w:top w:val="nil"/>
              <w:left w:val="nil"/>
              <w:bottom w:val="single" w:sz="4" w:space="0" w:color="FF9933"/>
              <w:right w:val="nil"/>
            </w:tcBorders>
            <w:shd w:val="clear" w:color="auto" w:fill="auto"/>
            <w:noWrap/>
            <w:vAlign w:val="bottom"/>
            <w:hideMark/>
          </w:tcPr>
          <w:p w14:paraId="08C61D97"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25,0%</w:t>
            </w:r>
          </w:p>
        </w:tc>
        <w:tc>
          <w:tcPr>
            <w:tcW w:w="571" w:type="pct"/>
            <w:tcBorders>
              <w:top w:val="nil"/>
              <w:left w:val="nil"/>
              <w:bottom w:val="single" w:sz="4" w:space="0" w:color="FF9933"/>
              <w:right w:val="single" w:sz="8" w:space="0" w:color="FF9900"/>
            </w:tcBorders>
            <w:shd w:val="clear" w:color="auto" w:fill="auto"/>
            <w:noWrap/>
            <w:vAlign w:val="bottom"/>
            <w:hideMark/>
          </w:tcPr>
          <w:p w14:paraId="3369ECB1"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1F2E990C"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7628E132"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Frutta secca</w:t>
            </w:r>
          </w:p>
        </w:tc>
        <w:tc>
          <w:tcPr>
            <w:tcW w:w="954" w:type="pct"/>
            <w:tcBorders>
              <w:top w:val="nil"/>
              <w:left w:val="nil"/>
              <w:bottom w:val="single" w:sz="4" w:space="0" w:color="FF9933"/>
              <w:right w:val="nil"/>
            </w:tcBorders>
            <w:shd w:val="clear" w:color="auto" w:fill="auto"/>
            <w:noWrap/>
            <w:vAlign w:val="bottom"/>
            <w:hideMark/>
          </w:tcPr>
          <w:p w14:paraId="19542FD5"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899" w:type="pct"/>
            <w:tcBorders>
              <w:top w:val="nil"/>
              <w:left w:val="nil"/>
              <w:bottom w:val="single" w:sz="4" w:space="0" w:color="FF9933"/>
              <w:right w:val="nil"/>
            </w:tcBorders>
            <w:shd w:val="clear" w:color="auto" w:fill="auto"/>
            <w:noWrap/>
            <w:vAlign w:val="bottom"/>
            <w:hideMark/>
          </w:tcPr>
          <w:p w14:paraId="4DBBB65A"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100,0%</w:t>
            </w:r>
          </w:p>
        </w:tc>
        <w:tc>
          <w:tcPr>
            <w:tcW w:w="1147" w:type="pct"/>
            <w:tcBorders>
              <w:top w:val="nil"/>
              <w:left w:val="nil"/>
              <w:bottom w:val="single" w:sz="4" w:space="0" w:color="FF9933"/>
              <w:right w:val="nil"/>
            </w:tcBorders>
            <w:shd w:val="clear" w:color="auto" w:fill="auto"/>
            <w:noWrap/>
            <w:vAlign w:val="bottom"/>
            <w:hideMark/>
          </w:tcPr>
          <w:p w14:paraId="354F6879"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571" w:type="pct"/>
            <w:tcBorders>
              <w:top w:val="nil"/>
              <w:left w:val="nil"/>
              <w:bottom w:val="single" w:sz="4" w:space="0" w:color="FF9933"/>
              <w:right w:val="single" w:sz="8" w:space="0" w:color="FF9900"/>
            </w:tcBorders>
            <w:shd w:val="clear" w:color="auto" w:fill="auto"/>
            <w:noWrap/>
            <w:vAlign w:val="bottom"/>
            <w:hideMark/>
          </w:tcPr>
          <w:p w14:paraId="4267B243"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478B2122"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59B219A1"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Ortaggi</w:t>
            </w:r>
          </w:p>
        </w:tc>
        <w:tc>
          <w:tcPr>
            <w:tcW w:w="954" w:type="pct"/>
            <w:tcBorders>
              <w:top w:val="nil"/>
              <w:left w:val="nil"/>
              <w:bottom w:val="single" w:sz="4" w:space="0" w:color="FF9933"/>
              <w:right w:val="nil"/>
            </w:tcBorders>
            <w:shd w:val="clear" w:color="auto" w:fill="auto"/>
            <w:noWrap/>
            <w:vAlign w:val="bottom"/>
            <w:hideMark/>
          </w:tcPr>
          <w:p w14:paraId="208E1F24"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899" w:type="pct"/>
            <w:tcBorders>
              <w:top w:val="nil"/>
              <w:left w:val="nil"/>
              <w:bottom w:val="single" w:sz="4" w:space="0" w:color="FF9933"/>
              <w:right w:val="nil"/>
            </w:tcBorders>
            <w:shd w:val="clear" w:color="auto" w:fill="auto"/>
            <w:noWrap/>
            <w:vAlign w:val="bottom"/>
            <w:hideMark/>
          </w:tcPr>
          <w:p w14:paraId="074D5FE7"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50,0%</w:t>
            </w:r>
          </w:p>
        </w:tc>
        <w:tc>
          <w:tcPr>
            <w:tcW w:w="1147" w:type="pct"/>
            <w:tcBorders>
              <w:top w:val="nil"/>
              <w:left w:val="nil"/>
              <w:bottom w:val="single" w:sz="4" w:space="0" w:color="FF9933"/>
              <w:right w:val="nil"/>
            </w:tcBorders>
            <w:shd w:val="clear" w:color="auto" w:fill="auto"/>
            <w:noWrap/>
            <w:vAlign w:val="bottom"/>
            <w:hideMark/>
          </w:tcPr>
          <w:p w14:paraId="3E64E0C2"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50,0%</w:t>
            </w:r>
          </w:p>
        </w:tc>
        <w:tc>
          <w:tcPr>
            <w:tcW w:w="571" w:type="pct"/>
            <w:tcBorders>
              <w:top w:val="nil"/>
              <w:left w:val="nil"/>
              <w:bottom w:val="single" w:sz="4" w:space="0" w:color="FF9933"/>
              <w:right w:val="single" w:sz="8" w:space="0" w:color="FF9900"/>
            </w:tcBorders>
            <w:shd w:val="clear" w:color="auto" w:fill="auto"/>
            <w:noWrap/>
            <w:vAlign w:val="bottom"/>
            <w:hideMark/>
          </w:tcPr>
          <w:p w14:paraId="3F0F4306"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04A6AC97" w14:textId="77777777" w:rsidTr="001C3944">
        <w:trPr>
          <w:trHeight w:val="20"/>
        </w:trPr>
        <w:tc>
          <w:tcPr>
            <w:tcW w:w="1430" w:type="pct"/>
            <w:tcBorders>
              <w:top w:val="nil"/>
              <w:left w:val="single" w:sz="8" w:space="0" w:color="FF9900"/>
              <w:bottom w:val="single" w:sz="4" w:space="0" w:color="FF9933"/>
              <w:right w:val="nil"/>
            </w:tcBorders>
            <w:shd w:val="clear" w:color="auto" w:fill="auto"/>
            <w:noWrap/>
            <w:vAlign w:val="bottom"/>
            <w:hideMark/>
          </w:tcPr>
          <w:p w14:paraId="3F82FB08"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Uva da vino</w:t>
            </w:r>
          </w:p>
        </w:tc>
        <w:tc>
          <w:tcPr>
            <w:tcW w:w="954" w:type="pct"/>
            <w:tcBorders>
              <w:top w:val="nil"/>
              <w:left w:val="nil"/>
              <w:bottom w:val="single" w:sz="4" w:space="0" w:color="FF9933"/>
              <w:right w:val="nil"/>
            </w:tcBorders>
            <w:shd w:val="clear" w:color="auto" w:fill="auto"/>
            <w:noWrap/>
            <w:vAlign w:val="bottom"/>
            <w:hideMark/>
          </w:tcPr>
          <w:p w14:paraId="1EE5280B"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p>
        </w:tc>
        <w:tc>
          <w:tcPr>
            <w:tcW w:w="899" w:type="pct"/>
            <w:tcBorders>
              <w:top w:val="nil"/>
              <w:left w:val="nil"/>
              <w:bottom w:val="single" w:sz="4" w:space="0" w:color="FF9933"/>
              <w:right w:val="nil"/>
            </w:tcBorders>
            <w:shd w:val="clear" w:color="auto" w:fill="auto"/>
            <w:noWrap/>
            <w:vAlign w:val="bottom"/>
            <w:hideMark/>
          </w:tcPr>
          <w:p w14:paraId="583DE212"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83,3%</w:t>
            </w:r>
          </w:p>
        </w:tc>
        <w:tc>
          <w:tcPr>
            <w:tcW w:w="1147" w:type="pct"/>
            <w:tcBorders>
              <w:top w:val="nil"/>
              <w:left w:val="nil"/>
              <w:bottom w:val="single" w:sz="4" w:space="0" w:color="FF9933"/>
              <w:right w:val="nil"/>
            </w:tcBorders>
            <w:shd w:val="clear" w:color="auto" w:fill="auto"/>
            <w:noWrap/>
            <w:vAlign w:val="bottom"/>
            <w:hideMark/>
          </w:tcPr>
          <w:p w14:paraId="5916AF98"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16,7%</w:t>
            </w:r>
          </w:p>
        </w:tc>
        <w:tc>
          <w:tcPr>
            <w:tcW w:w="571" w:type="pct"/>
            <w:tcBorders>
              <w:top w:val="nil"/>
              <w:left w:val="nil"/>
              <w:bottom w:val="single" w:sz="4" w:space="0" w:color="FF9933"/>
              <w:right w:val="single" w:sz="8" w:space="0" w:color="FF9900"/>
            </w:tcBorders>
            <w:shd w:val="clear" w:color="auto" w:fill="auto"/>
            <w:noWrap/>
            <w:vAlign w:val="bottom"/>
            <w:hideMark/>
          </w:tcPr>
          <w:p w14:paraId="565B3901" w14:textId="77777777" w:rsidR="001C3944" w:rsidRPr="00C07DBB" w:rsidRDefault="001C3944" w:rsidP="001C3944">
            <w:pPr>
              <w:spacing w:after="0" w:line="276" w:lineRule="auto"/>
              <w:rPr>
                <w:rFonts w:asciiTheme="majorHAnsi" w:eastAsia="Times New Roman" w:hAnsiTheme="majorHAnsi" w:cstheme="majorHAnsi"/>
                <w:color w:val="000000"/>
                <w:sz w:val="20"/>
                <w:szCs w:val="20"/>
                <w:lang w:eastAsia="it-IT"/>
              </w:rPr>
            </w:pPr>
            <w:r w:rsidRPr="00C07DBB">
              <w:rPr>
                <w:rFonts w:asciiTheme="majorHAnsi" w:eastAsia="Times New Roman" w:hAnsiTheme="majorHAnsi" w:cstheme="majorHAnsi"/>
                <w:color w:val="000000"/>
                <w:sz w:val="20"/>
                <w:szCs w:val="20"/>
                <w:lang w:eastAsia="it-IT"/>
              </w:rPr>
              <w:t>100%</w:t>
            </w:r>
          </w:p>
        </w:tc>
      </w:tr>
      <w:tr w:rsidR="001C3944" w:rsidRPr="00C07DBB" w14:paraId="5D06A88F" w14:textId="77777777" w:rsidTr="001C3944">
        <w:trPr>
          <w:trHeight w:val="20"/>
        </w:trPr>
        <w:tc>
          <w:tcPr>
            <w:tcW w:w="1430" w:type="pct"/>
            <w:tcBorders>
              <w:top w:val="nil"/>
              <w:left w:val="single" w:sz="8" w:space="0" w:color="FF9900"/>
              <w:bottom w:val="single" w:sz="8" w:space="0" w:color="FF9900"/>
              <w:right w:val="nil"/>
            </w:tcBorders>
            <w:shd w:val="clear" w:color="auto" w:fill="auto"/>
            <w:noWrap/>
            <w:vAlign w:val="bottom"/>
            <w:hideMark/>
          </w:tcPr>
          <w:p w14:paraId="0937CC70"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 xml:space="preserve">Totale </w:t>
            </w:r>
          </w:p>
        </w:tc>
        <w:tc>
          <w:tcPr>
            <w:tcW w:w="954" w:type="pct"/>
            <w:tcBorders>
              <w:top w:val="nil"/>
              <w:left w:val="nil"/>
              <w:bottom w:val="single" w:sz="8" w:space="0" w:color="FF9900"/>
              <w:right w:val="nil"/>
            </w:tcBorders>
            <w:shd w:val="clear" w:color="auto" w:fill="auto"/>
            <w:noWrap/>
            <w:vAlign w:val="bottom"/>
            <w:hideMark/>
          </w:tcPr>
          <w:p w14:paraId="3CAAA547"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14,3%</w:t>
            </w:r>
          </w:p>
        </w:tc>
        <w:tc>
          <w:tcPr>
            <w:tcW w:w="899" w:type="pct"/>
            <w:tcBorders>
              <w:top w:val="nil"/>
              <w:left w:val="nil"/>
              <w:bottom w:val="single" w:sz="8" w:space="0" w:color="FF9900"/>
              <w:right w:val="nil"/>
            </w:tcBorders>
            <w:shd w:val="clear" w:color="auto" w:fill="auto"/>
            <w:noWrap/>
            <w:vAlign w:val="bottom"/>
            <w:hideMark/>
          </w:tcPr>
          <w:p w14:paraId="79935E4B"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57,1%</w:t>
            </w:r>
          </w:p>
        </w:tc>
        <w:tc>
          <w:tcPr>
            <w:tcW w:w="1147" w:type="pct"/>
            <w:tcBorders>
              <w:top w:val="nil"/>
              <w:left w:val="nil"/>
              <w:bottom w:val="single" w:sz="8" w:space="0" w:color="FF9900"/>
              <w:right w:val="nil"/>
            </w:tcBorders>
            <w:shd w:val="clear" w:color="auto" w:fill="auto"/>
            <w:noWrap/>
            <w:vAlign w:val="bottom"/>
            <w:hideMark/>
          </w:tcPr>
          <w:p w14:paraId="25956AB8"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28,6%</w:t>
            </w:r>
          </w:p>
        </w:tc>
        <w:tc>
          <w:tcPr>
            <w:tcW w:w="571" w:type="pct"/>
            <w:tcBorders>
              <w:top w:val="nil"/>
              <w:left w:val="nil"/>
              <w:bottom w:val="single" w:sz="8" w:space="0" w:color="FF9900"/>
              <w:right w:val="single" w:sz="8" w:space="0" w:color="FF9900"/>
            </w:tcBorders>
            <w:shd w:val="clear" w:color="auto" w:fill="auto"/>
            <w:noWrap/>
            <w:vAlign w:val="bottom"/>
            <w:hideMark/>
          </w:tcPr>
          <w:p w14:paraId="702BD7E7" w14:textId="77777777" w:rsidR="001C3944" w:rsidRPr="00C07DBB" w:rsidRDefault="001C3944" w:rsidP="001C3944">
            <w:pPr>
              <w:spacing w:after="0" w:line="276" w:lineRule="auto"/>
              <w:rPr>
                <w:rFonts w:asciiTheme="majorHAnsi" w:eastAsia="Times New Roman" w:hAnsiTheme="majorHAnsi" w:cstheme="majorHAnsi"/>
                <w:b/>
                <w:bCs/>
                <w:color w:val="000000"/>
                <w:sz w:val="20"/>
                <w:szCs w:val="20"/>
                <w:lang w:eastAsia="it-IT"/>
              </w:rPr>
            </w:pPr>
            <w:r w:rsidRPr="00C07DBB">
              <w:rPr>
                <w:rFonts w:asciiTheme="majorHAnsi" w:eastAsia="Times New Roman" w:hAnsiTheme="majorHAnsi" w:cstheme="majorHAnsi"/>
                <w:b/>
                <w:bCs/>
                <w:color w:val="000000"/>
                <w:sz w:val="20"/>
                <w:szCs w:val="20"/>
                <w:lang w:eastAsia="it-IT"/>
              </w:rPr>
              <w:t>100%</w:t>
            </w:r>
          </w:p>
        </w:tc>
      </w:tr>
    </w:tbl>
    <w:p w14:paraId="2B94071F" w14:textId="77777777" w:rsidR="001C3944" w:rsidRPr="00323DE2" w:rsidRDefault="001C3944" w:rsidP="001C3944">
      <w:pPr>
        <w:spacing w:before="240" w:line="276" w:lineRule="auto"/>
        <w:rPr>
          <w:rFonts w:asciiTheme="majorHAnsi" w:hAnsiTheme="majorHAnsi" w:cstheme="majorHAnsi"/>
          <w:color w:val="000000"/>
        </w:rPr>
      </w:pPr>
    </w:p>
    <w:p w14:paraId="68E1EFF3" w14:textId="72AAD642" w:rsidR="001C3944" w:rsidRPr="00BC5327" w:rsidRDefault="001C3944" w:rsidP="001C3944">
      <w:pPr>
        <w:spacing w:before="240" w:line="276" w:lineRule="auto"/>
        <w:rPr>
          <w:rFonts w:asciiTheme="majorHAnsi" w:hAnsiTheme="majorHAnsi" w:cstheme="majorHAnsi"/>
          <w:b/>
          <w:bCs/>
          <w:color w:val="000000"/>
        </w:rPr>
      </w:pPr>
      <w:r w:rsidRPr="00BC5327">
        <w:rPr>
          <w:rFonts w:asciiTheme="majorHAnsi" w:hAnsiTheme="majorHAnsi" w:cstheme="majorHAnsi"/>
          <w:b/>
          <w:bCs/>
          <w:color w:val="000000"/>
        </w:rPr>
        <w:t>Tab. 3</w:t>
      </w:r>
      <w:r w:rsidR="00BC5327" w:rsidRPr="00BC5327">
        <w:rPr>
          <w:rFonts w:asciiTheme="majorHAnsi" w:hAnsiTheme="majorHAnsi" w:cstheme="majorHAnsi"/>
          <w:b/>
          <w:bCs/>
          <w:color w:val="000000"/>
        </w:rPr>
        <w:t>.2</w:t>
      </w:r>
      <w:r w:rsidRPr="00BC5327">
        <w:rPr>
          <w:rFonts w:asciiTheme="majorHAnsi" w:hAnsiTheme="majorHAnsi" w:cstheme="majorHAnsi"/>
          <w:b/>
          <w:bCs/>
          <w:color w:val="000000"/>
        </w:rPr>
        <w:t xml:space="preserve"> </w:t>
      </w:r>
      <w:proofErr w:type="gramStart"/>
      <w:r w:rsidRPr="00BC5327">
        <w:rPr>
          <w:rFonts w:asciiTheme="majorHAnsi" w:hAnsiTheme="majorHAnsi" w:cstheme="majorHAnsi"/>
          <w:b/>
          <w:bCs/>
          <w:color w:val="000000"/>
        </w:rPr>
        <w:t>–  Conoscenza</w:t>
      </w:r>
      <w:proofErr w:type="gramEnd"/>
      <w:r w:rsidRPr="00BC5327">
        <w:rPr>
          <w:rFonts w:asciiTheme="majorHAnsi" w:hAnsiTheme="majorHAnsi" w:cstheme="majorHAnsi"/>
          <w:b/>
          <w:bCs/>
          <w:color w:val="000000"/>
        </w:rPr>
        <w:t xml:space="preserve"> e opinione sulle polizze index </w:t>
      </w:r>
      <w:proofErr w:type="spellStart"/>
      <w:r w:rsidRPr="00BC5327">
        <w:rPr>
          <w:rFonts w:asciiTheme="majorHAnsi" w:hAnsiTheme="majorHAnsi" w:cstheme="majorHAnsi"/>
          <w:b/>
          <w:bCs/>
          <w:color w:val="000000"/>
        </w:rPr>
        <w:t>based</w:t>
      </w:r>
      <w:proofErr w:type="spellEnd"/>
      <w:r w:rsidRPr="00BC5327">
        <w:rPr>
          <w:rFonts w:asciiTheme="majorHAnsi" w:hAnsiTheme="majorHAnsi" w:cstheme="majorHAnsi"/>
          <w:b/>
          <w:bCs/>
          <w:color w:val="000000"/>
        </w:rPr>
        <w:t>, per regione</w:t>
      </w:r>
    </w:p>
    <w:tbl>
      <w:tblPr>
        <w:tblW w:w="5000" w:type="pct"/>
        <w:tblCellMar>
          <w:left w:w="70" w:type="dxa"/>
          <w:right w:w="70" w:type="dxa"/>
        </w:tblCellMar>
        <w:tblLook w:val="04A0" w:firstRow="1" w:lastRow="0" w:firstColumn="1" w:lastColumn="0" w:noHBand="0" w:noVBand="1"/>
      </w:tblPr>
      <w:tblGrid>
        <w:gridCol w:w="2952"/>
        <w:gridCol w:w="1741"/>
        <w:gridCol w:w="1643"/>
        <w:gridCol w:w="2093"/>
        <w:gridCol w:w="1189"/>
      </w:tblGrid>
      <w:tr w:rsidR="001C3944" w:rsidRPr="00C07DBB" w14:paraId="06E06759" w14:textId="77777777" w:rsidTr="001C3944">
        <w:trPr>
          <w:trHeight w:val="20"/>
        </w:trPr>
        <w:tc>
          <w:tcPr>
            <w:tcW w:w="1535" w:type="pct"/>
            <w:vMerge w:val="restart"/>
            <w:tcBorders>
              <w:top w:val="single" w:sz="8" w:space="0" w:color="FF9933"/>
              <w:left w:val="single" w:sz="8" w:space="0" w:color="FF9933"/>
              <w:bottom w:val="nil"/>
              <w:right w:val="nil"/>
            </w:tcBorders>
            <w:shd w:val="clear" w:color="000000" w:fill="FF9933"/>
            <w:vAlign w:val="center"/>
            <w:hideMark/>
          </w:tcPr>
          <w:p w14:paraId="3EBF2641"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Regione</w:t>
            </w:r>
          </w:p>
        </w:tc>
        <w:tc>
          <w:tcPr>
            <w:tcW w:w="3465" w:type="pct"/>
            <w:gridSpan w:val="4"/>
            <w:tcBorders>
              <w:top w:val="single" w:sz="8" w:space="0" w:color="FF9933"/>
              <w:left w:val="nil"/>
              <w:bottom w:val="single" w:sz="8" w:space="0" w:color="FF9900"/>
              <w:right w:val="single" w:sz="8" w:space="0" w:color="FF9933"/>
            </w:tcBorders>
            <w:shd w:val="clear" w:color="000000" w:fill="FF9933"/>
            <w:vAlign w:val="center"/>
            <w:hideMark/>
          </w:tcPr>
          <w:p w14:paraId="462B5172"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Conosce le polizze index </w:t>
            </w:r>
            <w:proofErr w:type="spellStart"/>
            <w:r w:rsidRPr="00C07DBB">
              <w:rPr>
                <w:rFonts w:asciiTheme="majorHAnsi" w:eastAsia="Times New Roman" w:hAnsiTheme="majorHAnsi" w:cstheme="majorHAnsi"/>
                <w:b/>
                <w:bCs/>
                <w:color w:val="000000"/>
                <w:sz w:val="20"/>
                <w:lang w:eastAsia="it-IT"/>
              </w:rPr>
              <w:t>based</w:t>
            </w:r>
            <w:proofErr w:type="spellEnd"/>
            <w:r w:rsidRPr="00C07DBB">
              <w:rPr>
                <w:rFonts w:asciiTheme="majorHAnsi" w:eastAsia="Times New Roman" w:hAnsiTheme="majorHAnsi" w:cstheme="majorHAnsi"/>
                <w:b/>
                <w:bCs/>
                <w:color w:val="000000"/>
                <w:sz w:val="20"/>
                <w:lang w:eastAsia="it-IT"/>
              </w:rPr>
              <w:t>? - %</w:t>
            </w:r>
          </w:p>
        </w:tc>
      </w:tr>
      <w:tr w:rsidR="001C3944" w:rsidRPr="00C07DBB" w14:paraId="0474F175" w14:textId="77777777" w:rsidTr="001C3944">
        <w:trPr>
          <w:trHeight w:val="20"/>
        </w:trPr>
        <w:tc>
          <w:tcPr>
            <w:tcW w:w="1535" w:type="pct"/>
            <w:vMerge/>
            <w:tcBorders>
              <w:top w:val="single" w:sz="8" w:space="0" w:color="FF9933"/>
              <w:left w:val="single" w:sz="8" w:space="0" w:color="FF9933"/>
              <w:bottom w:val="nil"/>
              <w:right w:val="nil"/>
            </w:tcBorders>
            <w:vAlign w:val="center"/>
            <w:hideMark/>
          </w:tcPr>
          <w:p w14:paraId="69E96825"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p>
        </w:tc>
        <w:tc>
          <w:tcPr>
            <w:tcW w:w="905" w:type="pct"/>
            <w:tcBorders>
              <w:top w:val="nil"/>
              <w:left w:val="single" w:sz="8" w:space="0" w:color="FF9933"/>
              <w:bottom w:val="single" w:sz="8" w:space="0" w:color="FF9900"/>
              <w:right w:val="single" w:sz="8" w:space="0" w:color="FF9900"/>
            </w:tcBorders>
            <w:shd w:val="clear" w:color="000000" w:fill="FF9933"/>
            <w:vAlign w:val="center"/>
            <w:hideMark/>
          </w:tcPr>
          <w:p w14:paraId="3A4D30BA"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Sì, già le sottoscrivo</w:t>
            </w:r>
          </w:p>
        </w:tc>
        <w:tc>
          <w:tcPr>
            <w:tcW w:w="854" w:type="pct"/>
            <w:tcBorders>
              <w:top w:val="nil"/>
              <w:left w:val="single" w:sz="8" w:space="0" w:color="FF9933"/>
              <w:bottom w:val="single" w:sz="8" w:space="0" w:color="FF9900"/>
              <w:right w:val="single" w:sz="8" w:space="0" w:color="FF9900"/>
            </w:tcBorders>
            <w:shd w:val="clear" w:color="000000" w:fill="FF9933"/>
            <w:vAlign w:val="center"/>
            <w:hideMark/>
          </w:tcPr>
          <w:p w14:paraId="3E532EE1"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Sì, ma non le ritengo uno strumento adeguato</w:t>
            </w:r>
          </w:p>
        </w:tc>
        <w:tc>
          <w:tcPr>
            <w:tcW w:w="1088" w:type="pct"/>
            <w:tcBorders>
              <w:top w:val="nil"/>
              <w:left w:val="single" w:sz="8" w:space="0" w:color="FF9933"/>
              <w:bottom w:val="single" w:sz="8" w:space="0" w:color="FF9900"/>
              <w:right w:val="single" w:sz="8" w:space="0" w:color="FF9900"/>
            </w:tcBorders>
            <w:shd w:val="clear" w:color="000000" w:fill="FF9933"/>
            <w:vAlign w:val="center"/>
            <w:hideMark/>
          </w:tcPr>
          <w:p w14:paraId="183A4961"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Sì, sarei propenso a sottoscriverle in futuro</w:t>
            </w:r>
          </w:p>
        </w:tc>
        <w:tc>
          <w:tcPr>
            <w:tcW w:w="618" w:type="pct"/>
            <w:tcBorders>
              <w:top w:val="nil"/>
              <w:left w:val="single" w:sz="8" w:space="0" w:color="FF9933"/>
              <w:bottom w:val="single" w:sz="8" w:space="0" w:color="FF9900"/>
              <w:right w:val="single" w:sz="8" w:space="0" w:color="FF9933"/>
            </w:tcBorders>
            <w:shd w:val="clear" w:color="000000" w:fill="FF9933"/>
            <w:vAlign w:val="center"/>
            <w:hideMark/>
          </w:tcPr>
          <w:p w14:paraId="0F1DC756" w14:textId="77777777" w:rsidR="001C3944" w:rsidRPr="00C07DBB" w:rsidRDefault="001C3944" w:rsidP="001C3944">
            <w:pPr>
              <w:spacing w:after="0" w:line="276" w:lineRule="auto"/>
              <w:jc w:val="center"/>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totale</w:t>
            </w:r>
          </w:p>
        </w:tc>
      </w:tr>
      <w:tr w:rsidR="001C3944" w:rsidRPr="00C07DBB" w14:paraId="6E4033A6" w14:textId="77777777" w:rsidTr="001C3944">
        <w:trPr>
          <w:trHeight w:val="20"/>
        </w:trPr>
        <w:tc>
          <w:tcPr>
            <w:tcW w:w="1535" w:type="pct"/>
            <w:tcBorders>
              <w:top w:val="single" w:sz="8" w:space="0" w:color="FF9900"/>
              <w:left w:val="single" w:sz="8" w:space="0" w:color="FF9933"/>
              <w:bottom w:val="single" w:sz="4" w:space="0" w:color="FF9933"/>
              <w:right w:val="nil"/>
            </w:tcBorders>
            <w:shd w:val="clear" w:color="auto" w:fill="auto"/>
            <w:noWrap/>
            <w:vAlign w:val="bottom"/>
            <w:hideMark/>
          </w:tcPr>
          <w:p w14:paraId="155FC65C"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Abruzzo</w:t>
            </w:r>
          </w:p>
        </w:tc>
        <w:tc>
          <w:tcPr>
            <w:tcW w:w="905" w:type="pct"/>
            <w:tcBorders>
              <w:top w:val="single" w:sz="4" w:space="0" w:color="FF9933"/>
              <w:left w:val="nil"/>
              <w:bottom w:val="single" w:sz="4" w:space="0" w:color="FF9933"/>
              <w:right w:val="nil"/>
            </w:tcBorders>
            <w:shd w:val="clear" w:color="auto" w:fill="auto"/>
            <w:noWrap/>
            <w:vAlign w:val="bottom"/>
            <w:hideMark/>
          </w:tcPr>
          <w:p w14:paraId="16497B62"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854" w:type="pct"/>
            <w:tcBorders>
              <w:top w:val="single" w:sz="4" w:space="0" w:color="FF9933"/>
              <w:left w:val="nil"/>
              <w:bottom w:val="single" w:sz="4" w:space="0" w:color="FF9933"/>
              <w:right w:val="nil"/>
            </w:tcBorders>
            <w:shd w:val="clear" w:color="auto" w:fill="auto"/>
            <w:noWrap/>
            <w:vAlign w:val="bottom"/>
            <w:hideMark/>
          </w:tcPr>
          <w:p w14:paraId="1C0F2EC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100,0%</w:t>
            </w:r>
          </w:p>
        </w:tc>
        <w:tc>
          <w:tcPr>
            <w:tcW w:w="1088" w:type="pct"/>
            <w:tcBorders>
              <w:top w:val="single" w:sz="4" w:space="0" w:color="FF9933"/>
              <w:left w:val="nil"/>
              <w:bottom w:val="single" w:sz="4" w:space="0" w:color="FF9933"/>
              <w:right w:val="nil"/>
            </w:tcBorders>
            <w:shd w:val="clear" w:color="auto" w:fill="auto"/>
            <w:noWrap/>
            <w:vAlign w:val="bottom"/>
            <w:hideMark/>
          </w:tcPr>
          <w:p w14:paraId="0D824969"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18" w:type="pct"/>
            <w:tcBorders>
              <w:top w:val="single" w:sz="4" w:space="0" w:color="FF9933"/>
              <w:left w:val="nil"/>
              <w:bottom w:val="single" w:sz="4" w:space="0" w:color="FF9933"/>
              <w:right w:val="single" w:sz="8" w:space="0" w:color="FF9933"/>
            </w:tcBorders>
            <w:shd w:val="clear" w:color="auto" w:fill="auto"/>
            <w:noWrap/>
            <w:vAlign w:val="bottom"/>
            <w:hideMark/>
          </w:tcPr>
          <w:p w14:paraId="5A46EEB3"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512AA143"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300A535A"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Emilia-Romagna</w:t>
            </w:r>
          </w:p>
        </w:tc>
        <w:tc>
          <w:tcPr>
            <w:tcW w:w="905" w:type="pct"/>
            <w:tcBorders>
              <w:top w:val="nil"/>
              <w:left w:val="nil"/>
              <w:bottom w:val="single" w:sz="4" w:space="0" w:color="FF9933"/>
              <w:right w:val="nil"/>
            </w:tcBorders>
            <w:shd w:val="clear" w:color="auto" w:fill="auto"/>
            <w:noWrap/>
            <w:vAlign w:val="bottom"/>
            <w:hideMark/>
          </w:tcPr>
          <w:p w14:paraId="172C7AD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25,0%</w:t>
            </w:r>
          </w:p>
        </w:tc>
        <w:tc>
          <w:tcPr>
            <w:tcW w:w="854" w:type="pct"/>
            <w:tcBorders>
              <w:top w:val="nil"/>
              <w:left w:val="nil"/>
              <w:bottom w:val="single" w:sz="4" w:space="0" w:color="FF9933"/>
              <w:right w:val="nil"/>
            </w:tcBorders>
            <w:shd w:val="clear" w:color="auto" w:fill="auto"/>
            <w:noWrap/>
            <w:vAlign w:val="bottom"/>
            <w:hideMark/>
          </w:tcPr>
          <w:p w14:paraId="20714719"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37,5%</w:t>
            </w:r>
          </w:p>
        </w:tc>
        <w:tc>
          <w:tcPr>
            <w:tcW w:w="1088" w:type="pct"/>
            <w:tcBorders>
              <w:top w:val="nil"/>
              <w:left w:val="nil"/>
              <w:bottom w:val="single" w:sz="4" w:space="0" w:color="FF9933"/>
              <w:right w:val="nil"/>
            </w:tcBorders>
            <w:shd w:val="clear" w:color="auto" w:fill="auto"/>
            <w:noWrap/>
            <w:vAlign w:val="bottom"/>
            <w:hideMark/>
          </w:tcPr>
          <w:p w14:paraId="34C15E61"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37,5%</w:t>
            </w:r>
          </w:p>
        </w:tc>
        <w:tc>
          <w:tcPr>
            <w:tcW w:w="618" w:type="pct"/>
            <w:tcBorders>
              <w:top w:val="nil"/>
              <w:left w:val="nil"/>
              <w:bottom w:val="single" w:sz="4" w:space="0" w:color="FF9933"/>
              <w:right w:val="single" w:sz="8" w:space="0" w:color="FF9933"/>
            </w:tcBorders>
            <w:shd w:val="clear" w:color="auto" w:fill="auto"/>
            <w:noWrap/>
            <w:vAlign w:val="bottom"/>
            <w:hideMark/>
          </w:tcPr>
          <w:p w14:paraId="794E6FF9"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5D2A321E"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6B79604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Friuli-Venezia Giulia</w:t>
            </w:r>
          </w:p>
        </w:tc>
        <w:tc>
          <w:tcPr>
            <w:tcW w:w="905" w:type="pct"/>
            <w:tcBorders>
              <w:top w:val="nil"/>
              <w:left w:val="nil"/>
              <w:bottom w:val="single" w:sz="4" w:space="0" w:color="FF9933"/>
              <w:right w:val="nil"/>
            </w:tcBorders>
            <w:shd w:val="clear" w:color="auto" w:fill="auto"/>
            <w:noWrap/>
            <w:vAlign w:val="bottom"/>
            <w:hideMark/>
          </w:tcPr>
          <w:p w14:paraId="2A6F74F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854" w:type="pct"/>
            <w:tcBorders>
              <w:top w:val="nil"/>
              <w:left w:val="nil"/>
              <w:bottom w:val="single" w:sz="4" w:space="0" w:color="FF9933"/>
              <w:right w:val="nil"/>
            </w:tcBorders>
            <w:shd w:val="clear" w:color="auto" w:fill="auto"/>
            <w:noWrap/>
            <w:vAlign w:val="bottom"/>
            <w:hideMark/>
          </w:tcPr>
          <w:p w14:paraId="10E5D975"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1088" w:type="pct"/>
            <w:tcBorders>
              <w:top w:val="nil"/>
              <w:left w:val="nil"/>
              <w:bottom w:val="single" w:sz="4" w:space="0" w:color="FF9933"/>
              <w:right w:val="nil"/>
            </w:tcBorders>
            <w:shd w:val="clear" w:color="auto" w:fill="auto"/>
            <w:noWrap/>
            <w:vAlign w:val="bottom"/>
            <w:hideMark/>
          </w:tcPr>
          <w:p w14:paraId="5CD40ECE"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100,0%</w:t>
            </w:r>
          </w:p>
        </w:tc>
        <w:tc>
          <w:tcPr>
            <w:tcW w:w="618" w:type="pct"/>
            <w:tcBorders>
              <w:top w:val="nil"/>
              <w:left w:val="nil"/>
              <w:bottom w:val="single" w:sz="4" w:space="0" w:color="FF9933"/>
              <w:right w:val="single" w:sz="8" w:space="0" w:color="FF9933"/>
            </w:tcBorders>
            <w:shd w:val="clear" w:color="auto" w:fill="auto"/>
            <w:noWrap/>
            <w:vAlign w:val="bottom"/>
            <w:hideMark/>
          </w:tcPr>
          <w:p w14:paraId="4E48E29B"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477A3238"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36D192A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Lazio</w:t>
            </w:r>
          </w:p>
        </w:tc>
        <w:tc>
          <w:tcPr>
            <w:tcW w:w="905" w:type="pct"/>
            <w:tcBorders>
              <w:top w:val="nil"/>
              <w:left w:val="nil"/>
              <w:bottom w:val="single" w:sz="4" w:space="0" w:color="FF9933"/>
              <w:right w:val="nil"/>
            </w:tcBorders>
            <w:shd w:val="clear" w:color="auto" w:fill="auto"/>
            <w:noWrap/>
            <w:vAlign w:val="bottom"/>
            <w:hideMark/>
          </w:tcPr>
          <w:p w14:paraId="20F2C2EB"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p>
        </w:tc>
        <w:tc>
          <w:tcPr>
            <w:tcW w:w="854" w:type="pct"/>
            <w:tcBorders>
              <w:top w:val="nil"/>
              <w:left w:val="nil"/>
              <w:bottom w:val="single" w:sz="4" w:space="0" w:color="FF9933"/>
              <w:right w:val="nil"/>
            </w:tcBorders>
            <w:shd w:val="clear" w:color="auto" w:fill="auto"/>
            <w:noWrap/>
            <w:vAlign w:val="bottom"/>
            <w:hideMark/>
          </w:tcPr>
          <w:p w14:paraId="1C2C6D1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100,0%</w:t>
            </w:r>
          </w:p>
        </w:tc>
        <w:tc>
          <w:tcPr>
            <w:tcW w:w="1088" w:type="pct"/>
            <w:tcBorders>
              <w:top w:val="nil"/>
              <w:left w:val="nil"/>
              <w:bottom w:val="single" w:sz="4" w:space="0" w:color="FF9933"/>
              <w:right w:val="nil"/>
            </w:tcBorders>
            <w:shd w:val="clear" w:color="auto" w:fill="auto"/>
            <w:noWrap/>
            <w:vAlign w:val="bottom"/>
            <w:hideMark/>
          </w:tcPr>
          <w:p w14:paraId="6F61DC4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p>
        </w:tc>
        <w:tc>
          <w:tcPr>
            <w:tcW w:w="618" w:type="pct"/>
            <w:tcBorders>
              <w:top w:val="nil"/>
              <w:left w:val="nil"/>
              <w:bottom w:val="single" w:sz="4" w:space="0" w:color="FF9933"/>
              <w:right w:val="single" w:sz="8" w:space="0" w:color="FF9933"/>
            </w:tcBorders>
            <w:shd w:val="clear" w:color="auto" w:fill="auto"/>
            <w:noWrap/>
            <w:vAlign w:val="bottom"/>
            <w:hideMark/>
          </w:tcPr>
          <w:p w14:paraId="184C703A"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78460714"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35E55D52"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Lombardia</w:t>
            </w:r>
          </w:p>
        </w:tc>
        <w:tc>
          <w:tcPr>
            <w:tcW w:w="905" w:type="pct"/>
            <w:tcBorders>
              <w:top w:val="nil"/>
              <w:left w:val="nil"/>
              <w:bottom w:val="single" w:sz="4" w:space="0" w:color="FF9933"/>
              <w:right w:val="nil"/>
            </w:tcBorders>
            <w:shd w:val="clear" w:color="auto" w:fill="auto"/>
            <w:noWrap/>
            <w:vAlign w:val="bottom"/>
            <w:hideMark/>
          </w:tcPr>
          <w:p w14:paraId="3B39D78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p>
        </w:tc>
        <w:tc>
          <w:tcPr>
            <w:tcW w:w="854" w:type="pct"/>
            <w:tcBorders>
              <w:top w:val="nil"/>
              <w:left w:val="nil"/>
              <w:bottom w:val="single" w:sz="4" w:space="0" w:color="FF9933"/>
              <w:right w:val="nil"/>
            </w:tcBorders>
            <w:shd w:val="clear" w:color="auto" w:fill="auto"/>
            <w:noWrap/>
            <w:vAlign w:val="bottom"/>
            <w:hideMark/>
          </w:tcPr>
          <w:p w14:paraId="350D12A2"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66,7%</w:t>
            </w:r>
          </w:p>
        </w:tc>
        <w:tc>
          <w:tcPr>
            <w:tcW w:w="1088" w:type="pct"/>
            <w:tcBorders>
              <w:top w:val="nil"/>
              <w:left w:val="nil"/>
              <w:bottom w:val="single" w:sz="4" w:space="0" w:color="FF9933"/>
              <w:right w:val="nil"/>
            </w:tcBorders>
            <w:shd w:val="clear" w:color="auto" w:fill="auto"/>
            <w:noWrap/>
            <w:vAlign w:val="bottom"/>
            <w:hideMark/>
          </w:tcPr>
          <w:p w14:paraId="51908F1E"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33,3%</w:t>
            </w:r>
          </w:p>
        </w:tc>
        <w:tc>
          <w:tcPr>
            <w:tcW w:w="618" w:type="pct"/>
            <w:tcBorders>
              <w:top w:val="nil"/>
              <w:left w:val="nil"/>
              <w:bottom w:val="single" w:sz="4" w:space="0" w:color="FF9933"/>
              <w:right w:val="single" w:sz="8" w:space="0" w:color="FF9933"/>
            </w:tcBorders>
            <w:shd w:val="clear" w:color="auto" w:fill="auto"/>
            <w:noWrap/>
            <w:vAlign w:val="bottom"/>
            <w:hideMark/>
          </w:tcPr>
          <w:p w14:paraId="31CF4991"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0B0D0017"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318A8E71"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Piemonte</w:t>
            </w:r>
          </w:p>
        </w:tc>
        <w:tc>
          <w:tcPr>
            <w:tcW w:w="905" w:type="pct"/>
            <w:tcBorders>
              <w:top w:val="nil"/>
              <w:left w:val="nil"/>
              <w:bottom w:val="single" w:sz="4" w:space="0" w:color="FF9933"/>
              <w:right w:val="nil"/>
            </w:tcBorders>
            <w:shd w:val="clear" w:color="auto" w:fill="auto"/>
            <w:noWrap/>
            <w:vAlign w:val="bottom"/>
            <w:hideMark/>
          </w:tcPr>
          <w:p w14:paraId="2B87486A"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p>
        </w:tc>
        <w:tc>
          <w:tcPr>
            <w:tcW w:w="854" w:type="pct"/>
            <w:tcBorders>
              <w:top w:val="nil"/>
              <w:left w:val="nil"/>
              <w:bottom w:val="single" w:sz="4" w:space="0" w:color="FF9933"/>
              <w:right w:val="nil"/>
            </w:tcBorders>
            <w:shd w:val="clear" w:color="auto" w:fill="auto"/>
            <w:noWrap/>
            <w:vAlign w:val="bottom"/>
            <w:hideMark/>
          </w:tcPr>
          <w:p w14:paraId="7FF1C94B"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33,3%</w:t>
            </w:r>
          </w:p>
        </w:tc>
        <w:tc>
          <w:tcPr>
            <w:tcW w:w="1088" w:type="pct"/>
            <w:tcBorders>
              <w:top w:val="nil"/>
              <w:left w:val="nil"/>
              <w:bottom w:val="single" w:sz="4" w:space="0" w:color="FF9933"/>
              <w:right w:val="nil"/>
            </w:tcBorders>
            <w:shd w:val="clear" w:color="auto" w:fill="auto"/>
            <w:noWrap/>
            <w:vAlign w:val="bottom"/>
            <w:hideMark/>
          </w:tcPr>
          <w:p w14:paraId="79C44AB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66,7%</w:t>
            </w:r>
          </w:p>
        </w:tc>
        <w:tc>
          <w:tcPr>
            <w:tcW w:w="618" w:type="pct"/>
            <w:tcBorders>
              <w:top w:val="nil"/>
              <w:left w:val="nil"/>
              <w:bottom w:val="single" w:sz="4" w:space="0" w:color="FF9933"/>
              <w:right w:val="single" w:sz="8" w:space="0" w:color="FF9933"/>
            </w:tcBorders>
            <w:shd w:val="clear" w:color="auto" w:fill="auto"/>
            <w:noWrap/>
            <w:vAlign w:val="bottom"/>
            <w:hideMark/>
          </w:tcPr>
          <w:p w14:paraId="7A72394C"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27FA047F"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0CC91FFE"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Puglia</w:t>
            </w:r>
          </w:p>
        </w:tc>
        <w:tc>
          <w:tcPr>
            <w:tcW w:w="905" w:type="pct"/>
            <w:tcBorders>
              <w:top w:val="nil"/>
              <w:left w:val="nil"/>
              <w:bottom w:val="single" w:sz="4" w:space="0" w:color="FF9933"/>
              <w:right w:val="nil"/>
            </w:tcBorders>
            <w:shd w:val="clear" w:color="auto" w:fill="auto"/>
            <w:noWrap/>
            <w:vAlign w:val="bottom"/>
            <w:hideMark/>
          </w:tcPr>
          <w:p w14:paraId="1ADCF824"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p>
        </w:tc>
        <w:tc>
          <w:tcPr>
            <w:tcW w:w="854" w:type="pct"/>
            <w:tcBorders>
              <w:top w:val="nil"/>
              <w:left w:val="nil"/>
              <w:bottom w:val="single" w:sz="4" w:space="0" w:color="FF9933"/>
              <w:right w:val="nil"/>
            </w:tcBorders>
            <w:shd w:val="clear" w:color="auto" w:fill="auto"/>
            <w:noWrap/>
            <w:vAlign w:val="bottom"/>
            <w:hideMark/>
          </w:tcPr>
          <w:p w14:paraId="2A283EA4"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100,0%</w:t>
            </w:r>
          </w:p>
        </w:tc>
        <w:tc>
          <w:tcPr>
            <w:tcW w:w="1088" w:type="pct"/>
            <w:tcBorders>
              <w:top w:val="nil"/>
              <w:left w:val="nil"/>
              <w:bottom w:val="single" w:sz="4" w:space="0" w:color="FF9933"/>
              <w:right w:val="nil"/>
            </w:tcBorders>
            <w:shd w:val="clear" w:color="auto" w:fill="auto"/>
            <w:noWrap/>
            <w:vAlign w:val="bottom"/>
            <w:hideMark/>
          </w:tcPr>
          <w:p w14:paraId="64F7F0F1"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18" w:type="pct"/>
            <w:tcBorders>
              <w:top w:val="nil"/>
              <w:left w:val="nil"/>
              <w:bottom w:val="single" w:sz="4" w:space="0" w:color="FF9933"/>
              <w:right w:val="single" w:sz="8" w:space="0" w:color="FF9933"/>
            </w:tcBorders>
            <w:shd w:val="clear" w:color="auto" w:fill="auto"/>
            <w:noWrap/>
            <w:vAlign w:val="bottom"/>
            <w:hideMark/>
          </w:tcPr>
          <w:p w14:paraId="16E345D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14968364"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3D8B3E0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Toscana</w:t>
            </w:r>
          </w:p>
        </w:tc>
        <w:tc>
          <w:tcPr>
            <w:tcW w:w="905" w:type="pct"/>
            <w:tcBorders>
              <w:top w:val="nil"/>
              <w:left w:val="nil"/>
              <w:bottom w:val="single" w:sz="4" w:space="0" w:color="FF9933"/>
              <w:right w:val="nil"/>
            </w:tcBorders>
            <w:shd w:val="clear" w:color="auto" w:fill="auto"/>
            <w:noWrap/>
            <w:vAlign w:val="bottom"/>
            <w:hideMark/>
          </w:tcPr>
          <w:p w14:paraId="21D652E1"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p>
        </w:tc>
        <w:tc>
          <w:tcPr>
            <w:tcW w:w="854" w:type="pct"/>
            <w:tcBorders>
              <w:top w:val="nil"/>
              <w:left w:val="nil"/>
              <w:bottom w:val="single" w:sz="4" w:space="0" w:color="FF9933"/>
              <w:right w:val="nil"/>
            </w:tcBorders>
            <w:shd w:val="clear" w:color="auto" w:fill="auto"/>
            <w:noWrap/>
            <w:vAlign w:val="bottom"/>
            <w:hideMark/>
          </w:tcPr>
          <w:p w14:paraId="3636432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50,0%</w:t>
            </w:r>
          </w:p>
        </w:tc>
        <w:tc>
          <w:tcPr>
            <w:tcW w:w="1088" w:type="pct"/>
            <w:tcBorders>
              <w:top w:val="nil"/>
              <w:left w:val="nil"/>
              <w:bottom w:val="single" w:sz="4" w:space="0" w:color="FF9933"/>
              <w:right w:val="nil"/>
            </w:tcBorders>
            <w:shd w:val="clear" w:color="auto" w:fill="auto"/>
            <w:noWrap/>
            <w:vAlign w:val="bottom"/>
            <w:hideMark/>
          </w:tcPr>
          <w:p w14:paraId="5ABAF899"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50,0%</w:t>
            </w:r>
          </w:p>
        </w:tc>
        <w:tc>
          <w:tcPr>
            <w:tcW w:w="618" w:type="pct"/>
            <w:tcBorders>
              <w:top w:val="nil"/>
              <w:left w:val="nil"/>
              <w:bottom w:val="single" w:sz="4" w:space="0" w:color="FF9933"/>
              <w:right w:val="single" w:sz="8" w:space="0" w:color="FF9933"/>
            </w:tcBorders>
            <w:shd w:val="clear" w:color="auto" w:fill="auto"/>
            <w:noWrap/>
            <w:vAlign w:val="bottom"/>
            <w:hideMark/>
          </w:tcPr>
          <w:p w14:paraId="51DFDFB8"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100%</w:t>
            </w:r>
          </w:p>
        </w:tc>
      </w:tr>
      <w:tr w:rsidR="001C3944" w:rsidRPr="00C07DBB" w14:paraId="557E8908"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6D3B5C3B"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Trentino-Alto Adige</w:t>
            </w:r>
          </w:p>
        </w:tc>
        <w:tc>
          <w:tcPr>
            <w:tcW w:w="905" w:type="pct"/>
            <w:tcBorders>
              <w:top w:val="nil"/>
              <w:left w:val="nil"/>
              <w:bottom w:val="single" w:sz="4" w:space="0" w:color="FF9933"/>
              <w:right w:val="nil"/>
            </w:tcBorders>
            <w:shd w:val="clear" w:color="auto" w:fill="auto"/>
            <w:noWrap/>
            <w:vAlign w:val="bottom"/>
            <w:hideMark/>
          </w:tcPr>
          <w:p w14:paraId="194E3986"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14,3%</w:t>
            </w:r>
          </w:p>
        </w:tc>
        <w:tc>
          <w:tcPr>
            <w:tcW w:w="854" w:type="pct"/>
            <w:tcBorders>
              <w:top w:val="nil"/>
              <w:left w:val="nil"/>
              <w:bottom w:val="single" w:sz="4" w:space="0" w:color="FF9933"/>
              <w:right w:val="nil"/>
            </w:tcBorders>
            <w:shd w:val="clear" w:color="auto" w:fill="auto"/>
            <w:noWrap/>
            <w:vAlign w:val="bottom"/>
            <w:hideMark/>
          </w:tcPr>
          <w:p w14:paraId="69018758"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57,1%</w:t>
            </w:r>
          </w:p>
        </w:tc>
        <w:tc>
          <w:tcPr>
            <w:tcW w:w="1088" w:type="pct"/>
            <w:tcBorders>
              <w:top w:val="nil"/>
              <w:left w:val="nil"/>
              <w:bottom w:val="single" w:sz="4" w:space="0" w:color="FF9933"/>
              <w:right w:val="nil"/>
            </w:tcBorders>
            <w:shd w:val="clear" w:color="auto" w:fill="auto"/>
            <w:noWrap/>
            <w:vAlign w:val="bottom"/>
            <w:hideMark/>
          </w:tcPr>
          <w:p w14:paraId="7AB2279D"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28,6%</w:t>
            </w:r>
          </w:p>
        </w:tc>
        <w:tc>
          <w:tcPr>
            <w:tcW w:w="618" w:type="pct"/>
            <w:tcBorders>
              <w:top w:val="nil"/>
              <w:left w:val="nil"/>
              <w:bottom w:val="single" w:sz="4" w:space="0" w:color="FF9933"/>
              <w:right w:val="single" w:sz="8" w:space="0" w:color="FF9933"/>
            </w:tcBorders>
            <w:shd w:val="clear" w:color="auto" w:fill="auto"/>
            <w:noWrap/>
            <w:vAlign w:val="bottom"/>
            <w:hideMark/>
          </w:tcPr>
          <w:p w14:paraId="1FA69A6A"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080BA1F7"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725BDE68"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Umbria</w:t>
            </w:r>
          </w:p>
        </w:tc>
        <w:tc>
          <w:tcPr>
            <w:tcW w:w="905" w:type="pct"/>
            <w:tcBorders>
              <w:top w:val="nil"/>
              <w:left w:val="nil"/>
              <w:bottom w:val="single" w:sz="4" w:space="0" w:color="FF9933"/>
              <w:right w:val="nil"/>
            </w:tcBorders>
            <w:shd w:val="clear" w:color="auto" w:fill="auto"/>
            <w:noWrap/>
            <w:vAlign w:val="bottom"/>
            <w:hideMark/>
          </w:tcPr>
          <w:p w14:paraId="49702834"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100,0%</w:t>
            </w:r>
          </w:p>
        </w:tc>
        <w:tc>
          <w:tcPr>
            <w:tcW w:w="854" w:type="pct"/>
            <w:tcBorders>
              <w:top w:val="nil"/>
              <w:left w:val="nil"/>
              <w:bottom w:val="single" w:sz="4" w:space="0" w:color="FF9933"/>
              <w:right w:val="nil"/>
            </w:tcBorders>
            <w:shd w:val="clear" w:color="auto" w:fill="auto"/>
            <w:noWrap/>
            <w:vAlign w:val="bottom"/>
            <w:hideMark/>
          </w:tcPr>
          <w:p w14:paraId="6EC3266F"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1088" w:type="pct"/>
            <w:tcBorders>
              <w:top w:val="nil"/>
              <w:left w:val="nil"/>
              <w:bottom w:val="single" w:sz="4" w:space="0" w:color="FF9933"/>
              <w:right w:val="nil"/>
            </w:tcBorders>
            <w:shd w:val="clear" w:color="auto" w:fill="auto"/>
            <w:noWrap/>
            <w:vAlign w:val="bottom"/>
            <w:hideMark/>
          </w:tcPr>
          <w:p w14:paraId="4FA65E78"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18" w:type="pct"/>
            <w:tcBorders>
              <w:top w:val="nil"/>
              <w:left w:val="nil"/>
              <w:bottom w:val="single" w:sz="4" w:space="0" w:color="FF9933"/>
              <w:right w:val="single" w:sz="8" w:space="0" w:color="FF9933"/>
            </w:tcBorders>
            <w:shd w:val="clear" w:color="auto" w:fill="auto"/>
            <w:noWrap/>
            <w:vAlign w:val="bottom"/>
            <w:hideMark/>
          </w:tcPr>
          <w:p w14:paraId="3C82FC08"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134935B7" w14:textId="77777777" w:rsidTr="001C3944">
        <w:trPr>
          <w:trHeight w:val="20"/>
        </w:trPr>
        <w:tc>
          <w:tcPr>
            <w:tcW w:w="1535" w:type="pct"/>
            <w:tcBorders>
              <w:top w:val="nil"/>
              <w:left w:val="single" w:sz="8" w:space="0" w:color="FF9933"/>
              <w:bottom w:val="single" w:sz="4" w:space="0" w:color="FF9933"/>
              <w:right w:val="nil"/>
            </w:tcBorders>
            <w:shd w:val="clear" w:color="auto" w:fill="auto"/>
            <w:noWrap/>
            <w:vAlign w:val="bottom"/>
            <w:hideMark/>
          </w:tcPr>
          <w:p w14:paraId="41513927"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Veneto</w:t>
            </w:r>
          </w:p>
        </w:tc>
        <w:tc>
          <w:tcPr>
            <w:tcW w:w="905" w:type="pct"/>
            <w:tcBorders>
              <w:top w:val="nil"/>
              <w:left w:val="nil"/>
              <w:bottom w:val="single" w:sz="4" w:space="0" w:color="FF9933"/>
              <w:right w:val="nil"/>
            </w:tcBorders>
            <w:shd w:val="clear" w:color="auto" w:fill="auto"/>
            <w:noWrap/>
            <w:vAlign w:val="bottom"/>
            <w:hideMark/>
          </w:tcPr>
          <w:p w14:paraId="640A5E63"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25,0%</w:t>
            </w:r>
          </w:p>
        </w:tc>
        <w:tc>
          <w:tcPr>
            <w:tcW w:w="854" w:type="pct"/>
            <w:tcBorders>
              <w:top w:val="nil"/>
              <w:left w:val="nil"/>
              <w:bottom w:val="single" w:sz="4" w:space="0" w:color="FF9933"/>
              <w:right w:val="nil"/>
            </w:tcBorders>
            <w:shd w:val="clear" w:color="auto" w:fill="auto"/>
            <w:noWrap/>
            <w:vAlign w:val="bottom"/>
            <w:hideMark/>
          </w:tcPr>
          <w:p w14:paraId="7CD3F844"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75,0%</w:t>
            </w:r>
          </w:p>
        </w:tc>
        <w:tc>
          <w:tcPr>
            <w:tcW w:w="1088" w:type="pct"/>
            <w:tcBorders>
              <w:top w:val="nil"/>
              <w:left w:val="nil"/>
              <w:bottom w:val="single" w:sz="4" w:space="0" w:color="FF9933"/>
              <w:right w:val="nil"/>
            </w:tcBorders>
            <w:shd w:val="clear" w:color="auto" w:fill="auto"/>
            <w:noWrap/>
            <w:vAlign w:val="bottom"/>
            <w:hideMark/>
          </w:tcPr>
          <w:p w14:paraId="6AE85604"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0,0%</w:t>
            </w:r>
          </w:p>
        </w:tc>
        <w:tc>
          <w:tcPr>
            <w:tcW w:w="618" w:type="pct"/>
            <w:tcBorders>
              <w:top w:val="nil"/>
              <w:left w:val="nil"/>
              <w:bottom w:val="single" w:sz="4" w:space="0" w:color="FF9933"/>
              <w:right w:val="single" w:sz="8" w:space="0" w:color="FF9933"/>
            </w:tcBorders>
            <w:shd w:val="clear" w:color="auto" w:fill="auto"/>
            <w:noWrap/>
            <w:vAlign w:val="bottom"/>
            <w:hideMark/>
          </w:tcPr>
          <w:p w14:paraId="6E38C778"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100%</w:t>
            </w:r>
          </w:p>
        </w:tc>
      </w:tr>
      <w:tr w:rsidR="001C3944" w:rsidRPr="00C07DBB" w14:paraId="20007244" w14:textId="77777777" w:rsidTr="001C3944">
        <w:trPr>
          <w:trHeight w:val="20"/>
        </w:trPr>
        <w:tc>
          <w:tcPr>
            <w:tcW w:w="1535" w:type="pct"/>
            <w:tcBorders>
              <w:top w:val="nil"/>
              <w:left w:val="single" w:sz="8" w:space="0" w:color="FF9933"/>
              <w:bottom w:val="single" w:sz="8" w:space="0" w:color="FF9933"/>
              <w:right w:val="nil"/>
            </w:tcBorders>
            <w:shd w:val="clear" w:color="auto" w:fill="auto"/>
            <w:noWrap/>
            <w:vAlign w:val="bottom"/>
            <w:hideMark/>
          </w:tcPr>
          <w:p w14:paraId="7A9E6F57"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Totale </w:t>
            </w:r>
          </w:p>
        </w:tc>
        <w:tc>
          <w:tcPr>
            <w:tcW w:w="905" w:type="pct"/>
            <w:tcBorders>
              <w:top w:val="nil"/>
              <w:left w:val="nil"/>
              <w:bottom w:val="single" w:sz="8" w:space="0" w:color="FF9933"/>
              <w:right w:val="nil"/>
            </w:tcBorders>
            <w:shd w:val="clear" w:color="auto" w:fill="auto"/>
            <w:noWrap/>
            <w:vAlign w:val="bottom"/>
            <w:hideMark/>
          </w:tcPr>
          <w:p w14:paraId="2B224FD9" w14:textId="77777777" w:rsidR="001C3944" w:rsidRPr="00C07DBB" w:rsidRDefault="001C3944" w:rsidP="001C3944">
            <w:pPr>
              <w:spacing w:after="0" w:line="276" w:lineRule="auto"/>
              <w:rPr>
                <w:rFonts w:asciiTheme="majorHAnsi" w:eastAsia="Times New Roman" w:hAnsiTheme="majorHAnsi" w:cstheme="majorHAnsi"/>
                <w:b/>
                <w:color w:val="000000"/>
                <w:sz w:val="20"/>
                <w:lang w:eastAsia="it-IT"/>
              </w:rPr>
            </w:pPr>
            <w:r w:rsidRPr="00C07DBB">
              <w:rPr>
                <w:rFonts w:asciiTheme="majorHAnsi" w:eastAsia="Times New Roman" w:hAnsiTheme="majorHAnsi" w:cstheme="majorHAnsi"/>
                <w:b/>
                <w:color w:val="000000"/>
                <w:sz w:val="20"/>
                <w:lang w:eastAsia="it-IT"/>
              </w:rPr>
              <w:t>14,3%</w:t>
            </w:r>
          </w:p>
        </w:tc>
        <w:tc>
          <w:tcPr>
            <w:tcW w:w="854" w:type="pct"/>
            <w:tcBorders>
              <w:top w:val="nil"/>
              <w:left w:val="nil"/>
              <w:bottom w:val="single" w:sz="8" w:space="0" w:color="FF9933"/>
              <w:right w:val="nil"/>
            </w:tcBorders>
            <w:shd w:val="clear" w:color="auto" w:fill="auto"/>
            <w:noWrap/>
            <w:vAlign w:val="bottom"/>
            <w:hideMark/>
          </w:tcPr>
          <w:p w14:paraId="5E5DF965" w14:textId="77777777" w:rsidR="001C3944" w:rsidRPr="00C07DBB" w:rsidRDefault="001C3944" w:rsidP="001C3944">
            <w:pPr>
              <w:spacing w:after="0" w:line="276" w:lineRule="auto"/>
              <w:rPr>
                <w:rFonts w:asciiTheme="majorHAnsi" w:eastAsia="Times New Roman" w:hAnsiTheme="majorHAnsi" w:cstheme="majorHAnsi"/>
                <w:b/>
                <w:color w:val="000000"/>
                <w:sz w:val="20"/>
                <w:lang w:eastAsia="it-IT"/>
              </w:rPr>
            </w:pPr>
            <w:r w:rsidRPr="00C07DBB">
              <w:rPr>
                <w:rFonts w:asciiTheme="majorHAnsi" w:eastAsia="Times New Roman" w:hAnsiTheme="majorHAnsi" w:cstheme="majorHAnsi"/>
                <w:b/>
                <w:color w:val="000000"/>
                <w:sz w:val="20"/>
                <w:lang w:eastAsia="it-IT"/>
              </w:rPr>
              <w:t>57,1%</w:t>
            </w:r>
          </w:p>
        </w:tc>
        <w:tc>
          <w:tcPr>
            <w:tcW w:w="1088" w:type="pct"/>
            <w:tcBorders>
              <w:top w:val="nil"/>
              <w:left w:val="nil"/>
              <w:bottom w:val="single" w:sz="8" w:space="0" w:color="FF9933"/>
              <w:right w:val="nil"/>
            </w:tcBorders>
            <w:shd w:val="clear" w:color="auto" w:fill="auto"/>
            <w:noWrap/>
            <w:vAlign w:val="bottom"/>
            <w:hideMark/>
          </w:tcPr>
          <w:p w14:paraId="56356F0F" w14:textId="77777777" w:rsidR="001C3944" w:rsidRPr="00C07DBB" w:rsidRDefault="001C3944" w:rsidP="001C3944">
            <w:pPr>
              <w:spacing w:after="0" w:line="276" w:lineRule="auto"/>
              <w:rPr>
                <w:rFonts w:asciiTheme="majorHAnsi" w:eastAsia="Times New Roman" w:hAnsiTheme="majorHAnsi" w:cstheme="majorHAnsi"/>
                <w:b/>
                <w:color w:val="000000"/>
                <w:sz w:val="20"/>
                <w:lang w:eastAsia="it-IT"/>
              </w:rPr>
            </w:pPr>
            <w:r w:rsidRPr="00C07DBB">
              <w:rPr>
                <w:rFonts w:asciiTheme="majorHAnsi" w:eastAsia="Times New Roman" w:hAnsiTheme="majorHAnsi" w:cstheme="majorHAnsi"/>
                <w:b/>
                <w:color w:val="000000"/>
                <w:sz w:val="20"/>
                <w:lang w:eastAsia="it-IT"/>
              </w:rPr>
              <w:t>28,6%</w:t>
            </w:r>
          </w:p>
        </w:tc>
        <w:tc>
          <w:tcPr>
            <w:tcW w:w="618" w:type="pct"/>
            <w:tcBorders>
              <w:top w:val="nil"/>
              <w:left w:val="nil"/>
              <w:bottom w:val="single" w:sz="8" w:space="0" w:color="FF9933"/>
              <w:right w:val="single" w:sz="8" w:space="0" w:color="FF9933"/>
            </w:tcBorders>
            <w:shd w:val="clear" w:color="auto" w:fill="auto"/>
            <w:noWrap/>
            <w:vAlign w:val="bottom"/>
            <w:hideMark/>
          </w:tcPr>
          <w:p w14:paraId="5AF26458" w14:textId="77777777" w:rsidR="001C3944" w:rsidRPr="00C07DBB" w:rsidRDefault="001C3944" w:rsidP="001C3944">
            <w:pPr>
              <w:spacing w:after="0" w:line="276" w:lineRule="auto"/>
              <w:rPr>
                <w:rFonts w:asciiTheme="majorHAnsi" w:eastAsia="Times New Roman" w:hAnsiTheme="majorHAnsi" w:cstheme="majorHAnsi"/>
                <w:b/>
                <w:color w:val="000000"/>
                <w:sz w:val="20"/>
                <w:lang w:eastAsia="it-IT"/>
              </w:rPr>
            </w:pPr>
            <w:r w:rsidRPr="00C07DBB">
              <w:rPr>
                <w:rFonts w:asciiTheme="majorHAnsi" w:eastAsia="Times New Roman" w:hAnsiTheme="majorHAnsi" w:cstheme="majorHAnsi"/>
                <w:b/>
                <w:color w:val="000000"/>
                <w:sz w:val="20"/>
                <w:lang w:eastAsia="it-IT"/>
              </w:rPr>
              <w:t>100%</w:t>
            </w:r>
          </w:p>
        </w:tc>
      </w:tr>
    </w:tbl>
    <w:p w14:paraId="36F9B1C2" w14:textId="77777777" w:rsidR="001C3944" w:rsidRDefault="001C3944" w:rsidP="001C3944"/>
    <w:p w14:paraId="6E16A328" w14:textId="77777777" w:rsidR="009F3F87" w:rsidRPr="001C3944" w:rsidRDefault="009F3F87" w:rsidP="001C3944"/>
    <w:p w14:paraId="5CE7F38D" w14:textId="7C8E019B" w:rsidR="001C3944" w:rsidRPr="00BC5327" w:rsidRDefault="001C3944" w:rsidP="001C3944">
      <w:pPr>
        <w:spacing w:before="240" w:line="276" w:lineRule="auto"/>
        <w:rPr>
          <w:rFonts w:asciiTheme="majorHAnsi" w:hAnsiTheme="majorHAnsi" w:cstheme="majorHAnsi"/>
          <w:b/>
          <w:bCs/>
          <w:i/>
          <w:color w:val="000000"/>
        </w:rPr>
      </w:pPr>
      <w:r w:rsidRPr="00BC5327">
        <w:rPr>
          <w:rFonts w:asciiTheme="majorHAnsi" w:hAnsiTheme="majorHAnsi" w:cstheme="majorHAnsi"/>
          <w:b/>
          <w:bCs/>
          <w:color w:val="000000"/>
        </w:rPr>
        <w:t xml:space="preserve">Tab. </w:t>
      </w:r>
      <w:r w:rsidR="00BC5327" w:rsidRPr="00BC5327">
        <w:rPr>
          <w:rFonts w:asciiTheme="majorHAnsi" w:hAnsiTheme="majorHAnsi" w:cstheme="majorHAnsi"/>
          <w:b/>
          <w:bCs/>
          <w:color w:val="000000"/>
        </w:rPr>
        <w:t>3.3</w:t>
      </w:r>
      <w:r w:rsidRPr="00BC5327">
        <w:rPr>
          <w:rFonts w:asciiTheme="majorHAnsi" w:hAnsiTheme="majorHAnsi" w:cstheme="majorHAnsi"/>
          <w:b/>
          <w:bCs/>
          <w:color w:val="000000"/>
        </w:rPr>
        <w:t xml:space="preserve"> </w:t>
      </w:r>
      <w:proofErr w:type="gramStart"/>
      <w:r w:rsidRPr="00BC5327">
        <w:rPr>
          <w:rFonts w:asciiTheme="majorHAnsi" w:hAnsiTheme="majorHAnsi" w:cstheme="majorHAnsi"/>
          <w:b/>
          <w:bCs/>
          <w:color w:val="000000"/>
        </w:rPr>
        <w:t>–  Conoscenza</w:t>
      </w:r>
      <w:proofErr w:type="gramEnd"/>
      <w:r w:rsidRPr="00BC5327">
        <w:rPr>
          <w:rFonts w:asciiTheme="majorHAnsi" w:hAnsiTheme="majorHAnsi" w:cstheme="majorHAnsi"/>
          <w:b/>
          <w:bCs/>
          <w:color w:val="000000"/>
        </w:rPr>
        <w:t xml:space="preserve"> polizze ricavo</w:t>
      </w:r>
    </w:p>
    <w:tbl>
      <w:tblPr>
        <w:tblW w:w="5000" w:type="pct"/>
        <w:tblCellMar>
          <w:left w:w="70" w:type="dxa"/>
          <w:right w:w="70" w:type="dxa"/>
        </w:tblCellMar>
        <w:tblLook w:val="04A0" w:firstRow="1" w:lastRow="0" w:firstColumn="1" w:lastColumn="0" w:noHBand="0" w:noVBand="1"/>
      </w:tblPr>
      <w:tblGrid>
        <w:gridCol w:w="7927"/>
        <w:gridCol w:w="1691"/>
      </w:tblGrid>
      <w:tr w:rsidR="001C3944" w:rsidRPr="00C07DBB" w14:paraId="49562B19" w14:textId="77777777" w:rsidTr="001C3944">
        <w:trPr>
          <w:trHeight w:val="20"/>
        </w:trPr>
        <w:tc>
          <w:tcPr>
            <w:tcW w:w="4121" w:type="pct"/>
            <w:tcBorders>
              <w:top w:val="single" w:sz="8" w:space="0" w:color="FF9933"/>
              <w:left w:val="single" w:sz="8" w:space="0" w:color="FF9933"/>
              <w:bottom w:val="nil"/>
              <w:right w:val="nil"/>
            </w:tcBorders>
            <w:shd w:val="clear" w:color="000000" w:fill="FF9933"/>
            <w:vAlign w:val="center"/>
            <w:hideMark/>
          </w:tcPr>
          <w:p w14:paraId="49775000"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Sa che attualmente per il frumento è possibile sottoscrivere polizze contro le perdite di ricavo?</w:t>
            </w:r>
          </w:p>
        </w:tc>
        <w:tc>
          <w:tcPr>
            <w:tcW w:w="879" w:type="pct"/>
            <w:tcBorders>
              <w:top w:val="single" w:sz="8" w:space="0" w:color="FF9933"/>
              <w:left w:val="nil"/>
              <w:bottom w:val="nil"/>
              <w:right w:val="single" w:sz="8" w:space="0" w:color="FF9933"/>
            </w:tcBorders>
            <w:shd w:val="clear" w:color="000000" w:fill="FF9933"/>
            <w:noWrap/>
            <w:vAlign w:val="center"/>
            <w:hideMark/>
          </w:tcPr>
          <w:p w14:paraId="0144D96F"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w:t>
            </w:r>
          </w:p>
        </w:tc>
      </w:tr>
      <w:tr w:rsidR="001C3944" w:rsidRPr="00C07DBB" w14:paraId="082C46A2" w14:textId="77777777" w:rsidTr="001C3944">
        <w:trPr>
          <w:trHeight w:val="20"/>
        </w:trPr>
        <w:tc>
          <w:tcPr>
            <w:tcW w:w="4121" w:type="pct"/>
            <w:tcBorders>
              <w:top w:val="nil"/>
              <w:left w:val="single" w:sz="8" w:space="0" w:color="FF9933"/>
              <w:bottom w:val="single" w:sz="4" w:space="0" w:color="FF9933"/>
              <w:right w:val="nil"/>
            </w:tcBorders>
            <w:shd w:val="clear" w:color="auto" w:fill="auto"/>
            <w:vAlign w:val="center"/>
            <w:hideMark/>
          </w:tcPr>
          <w:p w14:paraId="09C04BA2"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No</w:t>
            </w:r>
          </w:p>
        </w:tc>
        <w:tc>
          <w:tcPr>
            <w:tcW w:w="879" w:type="pct"/>
            <w:tcBorders>
              <w:top w:val="nil"/>
              <w:left w:val="nil"/>
              <w:bottom w:val="single" w:sz="4" w:space="0" w:color="FF9933"/>
              <w:right w:val="single" w:sz="8" w:space="0" w:color="FF9933"/>
            </w:tcBorders>
            <w:shd w:val="clear" w:color="auto" w:fill="auto"/>
            <w:noWrap/>
            <w:vAlign w:val="center"/>
            <w:hideMark/>
          </w:tcPr>
          <w:p w14:paraId="312233DC"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62,2%</w:t>
            </w:r>
          </w:p>
        </w:tc>
      </w:tr>
      <w:tr w:rsidR="001C3944" w:rsidRPr="00C07DBB" w14:paraId="52F87E57" w14:textId="77777777" w:rsidTr="001C3944">
        <w:trPr>
          <w:trHeight w:val="20"/>
        </w:trPr>
        <w:tc>
          <w:tcPr>
            <w:tcW w:w="4121" w:type="pct"/>
            <w:tcBorders>
              <w:top w:val="nil"/>
              <w:left w:val="single" w:sz="8" w:space="0" w:color="FF9933"/>
              <w:bottom w:val="single" w:sz="4" w:space="0" w:color="FF9933"/>
              <w:right w:val="nil"/>
            </w:tcBorders>
            <w:shd w:val="clear" w:color="auto" w:fill="auto"/>
            <w:vAlign w:val="center"/>
            <w:hideMark/>
          </w:tcPr>
          <w:p w14:paraId="259E61CF"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Sì</w:t>
            </w:r>
          </w:p>
        </w:tc>
        <w:tc>
          <w:tcPr>
            <w:tcW w:w="879" w:type="pct"/>
            <w:tcBorders>
              <w:top w:val="nil"/>
              <w:left w:val="nil"/>
              <w:bottom w:val="single" w:sz="4" w:space="0" w:color="FF9933"/>
              <w:right w:val="single" w:sz="8" w:space="0" w:color="FF9933"/>
            </w:tcBorders>
            <w:shd w:val="clear" w:color="auto" w:fill="auto"/>
            <w:noWrap/>
            <w:vAlign w:val="center"/>
            <w:hideMark/>
          </w:tcPr>
          <w:p w14:paraId="481B1B70"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37,8%</w:t>
            </w:r>
          </w:p>
        </w:tc>
      </w:tr>
      <w:tr w:rsidR="001C3944" w:rsidRPr="00C07DBB" w14:paraId="27F77DE9" w14:textId="77777777" w:rsidTr="001C3944">
        <w:trPr>
          <w:trHeight w:val="20"/>
        </w:trPr>
        <w:tc>
          <w:tcPr>
            <w:tcW w:w="4121" w:type="pct"/>
            <w:tcBorders>
              <w:top w:val="nil"/>
              <w:left w:val="single" w:sz="8" w:space="0" w:color="FF9933"/>
              <w:bottom w:val="single" w:sz="8" w:space="0" w:color="FF9933"/>
              <w:right w:val="nil"/>
            </w:tcBorders>
            <w:shd w:val="clear" w:color="auto" w:fill="auto"/>
            <w:vAlign w:val="center"/>
            <w:hideMark/>
          </w:tcPr>
          <w:p w14:paraId="2213A39A"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Totale </w:t>
            </w:r>
          </w:p>
        </w:tc>
        <w:tc>
          <w:tcPr>
            <w:tcW w:w="879" w:type="pct"/>
            <w:tcBorders>
              <w:top w:val="nil"/>
              <w:left w:val="nil"/>
              <w:bottom w:val="single" w:sz="8" w:space="0" w:color="FF9933"/>
              <w:right w:val="single" w:sz="8" w:space="0" w:color="FF9933"/>
            </w:tcBorders>
            <w:shd w:val="clear" w:color="auto" w:fill="auto"/>
            <w:noWrap/>
            <w:vAlign w:val="center"/>
            <w:hideMark/>
          </w:tcPr>
          <w:p w14:paraId="6678162C"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100%</w:t>
            </w:r>
          </w:p>
        </w:tc>
      </w:tr>
    </w:tbl>
    <w:p w14:paraId="376D6C50" w14:textId="77777777" w:rsidR="00BC5327" w:rsidRDefault="00BC5327" w:rsidP="001C3944">
      <w:pPr>
        <w:spacing w:before="240" w:line="276" w:lineRule="auto"/>
        <w:rPr>
          <w:rFonts w:asciiTheme="majorHAnsi" w:hAnsiTheme="majorHAnsi" w:cstheme="majorHAnsi"/>
          <w:b/>
          <w:bCs/>
          <w:color w:val="000000"/>
        </w:rPr>
      </w:pPr>
    </w:p>
    <w:p w14:paraId="5CA62B02" w14:textId="148B19E7" w:rsidR="001C3944" w:rsidRPr="00BC5327" w:rsidRDefault="001C3944" w:rsidP="001C3944">
      <w:pPr>
        <w:spacing w:before="240" w:line="276" w:lineRule="auto"/>
        <w:rPr>
          <w:rFonts w:asciiTheme="majorHAnsi" w:hAnsiTheme="majorHAnsi" w:cstheme="majorHAnsi"/>
          <w:b/>
          <w:bCs/>
          <w:i/>
          <w:color w:val="000000"/>
        </w:rPr>
      </w:pPr>
      <w:r w:rsidRPr="00BC5327">
        <w:rPr>
          <w:rFonts w:asciiTheme="majorHAnsi" w:hAnsiTheme="majorHAnsi" w:cstheme="majorHAnsi"/>
          <w:b/>
          <w:bCs/>
          <w:color w:val="000000"/>
        </w:rPr>
        <w:t xml:space="preserve">Tab. </w:t>
      </w:r>
      <w:r w:rsidR="00BC5327" w:rsidRPr="00BC5327">
        <w:rPr>
          <w:rFonts w:asciiTheme="majorHAnsi" w:hAnsiTheme="majorHAnsi" w:cstheme="majorHAnsi"/>
          <w:b/>
          <w:bCs/>
          <w:color w:val="000000"/>
        </w:rPr>
        <w:t>3.4</w:t>
      </w:r>
      <w:r w:rsidRPr="00BC5327">
        <w:rPr>
          <w:rFonts w:asciiTheme="majorHAnsi" w:hAnsiTheme="majorHAnsi" w:cstheme="majorHAnsi"/>
          <w:b/>
          <w:bCs/>
          <w:color w:val="000000"/>
        </w:rPr>
        <w:t xml:space="preserve"> </w:t>
      </w:r>
      <w:proofErr w:type="gramStart"/>
      <w:r w:rsidRPr="00BC5327">
        <w:rPr>
          <w:rFonts w:asciiTheme="majorHAnsi" w:hAnsiTheme="majorHAnsi" w:cstheme="majorHAnsi"/>
          <w:b/>
          <w:bCs/>
          <w:color w:val="000000"/>
        </w:rPr>
        <w:t>–  Conoscenza</w:t>
      </w:r>
      <w:proofErr w:type="gramEnd"/>
      <w:r w:rsidRPr="00BC5327">
        <w:rPr>
          <w:rFonts w:asciiTheme="majorHAnsi" w:hAnsiTheme="majorHAnsi" w:cstheme="majorHAnsi"/>
          <w:b/>
          <w:bCs/>
          <w:color w:val="000000"/>
        </w:rPr>
        <w:t xml:space="preserve"> polizze ricavo nel settore cerealicolo</w:t>
      </w:r>
    </w:p>
    <w:tbl>
      <w:tblPr>
        <w:tblW w:w="5000" w:type="pct"/>
        <w:tblCellMar>
          <w:left w:w="70" w:type="dxa"/>
          <w:right w:w="70" w:type="dxa"/>
        </w:tblCellMar>
        <w:tblLook w:val="04A0" w:firstRow="1" w:lastRow="0" w:firstColumn="1" w:lastColumn="0" w:noHBand="0" w:noVBand="1"/>
      </w:tblPr>
      <w:tblGrid>
        <w:gridCol w:w="7928"/>
        <w:gridCol w:w="1700"/>
      </w:tblGrid>
      <w:tr w:rsidR="001C3944" w:rsidRPr="00C07DBB" w14:paraId="5952A854" w14:textId="77777777" w:rsidTr="001C3944">
        <w:trPr>
          <w:trHeight w:val="20"/>
        </w:trPr>
        <w:tc>
          <w:tcPr>
            <w:tcW w:w="4117" w:type="pct"/>
            <w:tcBorders>
              <w:top w:val="single" w:sz="8" w:space="0" w:color="FF9933"/>
              <w:left w:val="single" w:sz="8" w:space="0" w:color="FF9933"/>
              <w:bottom w:val="nil"/>
              <w:right w:val="nil"/>
            </w:tcBorders>
            <w:shd w:val="clear" w:color="000000" w:fill="FF9933"/>
            <w:vAlign w:val="center"/>
            <w:hideMark/>
          </w:tcPr>
          <w:p w14:paraId="6DCCE3FC"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Sa che attualmente per il frumento è possibile sottoscrivere polizze contro le perdite di ricavo?</w:t>
            </w:r>
          </w:p>
        </w:tc>
        <w:tc>
          <w:tcPr>
            <w:tcW w:w="883" w:type="pct"/>
            <w:tcBorders>
              <w:top w:val="single" w:sz="8" w:space="0" w:color="FF9933"/>
              <w:left w:val="single" w:sz="8" w:space="0" w:color="FF9933"/>
              <w:bottom w:val="nil"/>
              <w:right w:val="nil"/>
            </w:tcBorders>
            <w:shd w:val="clear" w:color="000000" w:fill="FF9933"/>
            <w:vAlign w:val="center"/>
            <w:hideMark/>
          </w:tcPr>
          <w:p w14:paraId="685328D7"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w:t>
            </w:r>
          </w:p>
        </w:tc>
      </w:tr>
      <w:tr w:rsidR="001C3944" w:rsidRPr="00C07DBB" w14:paraId="50C17442" w14:textId="77777777" w:rsidTr="001C3944">
        <w:trPr>
          <w:trHeight w:val="20"/>
        </w:trPr>
        <w:tc>
          <w:tcPr>
            <w:tcW w:w="4117" w:type="pct"/>
            <w:tcBorders>
              <w:top w:val="nil"/>
              <w:left w:val="single" w:sz="8" w:space="0" w:color="FF9933"/>
              <w:bottom w:val="single" w:sz="4" w:space="0" w:color="FF9933"/>
              <w:right w:val="nil"/>
            </w:tcBorders>
            <w:shd w:val="clear" w:color="auto" w:fill="auto"/>
            <w:vAlign w:val="center"/>
            <w:hideMark/>
          </w:tcPr>
          <w:p w14:paraId="531091C1"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No</w:t>
            </w:r>
          </w:p>
        </w:tc>
        <w:tc>
          <w:tcPr>
            <w:tcW w:w="883" w:type="pct"/>
            <w:tcBorders>
              <w:top w:val="nil"/>
              <w:left w:val="nil"/>
              <w:bottom w:val="single" w:sz="4" w:space="0" w:color="FF9933"/>
              <w:right w:val="single" w:sz="8" w:space="0" w:color="FF9933"/>
            </w:tcBorders>
            <w:shd w:val="clear" w:color="auto" w:fill="auto"/>
            <w:noWrap/>
            <w:vAlign w:val="center"/>
            <w:hideMark/>
          </w:tcPr>
          <w:p w14:paraId="3DB480E4"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49,4%</w:t>
            </w:r>
          </w:p>
        </w:tc>
      </w:tr>
      <w:tr w:rsidR="001C3944" w:rsidRPr="00C07DBB" w14:paraId="2442CE89" w14:textId="77777777" w:rsidTr="001C3944">
        <w:trPr>
          <w:trHeight w:val="20"/>
        </w:trPr>
        <w:tc>
          <w:tcPr>
            <w:tcW w:w="4117" w:type="pct"/>
            <w:tcBorders>
              <w:top w:val="nil"/>
              <w:left w:val="single" w:sz="8" w:space="0" w:color="FF9933"/>
              <w:bottom w:val="single" w:sz="4" w:space="0" w:color="FF9933"/>
              <w:right w:val="nil"/>
            </w:tcBorders>
            <w:shd w:val="clear" w:color="auto" w:fill="auto"/>
            <w:vAlign w:val="center"/>
            <w:hideMark/>
          </w:tcPr>
          <w:p w14:paraId="2895E21E"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Sì</w:t>
            </w:r>
          </w:p>
        </w:tc>
        <w:tc>
          <w:tcPr>
            <w:tcW w:w="883" w:type="pct"/>
            <w:tcBorders>
              <w:top w:val="nil"/>
              <w:left w:val="nil"/>
              <w:bottom w:val="single" w:sz="4" w:space="0" w:color="FF9933"/>
              <w:right w:val="single" w:sz="8" w:space="0" w:color="FF9933"/>
            </w:tcBorders>
            <w:shd w:val="clear" w:color="auto" w:fill="auto"/>
            <w:noWrap/>
            <w:vAlign w:val="center"/>
            <w:hideMark/>
          </w:tcPr>
          <w:p w14:paraId="19106015"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50,6%</w:t>
            </w:r>
          </w:p>
        </w:tc>
      </w:tr>
      <w:tr w:rsidR="001C3944" w:rsidRPr="00C07DBB" w14:paraId="309A8B1F" w14:textId="77777777" w:rsidTr="001C3944">
        <w:trPr>
          <w:trHeight w:val="20"/>
        </w:trPr>
        <w:tc>
          <w:tcPr>
            <w:tcW w:w="4117" w:type="pct"/>
            <w:tcBorders>
              <w:top w:val="nil"/>
              <w:left w:val="single" w:sz="8" w:space="0" w:color="FF9933"/>
              <w:bottom w:val="single" w:sz="8" w:space="0" w:color="FF9933"/>
              <w:right w:val="nil"/>
            </w:tcBorders>
            <w:shd w:val="clear" w:color="auto" w:fill="auto"/>
            <w:vAlign w:val="center"/>
            <w:hideMark/>
          </w:tcPr>
          <w:p w14:paraId="31FA2D7F"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Totale </w:t>
            </w:r>
          </w:p>
        </w:tc>
        <w:tc>
          <w:tcPr>
            <w:tcW w:w="883" w:type="pct"/>
            <w:tcBorders>
              <w:top w:val="nil"/>
              <w:left w:val="nil"/>
              <w:bottom w:val="single" w:sz="8" w:space="0" w:color="FF9933"/>
              <w:right w:val="single" w:sz="8" w:space="0" w:color="FF9933"/>
            </w:tcBorders>
            <w:shd w:val="clear" w:color="auto" w:fill="auto"/>
            <w:noWrap/>
            <w:vAlign w:val="center"/>
            <w:hideMark/>
          </w:tcPr>
          <w:p w14:paraId="65B01ECD"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100%</w:t>
            </w:r>
          </w:p>
        </w:tc>
      </w:tr>
    </w:tbl>
    <w:p w14:paraId="551D2563" w14:textId="77777777" w:rsidR="001C3944" w:rsidRDefault="001C3944" w:rsidP="001C3944"/>
    <w:p w14:paraId="1CF2B80F" w14:textId="00D981BD" w:rsidR="001C3944" w:rsidRPr="00BC5327" w:rsidRDefault="001C3944" w:rsidP="001C3944">
      <w:pPr>
        <w:spacing w:before="240" w:line="276" w:lineRule="auto"/>
        <w:rPr>
          <w:rFonts w:asciiTheme="majorHAnsi" w:hAnsiTheme="majorHAnsi" w:cstheme="majorHAnsi"/>
          <w:b/>
          <w:bCs/>
          <w:i/>
          <w:color w:val="000000"/>
        </w:rPr>
      </w:pPr>
      <w:r w:rsidRPr="00BC5327">
        <w:rPr>
          <w:rFonts w:asciiTheme="majorHAnsi" w:hAnsiTheme="majorHAnsi" w:cstheme="majorHAnsi"/>
          <w:b/>
          <w:bCs/>
          <w:color w:val="000000"/>
        </w:rPr>
        <w:t xml:space="preserve">Tab. </w:t>
      </w:r>
      <w:r w:rsidR="00BC5327" w:rsidRPr="00BC5327">
        <w:rPr>
          <w:rFonts w:asciiTheme="majorHAnsi" w:hAnsiTheme="majorHAnsi" w:cstheme="majorHAnsi"/>
          <w:b/>
          <w:bCs/>
          <w:color w:val="000000"/>
        </w:rPr>
        <w:t>3.</w:t>
      </w:r>
      <w:r w:rsidR="00201B22">
        <w:rPr>
          <w:rFonts w:asciiTheme="majorHAnsi" w:hAnsiTheme="majorHAnsi" w:cstheme="majorHAnsi"/>
          <w:b/>
          <w:bCs/>
          <w:color w:val="000000"/>
        </w:rPr>
        <w:t>5</w:t>
      </w:r>
      <w:r w:rsidRPr="00BC5327">
        <w:rPr>
          <w:rFonts w:asciiTheme="majorHAnsi" w:hAnsiTheme="majorHAnsi" w:cstheme="majorHAnsi"/>
          <w:b/>
          <w:bCs/>
          <w:color w:val="000000"/>
        </w:rPr>
        <w:t xml:space="preserve"> </w:t>
      </w:r>
      <w:proofErr w:type="gramStart"/>
      <w:r w:rsidRPr="00BC5327">
        <w:rPr>
          <w:rFonts w:asciiTheme="majorHAnsi" w:hAnsiTheme="majorHAnsi" w:cstheme="majorHAnsi"/>
          <w:b/>
          <w:bCs/>
          <w:color w:val="000000"/>
        </w:rPr>
        <w:t>–  Conoscenza</w:t>
      </w:r>
      <w:proofErr w:type="gramEnd"/>
      <w:r w:rsidRPr="00BC5327">
        <w:rPr>
          <w:rFonts w:asciiTheme="majorHAnsi" w:hAnsiTheme="majorHAnsi" w:cstheme="majorHAnsi"/>
          <w:b/>
          <w:bCs/>
          <w:color w:val="000000"/>
        </w:rPr>
        <w:t xml:space="preserve"> Fondi di Mutualizzazione</w:t>
      </w:r>
    </w:p>
    <w:tbl>
      <w:tblPr>
        <w:tblW w:w="5000" w:type="pct"/>
        <w:tblCellMar>
          <w:left w:w="70" w:type="dxa"/>
          <w:right w:w="70" w:type="dxa"/>
        </w:tblCellMar>
        <w:tblLook w:val="04A0" w:firstRow="1" w:lastRow="0" w:firstColumn="1" w:lastColumn="0" w:noHBand="0" w:noVBand="1"/>
      </w:tblPr>
      <w:tblGrid>
        <w:gridCol w:w="8354"/>
        <w:gridCol w:w="1264"/>
      </w:tblGrid>
      <w:tr w:rsidR="001C3944" w:rsidRPr="00C07DBB" w14:paraId="49D898B8" w14:textId="77777777" w:rsidTr="001C3944">
        <w:trPr>
          <w:trHeight w:val="285"/>
        </w:trPr>
        <w:tc>
          <w:tcPr>
            <w:tcW w:w="4343" w:type="pct"/>
            <w:tcBorders>
              <w:top w:val="single" w:sz="8" w:space="0" w:color="FF9933"/>
              <w:left w:val="single" w:sz="8" w:space="0" w:color="FF9933"/>
              <w:bottom w:val="nil"/>
              <w:right w:val="nil"/>
            </w:tcBorders>
            <w:shd w:val="clear" w:color="000000" w:fill="FF9933"/>
            <w:vAlign w:val="center"/>
            <w:hideMark/>
          </w:tcPr>
          <w:p w14:paraId="268BE1B4"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Conosce i fondi di mutualizzazione?</w:t>
            </w:r>
          </w:p>
        </w:tc>
        <w:tc>
          <w:tcPr>
            <w:tcW w:w="657" w:type="pct"/>
            <w:tcBorders>
              <w:top w:val="single" w:sz="8" w:space="0" w:color="FF9933"/>
              <w:left w:val="nil"/>
              <w:bottom w:val="nil"/>
              <w:right w:val="single" w:sz="8" w:space="0" w:color="FF9933"/>
            </w:tcBorders>
            <w:shd w:val="clear" w:color="000000" w:fill="FF9933"/>
            <w:noWrap/>
            <w:vAlign w:val="center"/>
            <w:hideMark/>
          </w:tcPr>
          <w:p w14:paraId="5F5E9074"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w:t>
            </w:r>
          </w:p>
        </w:tc>
      </w:tr>
      <w:tr w:rsidR="001C3944" w:rsidRPr="00C07DBB" w14:paraId="495251F9" w14:textId="77777777" w:rsidTr="001C3944">
        <w:trPr>
          <w:trHeight w:val="285"/>
        </w:trPr>
        <w:tc>
          <w:tcPr>
            <w:tcW w:w="4343" w:type="pct"/>
            <w:tcBorders>
              <w:top w:val="nil"/>
              <w:left w:val="single" w:sz="8" w:space="0" w:color="FF9933"/>
              <w:bottom w:val="single" w:sz="4" w:space="0" w:color="FF9933"/>
              <w:right w:val="nil"/>
            </w:tcBorders>
            <w:shd w:val="clear" w:color="auto" w:fill="auto"/>
            <w:vAlign w:val="center"/>
            <w:hideMark/>
          </w:tcPr>
          <w:p w14:paraId="156797DF"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No</w:t>
            </w:r>
          </w:p>
        </w:tc>
        <w:tc>
          <w:tcPr>
            <w:tcW w:w="657" w:type="pct"/>
            <w:tcBorders>
              <w:top w:val="nil"/>
              <w:left w:val="nil"/>
              <w:bottom w:val="single" w:sz="4" w:space="0" w:color="FF9933"/>
              <w:right w:val="single" w:sz="8" w:space="0" w:color="FF9933"/>
            </w:tcBorders>
            <w:shd w:val="clear" w:color="auto" w:fill="auto"/>
            <w:noWrap/>
            <w:vAlign w:val="center"/>
            <w:hideMark/>
          </w:tcPr>
          <w:p w14:paraId="423A155C"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73,8%</w:t>
            </w:r>
          </w:p>
        </w:tc>
      </w:tr>
      <w:tr w:rsidR="001C3944" w:rsidRPr="00C07DBB" w14:paraId="4CE33E04" w14:textId="77777777" w:rsidTr="001C3944">
        <w:trPr>
          <w:trHeight w:val="285"/>
        </w:trPr>
        <w:tc>
          <w:tcPr>
            <w:tcW w:w="4343" w:type="pct"/>
            <w:tcBorders>
              <w:top w:val="nil"/>
              <w:left w:val="single" w:sz="8" w:space="0" w:color="FF9933"/>
              <w:bottom w:val="single" w:sz="4" w:space="0" w:color="FF9933"/>
              <w:right w:val="nil"/>
            </w:tcBorders>
            <w:shd w:val="clear" w:color="auto" w:fill="auto"/>
            <w:vAlign w:val="center"/>
            <w:hideMark/>
          </w:tcPr>
          <w:p w14:paraId="761F9858"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Sì</w:t>
            </w:r>
          </w:p>
        </w:tc>
        <w:tc>
          <w:tcPr>
            <w:tcW w:w="657" w:type="pct"/>
            <w:tcBorders>
              <w:top w:val="nil"/>
              <w:left w:val="nil"/>
              <w:bottom w:val="single" w:sz="4" w:space="0" w:color="FF9933"/>
              <w:right w:val="single" w:sz="8" w:space="0" w:color="FF9933"/>
            </w:tcBorders>
            <w:shd w:val="clear" w:color="auto" w:fill="auto"/>
            <w:noWrap/>
            <w:vAlign w:val="center"/>
            <w:hideMark/>
          </w:tcPr>
          <w:p w14:paraId="35244E79" w14:textId="77777777" w:rsidR="001C3944" w:rsidRPr="00C07DBB" w:rsidRDefault="001C3944" w:rsidP="001C3944">
            <w:pPr>
              <w:spacing w:after="0" w:line="276" w:lineRule="auto"/>
              <w:rPr>
                <w:rFonts w:asciiTheme="majorHAnsi" w:eastAsia="Times New Roman" w:hAnsiTheme="majorHAnsi" w:cstheme="majorHAnsi"/>
                <w:color w:val="000000"/>
                <w:sz w:val="20"/>
                <w:lang w:eastAsia="it-IT"/>
              </w:rPr>
            </w:pPr>
            <w:r w:rsidRPr="00C07DBB">
              <w:rPr>
                <w:rFonts w:asciiTheme="majorHAnsi" w:eastAsia="Times New Roman" w:hAnsiTheme="majorHAnsi" w:cstheme="majorHAnsi"/>
                <w:color w:val="000000"/>
                <w:sz w:val="20"/>
                <w:lang w:eastAsia="it-IT"/>
              </w:rPr>
              <w:t>26,2%</w:t>
            </w:r>
          </w:p>
        </w:tc>
      </w:tr>
      <w:tr w:rsidR="001C3944" w:rsidRPr="00C07DBB" w14:paraId="02F67F0F" w14:textId="77777777" w:rsidTr="001C3944">
        <w:trPr>
          <w:trHeight w:val="300"/>
        </w:trPr>
        <w:tc>
          <w:tcPr>
            <w:tcW w:w="4343" w:type="pct"/>
            <w:tcBorders>
              <w:top w:val="nil"/>
              <w:left w:val="single" w:sz="8" w:space="0" w:color="FF9933"/>
              <w:bottom w:val="single" w:sz="8" w:space="0" w:color="FF9933"/>
              <w:right w:val="nil"/>
            </w:tcBorders>
            <w:shd w:val="clear" w:color="auto" w:fill="auto"/>
            <w:vAlign w:val="center"/>
            <w:hideMark/>
          </w:tcPr>
          <w:p w14:paraId="44CEF2EC"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 xml:space="preserve">Totale </w:t>
            </w:r>
          </w:p>
        </w:tc>
        <w:tc>
          <w:tcPr>
            <w:tcW w:w="657" w:type="pct"/>
            <w:tcBorders>
              <w:top w:val="nil"/>
              <w:left w:val="nil"/>
              <w:bottom w:val="single" w:sz="8" w:space="0" w:color="FF9933"/>
              <w:right w:val="single" w:sz="8" w:space="0" w:color="FF9933"/>
            </w:tcBorders>
            <w:shd w:val="clear" w:color="auto" w:fill="auto"/>
            <w:noWrap/>
            <w:vAlign w:val="center"/>
            <w:hideMark/>
          </w:tcPr>
          <w:p w14:paraId="524A2EE9" w14:textId="77777777" w:rsidR="001C3944" w:rsidRPr="00C07DBB" w:rsidRDefault="001C3944" w:rsidP="001C3944">
            <w:pPr>
              <w:spacing w:after="0" w:line="276" w:lineRule="auto"/>
              <w:rPr>
                <w:rFonts w:asciiTheme="majorHAnsi" w:eastAsia="Times New Roman" w:hAnsiTheme="majorHAnsi" w:cstheme="majorHAnsi"/>
                <w:b/>
                <w:bCs/>
                <w:color w:val="000000"/>
                <w:sz w:val="20"/>
                <w:lang w:eastAsia="it-IT"/>
              </w:rPr>
            </w:pPr>
            <w:r w:rsidRPr="00C07DBB">
              <w:rPr>
                <w:rFonts w:asciiTheme="majorHAnsi" w:eastAsia="Times New Roman" w:hAnsiTheme="majorHAnsi" w:cstheme="majorHAnsi"/>
                <w:b/>
                <w:bCs/>
                <w:color w:val="000000"/>
                <w:sz w:val="20"/>
                <w:lang w:eastAsia="it-IT"/>
              </w:rPr>
              <w:t>100%</w:t>
            </w:r>
          </w:p>
        </w:tc>
      </w:tr>
    </w:tbl>
    <w:p w14:paraId="22946450" w14:textId="77777777" w:rsidR="00BC5327" w:rsidRDefault="00BC5327" w:rsidP="001C3944">
      <w:pPr>
        <w:pStyle w:val="Default"/>
        <w:spacing w:before="240" w:line="276" w:lineRule="auto"/>
        <w:jc w:val="both"/>
        <w:rPr>
          <w:rFonts w:asciiTheme="majorHAnsi" w:hAnsiTheme="majorHAnsi" w:cstheme="majorHAnsi"/>
          <w:sz w:val="22"/>
          <w:szCs w:val="22"/>
          <w:highlight w:val="cyan"/>
        </w:rPr>
      </w:pPr>
    </w:p>
    <w:p w14:paraId="71054BF8" w14:textId="77777777" w:rsidR="00BC5327" w:rsidRDefault="00BC5327" w:rsidP="001C3944">
      <w:pPr>
        <w:pStyle w:val="Default"/>
        <w:spacing w:before="240" w:line="276" w:lineRule="auto"/>
        <w:jc w:val="both"/>
        <w:rPr>
          <w:rFonts w:asciiTheme="majorHAnsi" w:hAnsiTheme="majorHAnsi" w:cstheme="majorHAnsi"/>
          <w:sz w:val="22"/>
          <w:szCs w:val="22"/>
          <w:highlight w:val="cyan"/>
        </w:rPr>
      </w:pPr>
    </w:p>
    <w:p w14:paraId="457510D4" w14:textId="0BB849B6" w:rsidR="001C3944" w:rsidRPr="00201B22" w:rsidRDefault="001C3944" w:rsidP="001C3944">
      <w:pPr>
        <w:pStyle w:val="Default"/>
        <w:spacing w:before="240" w:line="276" w:lineRule="auto"/>
        <w:jc w:val="both"/>
        <w:rPr>
          <w:rFonts w:asciiTheme="majorHAnsi" w:hAnsiTheme="majorHAnsi" w:cstheme="majorHAnsi"/>
          <w:b/>
          <w:bCs/>
          <w:sz w:val="22"/>
          <w:szCs w:val="22"/>
        </w:rPr>
      </w:pPr>
      <w:r w:rsidRPr="00201B22">
        <w:rPr>
          <w:rFonts w:asciiTheme="majorHAnsi" w:hAnsiTheme="majorHAnsi" w:cstheme="majorHAnsi"/>
          <w:b/>
          <w:bCs/>
          <w:sz w:val="22"/>
          <w:szCs w:val="22"/>
        </w:rPr>
        <w:lastRenderedPageBreak/>
        <w:t xml:space="preserve">Fig. </w:t>
      </w:r>
      <w:r w:rsidR="00BC5327" w:rsidRPr="00201B22">
        <w:rPr>
          <w:rFonts w:asciiTheme="majorHAnsi" w:hAnsiTheme="majorHAnsi" w:cstheme="majorHAnsi"/>
          <w:b/>
          <w:bCs/>
          <w:sz w:val="22"/>
          <w:szCs w:val="22"/>
        </w:rPr>
        <w:t>3.2</w:t>
      </w:r>
      <w:r w:rsidRPr="00201B22">
        <w:rPr>
          <w:rFonts w:asciiTheme="majorHAnsi" w:hAnsiTheme="majorHAnsi" w:cstheme="majorHAnsi"/>
          <w:b/>
          <w:bCs/>
          <w:sz w:val="22"/>
          <w:szCs w:val="22"/>
        </w:rPr>
        <w:t xml:space="preserve"> – Parere sui Fondi di Mutualizzazione</w:t>
      </w:r>
    </w:p>
    <w:p w14:paraId="37137F91" w14:textId="77777777" w:rsidR="001C3944" w:rsidRPr="00323DE2" w:rsidRDefault="001C3944" w:rsidP="001C3944">
      <w:pPr>
        <w:pStyle w:val="Default"/>
        <w:spacing w:line="276" w:lineRule="auto"/>
        <w:jc w:val="both"/>
        <w:rPr>
          <w:rFonts w:asciiTheme="majorHAnsi" w:hAnsiTheme="majorHAnsi" w:cstheme="majorHAnsi"/>
          <w:i/>
          <w:sz w:val="22"/>
          <w:szCs w:val="22"/>
        </w:rPr>
      </w:pPr>
      <w:r w:rsidRPr="00323DE2">
        <w:rPr>
          <w:rFonts w:asciiTheme="majorHAnsi" w:hAnsiTheme="majorHAnsi" w:cstheme="majorHAnsi"/>
          <w:noProof/>
          <w:sz w:val="22"/>
          <w:szCs w:val="22"/>
          <w:lang w:eastAsia="it-IT"/>
        </w:rPr>
        <w:drawing>
          <wp:inline distT="0" distB="0" distL="0" distR="0" wp14:anchorId="744BCD1A" wp14:editId="1B085057">
            <wp:extent cx="5961600" cy="2340000"/>
            <wp:effectExtent l="0" t="0" r="1270" b="3175"/>
            <wp:docPr id="36" name="Gra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211B366" w14:textId="77777777" w:rsidR="001C3944" w:rsidRDefault="001C3944" w:rsidP="001C3944">
      <w:pPr>
        <w:rPr>
          <w:rFonts w:asciiTheme="majorHAnsi" w:hAnsiTheme="majorHAnsi" w:cstheme="majorHAnsi"/>
        </w:rPr>
      </w:pPr>
    </w:p>
    <w:p w14:paraId="61819E6A" w14:textId="77777777" w:rsidR="001C3944" w:rsidRPr="00AF7033" w:rsidRDefault="001C3944" w:rsidP="001C3944"/>
    <w:p w14:paraId="72B56C20" w14:textId="77777777" w:rsidR="002817B7" w:rsidRDefault="002817B7" w:rsidP="002817B7"/>
    <w:p w14:paraId="3501F386" w14:textId="367F5173" w:rsidR="002817B7" w:rsidRPr="002817B7" w:rsidRDefault="002817B7" w:rsidP="002817B7">
      <w:pPr>
        <w:pStyle w:val="Titolo2"/>
        <w:rPr>
          <w:color w:val="4BACC6" w:themeColor="accent5"/>
        </w:rPr>
      </w:pPr>
      <w:bookmarkStart w:id="8" w:name="_Toc56584460"/>
      <w:r>
        <w:rPr>
          <w:color w:val="4BACC6" w:themeColor="accent5"/>
        </w:rPr>
        <w:t>3.1 I sistemi di consulenza in relazione alla gestione del rischio</w:t>
      </w:r>
      <w:bookmarkEnd w:id="8"/>
      <w:r w:rsidRPr="002817B7">
        <w:rPr>
          <w:color w:val="4BACC6" w:themeColor="accent5"/>
        </w:rPr>
        <w:t xml:space="preserve"> </w:t>
      </w:r>
    </w:p>
    <w:p w14:paraId="1B896DF8" w14:textId="77777777" w:rsidR="009F3F87" w:rsidRPr="00FD5397" w:rsidRDefault="009F3F87" w:rsidP="002A1691">
      <w:r w:rsidRPr="00FD5397">
        <w:t>Dai focus group condotti con le aziende del Sud Italia emergono quali elementi ostativi alla sottoscrizione di polizze assicurative agevolate, le difficoltà operative e i frequenti casi di dissesto finanziario degli organismi di difesa. Un’evidenza, anche questa, in netto contrasto con le realtà del Nord Italia dove consorzi e cooperative specializzati nella sottoscrizione di polizze collettive assumono invece un ruolo strategico nella gestione dei contratti assicurativi.</w:t>
      </w:r>
    </w:p>
    <w:p w14:paraId="024C9465" w14:textId="77777777" w:rsidR="009F3F87" w:rsidRDefault="009F3F87" w:rsidP="009F3F87"/>
    <w:p w14:paraId="4EE59D3D" w14:textId="08DFCE52" w:rsidR="00606342" w:rsidRDefault="00606342" w:rsidP="009F3F87">
      <w:r>
        <w:br w:type="page"/>
      </w:r>
    </w:p>
    <w:p w14:paraId="0F003870" w14:textId="77777777" w:rsidR="00606342" w:rsidRDefault="00606342" w:rsidP="00606342">
      <w:pPr>
        <w:jc w:val="left"/>
      </w:pPr>
    </w:p>
    <w:p w14:paraId="1681D0F2" w14:textId="036590A5" w:rsidR="00606342" w:rsidRDefault="00606342" w:rsidP="00606342">
      <w:pPr>
        <w:pStyle w:val="Titolo2"/>
        <w:numPr>
          <w:ilvl w:val="0"/>
          <w:numId w:val="1"/>
        </w:numPr>
      </w:pPr>
      <w:bookmarkStart w:id="9" w:name="_Toc56584461"/>
      <w:r>
        <w:t xml:space="preserve">PARTE IV – </w:t>
      </w:r>
      <w:r w:rsidR="00470F06">
        <w:t xml:space="preserve">UN </w:t>
      </w:r>
      <w:r w:rsidRPr="00606342">
        <w:t>FOCUS SULLE AZIENDE DEL MEZZOGIORNO</w:t>
      </w:r>
      <w:bookmarkEnd w:id="9"/>
    </w:p>
    <w:p w14:paraId="0D39867E" w14:textId="77777777" w:rsidR="00606342" w:rsidRDefault="00606342" w:rsidP="00606342"/>
    <w:p w14:paraId="1798F4A3" w14:textId="77777777" w:rsidR="00606342" w:rsidRDefault="00606342" w:rsidP="00606342">
      <w:r>
        <w:t xml:space="preserve">L’analisi della percezione dei rischi sugli imprenditori agricoli del Mezzogiorno consente di comprendere più approfonditamente a quali avversità gli agricoltori del Sud Italia sono più esposti e quali eventi reputano essere più dannosi e difficili da gestire. </w:t>
      </w:r>
    </w:p>
    <w:p w14:paraId="61EDDF4A" w14:textId="77777777" w:rsidR="00606342" w:rsidRDefault="00606342" w:rsidP="00606342">
      <w:r>
        <w:t xml:space="preserve">Da una prima analisi dei principali rischi connessi all’attività delle aziende intervistate, emerge che la maggior parte degli imprenditori (assicurati e non) indica quale prima fonte di preoccupazione le avversità climatiche o atmosferiche (in media tra i due gruppi il 48,6%), seguite dalle fitopatie (27,3% circa) e dalla volatilità dei prezzi e dei costi (22,5%). Solo un esiguo 1,6% dei rispondenti segnala quale possibile rischio aziendale le contaminazioni o l’inquinamento delle falde </w:t>
      </w:r>
      <w:proofErr w:type="gramStart"/>
      <w:r>
        <w:t>acquifere .</w:t>
      </w:r>
      <w:proofErr w:type="gramEnd"/>
    </w:p>
    <w:p w14:paraId="0CFADD15" w14:textId="3302CA91" w:rsidR="009F3F87" w:rsidRDefault="00606342" w:rsidP="00606342">
      <w:r>
        <w:t>Suddividendo il campione tra assicurati e non assicurati, ma anche disaggregandolo a livello regionale, si nota una sostanziale omogeneità nella percezione dei rischi aziendali; l’unica differenza significativa, si rileva nel caso della volatilità dei prezzi, con gli agricoltori assicurati che sembrano essere maggiormente sensibili al tema dei rischi di mercato rispetto ai non assicurati (3,6 punti percentuali in più).</w:t>
      </w:r>
    </w:p>
    <w:p w14:paraId="444EB6E9" w14:textId="77777777" w:rsidR="00606342" w:rsidRDefault="00606342" w:rsidP="00606342">
      <w:r>
        <w:t>A livello aggregato, dunque, le percezioni degli agricoltori confermano il cambiamento climatico quale principale fattore di rischio per la produzione, contrariamente alle evidenze di alcuni studi da cui emerge che la volatilità dei prezzi e dei costi delle principali commodities agricole sia l’elemento che più di altri contribuisce alla determinazione dei redditi degli agricoltori (</w:t>
      </w:r>
      <w:r w:rsidRPr="00201B22">
        <w:rPr>
          <w:highlight w:val="green"/>
        </w:rPr>
        <w:t>CIA, 2011; OECD, 2008</w:t>
      </w:r>
      <w:r>
        <w:t xml:space="preserve">). </w:t>
      </w:r>
    </w:p>
    <w:p w14:paraId="55800AF5" w14:textId="7435A981" w:rsidR="00606342" w:rsidRDefault="00606342" w:rsidP="00606342">
      <w:r>
        <w:t>Sviluppando l’analisi dei rischi percepiti per ciascuno dei comparti produttivi considerati, si evince che i settori maggiormente sensibili alle avversità climatiche o atmosferiche sono quelli dei cereali e dell’olivicoltura. In entrambi i casi, infatti, circa il 50% dei rispondenti manifesta timori rispetto al rischio indicato; il dato è superiore alla media del Mezzogiorno, pari al 48,6% dei rispondenti. I settori olivicolo e vitivinicolo mostrano invece una maggiore sensibilità verso i rischi da fitopatie, mentre il comparto dei cereali sembra attribuirvi meno peso. La volatilità dei prezzi e dei costi preoccupa in misura maggiore i produttori di agrumi e ortaggi, con gli olivicoltori che invece risultano essere i meno sensibili alle dinamiche di mercato. Le contaminazioni ambientali sono percepite come potenziale fattore di rischio, dal 2,6% degli agricoltori del comparto cerealicolo a fronte di un dato medio pari all’1,6%; nel caso degli agrumi, invece, esclusivamente lo 0,3% degli imprenditori lo indica come elemento critico.</w:t>
      </w:r>
    </w:p>
    <w:p w14:paraId="1405B91A" w14:textId="5B54A463" w:rsidR="00606342" w:rsidRDefault="00606342" w:rsidP="00606342">
      <w:r w:rsidRPr="00606342">
        <w:t>L’agricoltore avverte la gravità della minaccia climatica anche alla luce dell’incremento della frequenza e dell’intensità di fenomeni estremi che potrebbero determinare la perdita di una quota ingente della produzione e di conseguenza del reddito aziendale (</w:t>
      </w:r>
      <w:r w:rsidRPr="00BC5327">
        <w:rPr>
          <w:highlight w:val="green"/>
        </w:rPr>
        <w:t>OECD, 2012</w:t>
      </w:r>
      <w:r w:rsidRPr="00606342">
        <w:t>). Da quanto emerge dall’analisi dei dati, la stragrande maggioranza degli agricoltori ritiene che gli eventi climatici stiano effettivamente peggiorando. Infatti, soltanto il 15,5% degli intervistati sostiene che negli anni più recenti non sia cambiato nulla rispetto al passato. L’84,5% dei capo azienda concorda invece sul generale peggioramento delle condizioni atmosferiche: di questi il 34% circa afferma che gli eventi siano invariati per tipologia ma stiano crescendo via via di intensità, risultando pertanto più dannosi; il 23% circa percepisce un incremento nella frequenza con cui gli eventi si manifestano; infine il 27,7% del campione ritiene che ci sia ormai un’esposizione fisiologica a una molteplicità di eventi che si presentano con maggior frequenza rispetto al passato. I timori espressi dagli agricoltori intervistati sembrano essere in linea con i recenti studi sul cambiamento climatico. Infatti, se da un lato è noto che violente grandinate, raffiche di vento, trombe d’aria e alluvioni lampo si siano sempre verificate sul territorio italiano, dall’altro vi sono evidenze che tali fenomeni stiano diventando mediamente più intensi, a fronte di una frequenza all’incirca stabile, con un impatto particolarmente elevato nel periodo estivo (</w:t>
      </w:r>
      <w:r w:rsidRPr="00201B22">
        <w:rPr>
          <w:highlight w:val="green"/>
        </w:rPr>
        <w:t xml:space="preserve">Zhang et al., 2017; Van </w:t>
      </w:r>
      <w:proofErr w:type="spellStart"/>
      <w:r w:rsidRPr="00201B22">
        <w:rPr>
          <w:highlight w:val="green"/>
        </w:rPr>
        <w:t>Passel</w:t>
      </w:r>
      <w:proofErr w:type="spellEnd"/>
      <w:r w:rsidRPr="00201B22">
        <w:rPr>
          <w:highlight w:val="green"/>
        </w:rPr>
        <w:t xml:space="preserve"> et al., 2017</w:t>
      </w:r>
      <w:r w:rsidRPr="00606342">
        <w:t>).</w:t>
      </w:r>
    </w:p>
    <w:p w14:paraId="608A0084" w14:textId="012649CD" w:rsidR="00606342" w:rsidRDefault="00606342" w:rsidP="00606342">
      <w:r w:rsidRPr="00606342">
        <w:t xml:space="preserve">Passando all’analisi settoriale, i produttori del vitivinicolo e dell’olivicolo sono quelli che, in termini relativi, non rilevano, rispetto al passato, sostanziali mutamenti in relazione agli effetti generati dai cambiamenti climatici ed è forse per tale ragione che, come si vedrà più avanti, in quote significative dichiarano di non impiegare alcuno strumento di gestione del rischio per prevenire perdite di produzione e di reddito. Va evidenziato, tuttavia, che la totalità dei settori indica in misura prevalente la presenza di significativi cambiamenti climatici rispetto al passato. Nello specifico, la maggiore intensità degli eventi dannosi, derivanti </w:t>
      </w:r>
      <w:r w:rsidRPr="00606342">
        <w:lastRenderedPageBreak/>
        <w:t>da un’estremizzazione dei fenomeni avversi, è segnalata soprattutto dai cerealicoltori e nei comparti di frutta e agrumi. L’aumentata frequenza presenta invece percentuali più omogenee a livello settoriale, mentre sono soprattutto gli operatori del comparto ortivo a ritenere che il numero di eventi sia in aumento rispetto al passato per effetto dei cambianti climatici.</w:t>
      </w:r>
    </w:p>
    <w:p w14:paraId="7EC6BD93" w14:textId="39E0218A" w:rsidR="00606342" w:rsidRDefault="00606342" w:rsidP="00606342">
      <w:r w:rsidRPr="00606342">
        <w:t>Tra le avversità atmosferiche maggiormente dannose spicca la grandine, che il 35,3% degli intervistati ritiene sia causa dei danni più ingenti, una percezione che sembrerebbe in linea con quanto sostenuto dai climatologi circa la maggiore violenza delle grandinate degli ultimi anni (</w:t>
      </w:r>
      <w:proofErr w:type="spellStart"/>
      <w:r w:rsidRPr="00BC5327">
        <w:rPr>
          <w:highlight w:val="green"/>
        </w:rPr>
        <w:t>Eccel</w:t>
      </w:r>
      <w:proofErr w:type="spellEnd"/>
      <w:r w:rsidRPr="00BC5327">
        <w:rPr>
          <w:highlight w:val="green"/>
        </w:rPr>
        <w:t xml:space="preserve"> et al., 2012</w:t>
      </w:r>
      <w:r w:rsidRPr="00606342">
        <w:t xml:space="preserve">). A seguire vengono indicati la siccità dal 25,2% degli agricoltori e il gelo e brina dal 20,4%. Come eventi climatici mediamente dannosi sono stati invece segnalati il vento forte dal 7,6% dei rispondenti e l’eccesso di pioggia dal 7,3%. </w:t>
      </w:r>
      <w:proofErr w:type="gramStart"/>
      <w:r w:rsidRPr="00606342">
        <w:t>Infine</w:t>
      </w:r>
      <w:proofErr w:type="gramEnd"/>
      <w:r w:rsidRPr="00606342">
        <w:t xml:space="preserve"> i colpi di calore e le alluvioni, indicati come cause di danni rispettivamente dal 3% e 1,2% degli intervistati, sembrano rientrare tra gli eventi ritenuti meno pericolosi per le colture indicate.</w:t>
      </w:r>
    </w:p>
    <w:p w14:paraId="7ABF88DD" w14:textId="1230F4DA" w:rsidR="00606342" w:rsidRDefault="00606342" w:rsidP="00606342">
      <w:r w:rsidRPr="00606342">
        <w:t xml:space="preserve">Per quanto concerne l’impiego di tecniche o strumenti per la gestione del rischio, emerge una forte differenziazione tra assicurati e non assicurati. Una prima evidenza è l’elevata incidenza di agricoltori non assicurati (36,5%) che dichiara di non aver impiegato negli ultimi cinque anni nessuno strumento per il contenimento dei rischi aziendali. Su tale dato è necessario porre particolare attenzione, poiché evidenzia non soltanto un disinteresse nei confronti del sistema assicurativo ma anche una generale tendenza a non considerare i rischi aziendali associati sia a fattori di mercato sia meteo-climatici. Nel campione degli assicurati, invece, la quota scende al 13%, ma il dato è riferito al </w:t>
      </w:r>
      <w:proofErr w:type="spellStart"/>
      <w:r w:rsidRPr="00606342">
        <w:t>sottocampione</w:t>
      </w:r>
      <w:proofErr w:type="spellEnd"/>
      <w:r w:rsidRPr="00606342">
        <w:t xml:space="preserve"> degli ex </w:t>
      </w:r>
      <w:proofErr w:type="gramStart"/>
      <w:r w:rsidRPr="00606342">
        <w:t>assicurati  che</w:t>
      </w:r>
      <w:proofErr w:type="gramEnd"/>
      <w:r w:rsidRPr="00606342">
        <w:t>, dopo essere fuoriusciti dal sistema assicurativo, non hanno adottato negli ultimi cinque anni alcuno strumento per il contenimento o la prevenzione dei rischi aziendali.</w:t>
      </w:r>
    </w:p>
    <w:p w14:paraId="1377573A" w14:textId="6518BD37" w:rsidR="00606342" w:rsidRDefault="00606342" w:rsidP="00606342">
      <w:r w:rsidRPr="00606342">
        <w:t>A livello settoriale, tra i conduttori assicurati, emerge una forte diversificazione tra gli strumenti di gestione del rischio utilizzati. Negli ultimi cinque anni coloro che hanno fatto maggiormente ricorso alle polizze agevolate sono i capi azienda del comparto degli ortaggi (36,6% del campione), seguiti dai produttori di agrumi (33,3%) e di frutta fresca (32%). Nel settore olivicolo, invece, il ricorso allo strumento assicurativo per il contenimento dei rischi è estremamente ridotto; solo il 18,6% degli agricoltori dichiara di aver stipulato una polizza negli ultimi cinque anni, forse per la mancata possibilità di assicurare fitopatie come la mosca dell’olivo. Oltre a ciò, si rileva per l’olivicoltura la quota più elevata di coloro che fanno ricorso a strutture di protezione (10,7%) e, in egual misura rispetto ai settori agrumicolo e vitivinicolo, di quanti dichiarano di non aver impiegato alcuno strumento di gestione del rischio (26,7%). Nel comparto olivicolo e frutticolo è anche piuttosto elevata l’incidenza di imprenditori che impiegano tecniche agronomiche di prevenzione (rispettivamente pari al 44% e al 45,3% degli intervistati).</w:t>
      </w:r>
    </w:p>
    <w:p w14:paraId="709F9E77" w14:textId="04DEF43A" w:rsidR="00AF7033" w:rsidRDefault="00AF7033" w:rsidP="00AF7033">
      <w:pPr>
        <w:pStyle w:val="Paragrafoelenco"/>
        <w:tabs>
          <w:tab w:val="left" w:pos="1005"/>
        </w:tabs>
        <w:autoSpaceDE w:val="0"/>
        <w:autoSpaceDN w:val="0"/>
        <w:adjustRightInd w:val="0"/>
        <w:spacing w:line="276" w:lineRule="auto"/>
        <w:rPr>
          <w:rFonts w:asciiTheme="majorHAnsi" w:hAnsiTheme="majorHAnsi" w:cstheme="majorHAnsi"/>
          <w:color w:val="000000"/>
        </w:rPr>
      </w:pPr>
    </w:p>
    <w:p w14:paraId="784BF7E9" w14:textId="1572913F" w:rsidR="00606342" w:rsidRDefault="00606342" w:rsidP="00201B22">
      <w:pPr>
        <w:pStyle w:val="Paragrafoelenco"/>
        <w:tabs>
          <w:tab w:val="left" w:pos="1005"/>
        </w:tabs>
        <w:autoSpaceDE w:val="0"/>
        <w:autoSpaceDN w:val="0"/>
        <w:adjustRightInd w:val="0"/>
        <w:spacing w:line="276" w:lineRule="auto"/>
        <w:jc w:val="left"/>
        <w:rPr>
          <w:rFonts w:asciiTheme="majorHAnsi" w:hAnsiTheme="majorHAnsi" w:cstheme="majorHAnsi"/>
          <w:color w:val="000000"/>
        </w:rPr>
      </w:pPr>
    </w:p>
    <w:p w14:paraId="2480A963" w14:textId="593B909B" w:rsidR="00606342" w:rsidRPr="00201B22" w:rsidRDefault="00606342" w:rsidP="00201B22">
      <w:pPr>
        <w:spacing w:after="0" w:line="276" w:lineRule="auto"/>
        <w:jc w:val="left"/>
        <w:rPr>
          <w:rFonts w:asciiTheme="majorHAnsi" w:eastAsia="Times New Roman" w:hAnsiTheme="majorHAnsi" w:cs="Calibri"/>
          <w:b/>
          <w:bCs/>
          <w:lang w:eastAsia="it-IT"/>
        </w:rPr>
      </w:pPr>
      <w:r w:rsidRPr="00201B22">
        <w:rPr>
          <w:rFonts w:asciiTheme="majorHAnsi" w:eastAsia="Times New Roman" w:hAnsiTheme="majorHAnsi" w:cs="Calibri"/>
          <w:b/>
          <w:bCs/>
          <w:lang w:eastAsia="it-IT"/>
        </w:rPr>
        <w:t xml:space="preserve">FIG </w:t>
      </w:r>
      <w:r w:rsidR="00201B22" w:rsidRPr="00201B22">
        <w:rPr>
          <w:rFonts w:asciiTheme="majorHAnsi" w:eastAsia="Times New Roman" w:hAnsiTheme="majorHAnsi" w:cs="Calibri"/>
          <w:b/>
          <w:bCs/>
          <w:lang w:eastAsia="it-IT"/>
        </w:rPr>
        <w:t>4.1</w:t>
      </w:r>
      <w:r w:rsidRPr="00201B22">
        <w:rPr>
          <w:rFonts w:asciiTheme="majorHAnsi" w:eastAsia="Times New Roman" w:hAnsiTheme="majorHAnsi" w:cs="Calibri"/>
          <w:b/>
          <w:bCs/>
          <w:lang w:eastAsia="it-IT"/>
        </w:rPr>
        <w:t xml:space="preserve"> - Principali rischi percepiti legati all’attività agricola, aziende assicurate e non</w:t>
      </w:r>
    </w:p>
    <w:p w14:paraId="49381FF6" w14:textId="566ABE86" w:rsidR="00606342" w:rsidRDefault="00606342" w:rsidP="00201B22">
      <w:pPr>
        <w:pStyle w:val="Didascalia"/>
        <w:spacing w:before="240" w:line="276" w:lineRule="auto"/>
        <w:jc w:val="left"/>
        <w:rPr>
          <w:rFonts w:asciiTheme="majorHAnsi" w:hAnsiTheme="majorHAnsi" w:cstheme="majorHAnsi"/>
          <w:i w:val="0"/>
          <w:iCs w:val="0"/>
          <w:color w:val="auto"/>
          <w:sz w:val="22"/>
          <w:szCs w:val="22"/>
        </w:rPr>
      </w:pPr>
      <w:r w:rsidRPr="00323DE2">
        <w:rPr>
          <w:rFonts w:asciiTheme="majorHAnsi" w:hAnsiTheme="majorHAnsi"/>
          <w:noProof/>
          <w:sz w:val="22"/>
          <w:szCs w:val="22"/>
          <w:lang w:eastAsia="it-IT"/>
        </w:rPr>
        <w:drawing>
          <wp:inline distT="0" distB="0" distL="0" distR="0" wp14:anchorId="4F0869E7" wp14:editId="35ECBF11">
            <wp:extent cx="4154537" cy="23241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59756" cy="2327020"/>
                    </a:xfrm>
                    <a:prstGeom prst="rect">
                      <a:avLst/>
                    </a:prstGeom>
                    <a:noFill/>
                    <a:ln>
                      <a:noFill/>
                    </a:ln>
                  </pic:spPr>
                </pic:pic>
              </a:graphicData>
            </a:graphic>
          </wp:inline>
        </w:drawing>
      </w:r>
    </w:p>
    <w:p w14:paraId="581C023B" w14:textId="77777777" w:rsidR="00606342" w:rsidRPr="00606342" w:rsidRDefault="00606342" w:rsidP="00201B22">
      <w:pPr>
        <w:jc w:val="left"/>
      </w:pPr>
    </w:p>
    <w:p w14:paraId="651554AD" w14:textId="42609E7E" w:rsidR="00606342" w:rsidRPr="00201B22" w:rsidRDefault="00201B22" w:rsidP="00201B22">
      <w:pPr>
        <w:spacing w:line="276" w:lineRule="auto"/>
        <w:jc w:val="left"/>
        <w:rPr>
          <w:rFonts w:asciiTheme="majorHAnsi" w:eastAsia="Times New Roman" w:hAnsiTheme="majorHAnsi" w:cs="Calibri"/>
          <w:b/>
          <w:bCs/>
          <w:iCs/>
          <w:lang w:eastAsia="it-IT"/>
        </w:rPr>
      </w:pPr>
      <w:r w:rsidRPr="00201B22">
        <w:rPr>
          <w:rFonts w:asciiTheme="majorHAnsi" w:eastAsia="Times New Roman" w:hAnsiTheme="majorHAnsi" w:cs="Calibri"/>
          <w:b/>
          <w:bCs/>
          <w:iCs/>
          <w:lang w:eastAsia="it-IT"/>
        </w:rPr>
        <w:lastRenderedPageBreak/>
        <w:t>Tab.4.1</w:t>
      </w:r>
      <w:r w:rsidR="00606342" w:rsidRPr="00201B22">
        <w:rPr>
          <w:rFonts w:asciiTheme="majorHAnsi" w:eastAsia="Times New Roman" w:hAnsiTheme="majorHAnsi" w:cs="Calibri"/>
          <w:b/>
          <w:bCs/>
          <w:iCs/>
          <w:lang w:eastAsia="it-IT"/>
        </w:rPr>
        <w:t xml:space="preserve"> - Principali rischi percepiti legati all’attività agricola per settore, aziende assicurate e non</w:t>
      </w:r>
    </w:p>
    <w:p w14:paraId="7E5E4F8E" w14:textId="77777777" w:rsidR="00606342" w:rsidRPr="00323DE2" w:rsidRDefault="00606342" w:rsidP="00201B22">
      <w:pPr>
        <w:spacing w:line="276" w:lineRule="auto"/>
        <w:jc w:val="left"/>
        <w:rPr>
          <w:rFonts w:asciiTheme="majorHAnsi" w:eastAsia="Times New Roman" w:hAnsiTheme="majorHAnsi" w:cs="Calibri"/>
          <w:iCs/>
          <w:lang w:eastAsia="it-IT"/>
        </w:rPr>
      </w:pPr>
      <w:r w:rsidRPr="00323DE2">
        <w:rPr>
          <w:rFonts w:asciiTheme="majorHAnsi" w:hAnsiTheme="majorHAnsi"/>
          <w:noProof/>
          <w:lang w:eastAsia="it-IT"/>
        </w:rPr>
        <w:drawing>
          <wp:inline distT="0" distB="0" distL="0" distR="0" wp14:anchorId="223A0441" wp14:editId="26C1E923">
            <wp:extent cx="6120130" cy="19832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1983200"/>
                    </a:xfrm>
                    <a:prstGeom prst="rect">
                      <a:avLst/>
                    </a:prstGeom>
                    <a:noFill/>
                    <a:ln>
                      <a:noFill/>
                    </a:ln>
                  </pic:spPr>
                </pic:pic>
              </a:graphicData>
            </a:graphic>
          </wp:inline>
        </w:drawing>
      </w:r>
    </w:p>
    <w:p w14:paraId="03DE6C4C" w14:textId="77777777" w:rsidR="00606342" w:rsidRDefault="00606342" w:rsidP="00201B22">
      <w:pPr>
        <w:spacing w:after="0" w:line="276" w:lineRule="auto"/>
        <w:jc w:val="left"/>
        <w:rPr>
          <w:rFonts w:asciiTheme="majorHAnsi" w:eastAsia="Times New Roman" w:hAnsiTheme="majorHAnsi" w:cs="Calibri"/>
          <w:lang w:eastAsia="it-IT"/>
        </w:rPr>
      </w:pPr>
    </w:p>
    <w:p w14:paraId="1DD16E18" w14:textId="4C587908" w:rsidR="00606342" w:rsidRPr="00201B22" w:rsidRDefault="00606342" w:rsidP="00201B22">
      <w:pPr>
        <w:spacing w:line="276" w:lineRule="auto"/>
        <w:jc w:val="left"/>
        <w:rPr>
          <w:rFonts w:asciiTheme="majorHAnsi" w:eastAsia="Times New Roman" w:hAnsiTheme="majorHAnsi" w:cs="Calibri"/>
          <w:b/>
          <w:bCs/>
          <w:iCs/>
          <w:lang w:eastAsia="it-IT"/>
        </w:rPr>
      </w:pPr>
      <w:r w:rsidRPr="00201B22">
        <w:rPr>
          <w:rFonts w:asciiTheme="majorHAnsi" w:eastAsia="Times New Roman" w:hAnsiTheme="majorHAnsi" w:cs="Calibri"/>
          <w:b/>
          <w:bCs/>
          <w:iCs/>
          <w:lang w:eastAsia="it-IT"/>
        </w:rPr>
        <w:t xml:space="preserve">FIG </w:t>
      </w:r>
      <w:r w:rsidR="00201B22" w:rsidRPr="00201B22">
        <w:rPr>
          <w:rFonts w:asciiTheme="majorHAnsi" w:eastAsia="Times New Roman" w:hAnsiTheme="majorHAnsi" w:cs="Calibri"/>
          <w:b/>
          <w:bCs/>
          <w:iCs/>
          <w:lang w:eastAsia="it-IT"/>
        </w:rPr>
        <w:t>4.2</w:t>
      </w:r>
      <w:r w:rsidRPr="00201B22">
        <w:rPr>
          <w:rFonts w:asciiTheme="majorHAnsi" w:eastAsia="Times New Roman" w:hAnsiTheme="majorHAnsi" w:cs="Calibri"/>
          <w:b/>
          <w:bCs/>
          <w:iCs/>
          <w:lang w:eastAsia="it-IT"/>
        </w:rPr>
        <w:t xml:space="preserve"> - La percezione degli effetti recenti del cambiamento climatico, aziende assicurate e non</w:t>
      </w:r>
    </w:p>
    <w:p w14:paraId="06794844" w14:textId="77777777" w:rsidR="00606342" w:rsidRPr="00201B22" w:rsidRDefault="00606342" w:rsidP="00201B22">
      <w:pPr>
        <w:spacing w:before="60" w:after="0" w:line="276" w:lineRule="auto"/>
        <w:jc w:val="left"/>
        <w:rPr>
          <w:rFonts w:asciiTheme="majorHAnsi" w:hAnsiTheme="majorHAnsi" w:cstheme="majorHAnsi"/>
        </w:rPr>
      </w:pPr>
      <w:r w:rsidRPr="00201B22">
        <w:rPr>
          <w:rFonts w:asciiTheme="majorHAnsi" w:hAnsiTheme="majorHAnsi"/>
          <w:noProof/>
          <w:lang w:eastAsia="it-IT"/>
        </w:rPr>
        <w:drawing>
          <wp:inline distT="0" distB="0" distL="0" distR="0" wp14:anchorId="7819AE0A" wp14:editId="44EBC78E">
            <wp:extent cx="5234511" cy="2711450"/>
            <wp:effectExtent l="0" t="0" r="4445" b="0"/>
            <wp:docPr id="3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5533" cy="2711979"/>
                    </a:xfrm>
                    <a:prstGeom prst="rect">
                      <a:avLst/>
                    </a:prstGeom>
                    <a:noFill/>
                    <a:ln>
                      <a:noFill/>
                    </a:ln>
                  </pic:spPr>
                </pic:pic>
              </a:graphicData>
            </a:graphic>
          </wp:inline>
        </w:drawing>
      </w:r>
    </w:p>
    <w:p w14:paraId="75D61F5C" w14:textId="24537A83" w:rsidR="00606342" w:rsidRPr="00201B22" w:rsidRDefault="00606342" w:rsidP="00201B22">
      <w:pPr>
        <w:spacing w:before="60" w:after="0" w:line="276" w:lineRule="auto"/>
        <w:jc w:val="left"/>
        <w:rPr>
          <w:rFonts w:asciiTheme="majorHAnsi" w:hAnsiTheme="majorHAnsi" w:cstheme="majorHAnsi"/>
        </w:rPr>
      </w:pPr>
    </w:p>
    <w:p w14:paraId="318FCAF5" w14:textId="77777777" w:rsidR="00606342" w:rsidRPr="00201B22" w:rsidRDefault="00606342" w:rsidP="00201B22">
      <w:pPr>
        <w:spacing w:before="60" w:after="0" w:line="276" w:lineRule="auto"/>
        <w:jc w:val="left"/>
        <w:rPr>
          <w:rFonts w:asciiTheme="majorHAnsi" w:hAnsiTheme="majorHAnsi" w:cstheme="majorHAnsi"/>
        </w:rPr>
      </w:pPr>
    </w:p>
    <w:p w14:paraId="249DF727" w14:textId="2CE0D123" w:rsidR="00606342" w:rsidRPr="00201B22" w:rsidRDefault="00606342" w:rsidP="00201B22">
      <w:pPr>
        <w:spacing w:line="276" w:lineRule="auto"/>
        <w:jc w:val="left"/>
        <w:rPr>
          <w:rFonts w:asciiTheme="majorHAnsi" w:eastAsia="Times New Roman" w:hAnsiTheme="majorHAnsi" w:cs="Calibri"/>
          <w:b/>
          <w:bCs/>
          <w:lang w:eastAsia="it-IT"/>
        </w:rPr>
      </w:pPr>
      <w:r w:rsidRPr="00201B22">
        <w:rPr>
          <w:rFonts w:asciiTheme="majorHAnsi" w:eastAsia="Times New Roman" w:hAnsiTheme="majorHAnsi" w:cs="Calibri"/>
          <w:b/>
          <w:bCs/>
          <w:lang w:eastAsia="it-IT"/>
        </w:rPr>
        <w:t>T</w:t>
      </w:r>
      <w:r w:rsidR="00201B22" w:rsidRPr="00201B22">
        <w:rPr>
          <w:rFonts w:asciiTheme="majorHAnsi" w:eastAsia="Times New Roman" w:hAnsiTheme="majorHAnsi" w:cs="Calibri"/>
          <w:b/>
          <w:bCs/>
          <w:lang w:eastAsia="it-IT"/>
        </w:rPr>
        <w:t>ab</w:t>
      </w:r>
      <w:r w:rsidRPr="00201B22">
        <w:rPr>
          <w:rFonts w:asciiTheme="majorHAnsi" w:eastAsia="Times New Roman" w:hAnsiTheme="majorHAnsi" w:cs="Calibri"/>
          <w:b/>
          <w:bCs/>
          <w:lang w:eastAsia="it-IT"/>
        </w:rPr>
        <w:t xml:space="preserve"> </w:t>
      </w:r>
      <w:r w:rsidR="00201B22" w:rsidRPr="00201B22">
        <w:rPr>
          <w:rFonts w:asciiTheme="majorHAnsi" w:eastAsia="Times New Roman" w:hAnsiTheme="majorHAnsi" w:cs="Calibri"/>
          <w:b/>
          <w:bCs/>
          <w:lang w:eastAsia="it-IT"/>
        </w:rPr>
        <w:t>4.2</w:t>
      </w:r>
      <w:r w:rsidRPr="00201B22">
        <w:rPr>
          <w:rFonts w:asciiTheme="majorHAnsi" w:eastAsia="Times New Roman" w:hAnsiTheme="majorHAnsi" w:cs="Calibri"/>
          <w:b/>
          <w:bCs/>
          <w:lang w:eastAsia="it-IT"/>
        </w:rPr>
        <w:t xml:space="preserve"> - La percezione degli effetti del cambiamento climatico per settore, aziende assicurate e non</w:t>
      </w:r>
    </w:p>
    <w:p w14:paraId="5B1F5C26" w14:textId="77777777" w:rsidR="00606342" w:rsidRPr="00323DE2" w:rsidRDefault="00606342" w:rsidP="00201B22">
      <w:pPr>
        <w:spacing w:line="276" w:lineRule="auto"/>
        <w:jc w:val="left"/>
        <w:rPr>
          <w:rFonts w:asciiTheme="majorHAnsi" w:eastAsia="Times New Roman" w:hAnsiTheme="majorHAnsi" w:cs="Calibri"/>
          <w:iCs/>
          <w:lang w:eastAsia="it-IT"/>
        </w:rPr>
      </w:pPr>
      <w:r w:rsidRPr="00323DE2">
        <w:rPr>
          <w:rFonts w:asciiTheme="majorHAnsi" w:hAnsiTheme="majorHAnsi"/>
          <w:noProof/>
          <w:lang w:eastAsia="it-IT"/>
        </w:rPr>
        <w:drawing>
          <wp:inline distT="0" distB="0" distL="0" distR="0" wp14:anchorId="2AFE9813" wp14:editId="041CE547">
            <wp:extent cx="6120130" cy="19832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1983200"/>
                    </a:xfrm>
                    <a:prstGeom prst="rect">
                      <a:avLst/>
                    </a:prstGeom>
                    <a:noFill/>
                    <a:ln>
                      <a:noFill/>
                    </a:ln>
                  </pic:spPr>
                </pic:pic>
              </a:graphicData>
            </a:graphic>
          </wp:inline>
        </w:drawing>
      </w:r>
    </w:p>
    <w:p w14:paraId="56A266CE" w14:textId="77777777" w:rsidR="00606342" w:rsidRDefault="00606342" w:rsidP="00201B22">
      <w:pPr>
        <w:spacing w:after="0" w:line="276" w:lineRule="auto"/>
        <w:jc w:val="left"/>
        <w:rPr>
          <w:rFonts w:asciiTheme="majorHAnsi" w:eastAsia="Times New Roman" w:hAnsiTheme="majorHAnsi" w:cs="Calibri"/>
          <w:iCs/>
          <w:lang w:eastAsia="it-IT"/>
        </w:rPr>
      </w:pPr>
    </w:p>
    <w:p w14:paraId="7E28557F" w14:textId="47C3EBEE" w:rsidR="00606342" w:rsidRDefault="00606342" w:rsidP="00201B22">
      <w:pPr>
        <w:spacing w:after="0" w:line="276" w:lineRule="auto"/>
        <w:jc w:val="left"/>
        <w:rPr>
          <w:rFonts w:asciiTheme="majorHAnsi" w:eastAsia="Times New Roman" w:hAnsiTheme="majorHAnsi" w:cs="Calibri"/>
          <w:iCs/>
          <w:lang w:eastAsia="it-IT"/>
        </w:rPr>
      </w:pPr>
    </w:p>
    <w:p w14:paraId="423ED67D" w14:textId="77777777" w:rsidR="00201B22" w:rsidRDefault="00201B22" w:rsidP="00201B22">
      <w:pPr>
        <w:spacing w:after="0" w:line="276" w:lineRule="auto"/>
        <w:jc w:val="left"/>
        <w:rPr>
          <w:rFonts w:asciiTheme="majorHAnsi" w:eastAsia="Times New Roman" w:hAnsiTheme="majorHAnsi" w:cs="Calibri"/>
          <w:iCs/>
          <w:lang w:eastAsia="it-IT"/>
        </w:rPr>
      </w:pPr>
    </w:p>
    <w:p w14:paraId="07968C0C" w14:textId="5DD5BF34" w:rsidR="00606342" w:rsidRPr="00201B22" w:rsidRDefault="00606342" w:rsidP="00201B22">
      <w:pPr>
        <w:spacing w:after="0" w:line="276" w:lineRule="auto"/>
        <w:jc w:val="left"/>
        <w:rPr>
          <w:rFonts w:asciiTheme="majorHAnsi" w:eastAsia="Times New Roman" w:hAnsiTheme="majorHAnsi" w:cs="Calibri"/>
          <w:b/>
          <w:bCs/>
          <w:iCs/>
          <w:lang w:eastAsia="it-IT"/>
        </w:rPr>
      </w:pPr>
      <w:r w:rsidRPr="00201B22">
        <w:rPr>
          <w:rFonts w:asciiTheme="majorHAnsi" w:eastAsia="Times New Roman" w:hAnsiTheme="majorHAnsi" w:cs="Calibri"/>
          <w:b/>
          <w:bCs/>
          <w:iCs/>
          <w:lang w:eastAsia="it-IT"/>
        </w:rPr>
        <w:lastRenderedPageBreak/>
        <w:t xml:space="preserve">FIG </w:t>
      </w:r>
      <w:r w:rsidR="00201B22" w:rsidRPr="00201B22">
        <w:rPr>
          <w:rFonts w:asciiTheme="majorHAnsi" w:eastAsia="Times New Roman" w:hAnsiTheme="majorHAnsi" w:cs="Calibri"/>
          <w:b/>
          <w:bCs/>
          <w:iCs/>
          <w:lang w:eastAsia="it-IT"/>
        </w:rPr>
        <w:t>4.3</w:t>
      </w:r>
      <w:r w:rsidRPr="00201B22">
        <w:rPr>
          <w:rFonts w:asciiTheme="majorHAnsi" w:eastAsia="Times New Roman" w:hAnsiTheme="majorHAnsi" w:cs="Calibri"/>
          <w:b/>
          <w:bCs/>
          <w:iCs/>
          <w:lang w:eastAsia="it-IT"/>
        </w:rPr>
        <w:t xml:space="preserve"> - Le avversità atmosferiche più rischiose, aziende assicurate e non</w:t>
      </w:r>
    </w:p>
    <w:p w14:paraId="35876F05" w14:textId="77777777" w:rsidR="00606342" w:rsidRPr="00323DE2" w:rsidRDefault="00606342" w:rsidP="00201B22">
      <w:pPr>
        <w:spacing w:after="0" w:line="276" w:lineRule="auto"/>
        <w:jc w:val="left"/>
        <w:rPr>
          <w:rFonts w:asciiTheme="majorHAnsi" w:eastAsia="Times New Roman" w:hAnsiTheme="majorHAnsi" w:cs="Calibri"/>
          <w:iCs/>
          <w:lang w:eastAsia="it-IT"/>
        </w:rPr>
      </w:pPr>
    </w:p>
    <w:p w14:paraId="27BAD14F" w14:textId="77777777" w:rsidR="00606342" w:rsidRPr="00323DE2" w:rsidRDefault="00606342" w:rsidP="00201B22">
      <w:pPr>
        <w:spacing w:after="0" w:line="276" w:lineRule="auto"/>
        <w:jc w:val="left"/>
        <w:rPr>
          <w:rFonts w:asciiTheme="majorHAnsi" w:hAnsiTheme="majorHAnsi"/>
          <w:noProof/>
          <w:lang w:eastAsia="it-IT"/>
        </w:rPr>
      </w:pPr>
      <w:r w:rsidRPr="00323DE2">
        <w:rPr>
          <w:rFonts w:asciiTheme="majorHAnsi" w:hAnsiTheme="majorHAnsi"/>
          <w:noProof/>
          <w:lang w:eastAsia="it-IT"/>
        </w:rPr>
        <w:drawing>
          <wp:inline distT="0" distB="0" distL="0" distR="0" wp14:anchorId="63947622" wp14:editId="5184F009">
            <wp:extent cx="6120130" cy="2151106"/>
            <wp:effectExtent l="0" t="0" r="0" b="1905"/>
            <wp:docPr id="40"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2151106"/>
                    </a:xfrm>
                    <a:prstGeom prst="rect">
                      <a:avLst/>
                    </a:prstGeom>
                    <a:noFill/>
                    <a:ln>
                      <a:noFill/>
                    </a:ln>
                  </pic:spPr>
                </pic:pic>
              </a:graphicData>
            </a:graphic>
          </wp:inline>
        </w:drawing>
      </w:r>
    </w:p>
    <w:p w14:paraId="44FC89E8" w14:textId="77777777" w:rsidR="00606342" w:rsidRPr="00201B22" w:rsidRDefault="00606342" w:rsidP="00201B22">
      <w:pPr>
        <w:spacing w:after="0" w:line="276" w:lineRule="auto"/>
        <w:jc w:val="left"/>
        <w:rPr>
          <w:rFonts w:asciiTheme="majorHAnsi" w:hAnsiTheme="majorHAnsi"/>
          <w:b/>
          <w:bCs/>
          <w:noProof/>
          <w:lang w:eastAsia="it-IT"/>
        </w:rPr>
      </w:pPr>
    </w:p>
    <w:p w14:paraId="6060C0DF" w14:textId="65478C09" w:rsidR="00606342" w:rsidRPr="00201B22" w:rsidRDefault="00606342" w:rsidP="00201B22">
      <w:pPr>
        <w:spacing w:line="276" w:lineRule="auto"/>
        <w:jc w:val="left"/>
        <w:rPr>
          <w:rFonts w:asciiTheme="majorHAnsi" w:eastAsia="Times New Roman" w:hAnsiTheme="majorHAnsi" w:cs="Calibri"/>
          <w:b/>
          <w:bCs/>
          <w:lang w:eastAsia="it-IT"/>
        </w:rPr>
      </w:pPr>
      <w:r w:rsidRPr="00201B22">
        <w:rPr>
          <w:rFonts w:asciiTheme="majorHAnsi" w:eastAsia="Times New Roman" w:hAnsiTheme="majorHAnsi" w:cs="Calibri"/>
          <w:b/>
          <w:bCs/>
          <w:lang w:eastAsia="it-IT"/>
        </w:rPr>
        <w:t>T</w:t>
      </w:r>
      <w:r w:rsidR="00201B22" w:rsidRPr="00201B22">
        <w:rPr>
          <w:rFonts w:asciiTheme="majorHAnsi" w:eastAsia="Times New Roman" w:hAnsiTheme="majorHAnsi" w:cs="Calibri"/>
          <w:b/>
          <w:bCs/>
          <w:lang w:eastAsia="it-IT"/>
        </w:rPr>
        <w:t>ab</w:t>
      </w:r>
      <w:r w:rsidRPr="00201B22">
        <w:rPr>
          <w:rFonts w:asciiTheme="majorHAnsi" w:eastAsia="Times New Roman" w:hAnsiTheme="majorHAnsi" w:cs="Calibri"/>
          <w:b/>
          <w:bCs/>
          <w:lang w:eastAsia="it-IT"/>
        </w:rPr>
        <w:t xml:space="preserve"> </w:t>
      </w:r>
      <w:r w:rsidR="00201B22" w:rsidRPr="00201B22">
        <w:rPr>
          <w:rFonts w:asciiTheme="majorHAnsi" w:eastAsia="Times New Roman" w:hAnsiTheme="majorHAnsi" w:cs="Calibri"/>
          <w:b/>
          <w:bCs/>
          <w:lang w:eastAsia="it-IT"/>
        </w:rPr>
        <w:t>4.3</w:t>
      </w:r>
      <w:r w:rsidRPr="00201B22">
        <w:rPr>
          <w:rFonts w:asciiTheme="majorHAnsi" w:eastAsia="Times New Roman" w:hAnsiTheme="majorHAnsi" w:cs="Calibri"/>
          <w:b/>
          <w:bCs/>
          <w:lang w:eastAsia="it-IT"/>
        </w:rPr>
        <w:t xml:space="preserve"> - Il ricorso agli strumenti di gestione del rischio, aziende assicurate e non</w:t>
      </w:r>
    </w:p>
    <w:p w14:paraId="7AD40A2B" w14:textId="7469EAE6" w:rsidR="00606342" w:rsidRDefault="00606342" w:rsidP="00201B22">
      <w:pPr>
        <w:spacing w:before="240" w:line="276" w:lineRule="auto"/>
        <w:jc w:val="left"/>
        <w:rPr>
          <w:rFonts w:asciiTheme="majorHAnsi" w:hAnsiTheme="majorHAnsi" w:cstheme="majorHAnsi"/>
        </w:rPr>
      </w:pPr>
      <w:r w:rsidRPr="00323DE2">
        <w:rPr>
          <w:rFonts w:asciiTheme="majorHAnsi" w:hAnsiTheme="majorHAnsi"/>
          <w:noProof/>
          <w:lang w:eastAsia="it-IT"/>
        </w:rPr>
        <w:drawing>
          <wp:inline distT="0" distB="0" distL="0" distR="0" wp14:anchorId="73F96282" wp14:editId="4144FBE1">
            <wp:extent cx="4991100" cy="1993900"/>
            <wp:effectExtent l="0" t="0" r="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91100" cy="1993900"/>
                    </a:xfrm>
                    <a:prstGeom prst="rect">
                      <a:avLst/>
                    </a:prstGeom>
                    <a:noFill/>
                    <a:ln>
                      <a:noFill/>
                    </a:ln>
                  </pic:spPr>
                </pic:pic>
              </a:graphicData>
            </a:graphic>
          </wp:inline>
        </w:drawing>
      </w:r>
    </w:p>
    <w:p w14:paraId="1E6567DA" w14:textId="77777777" w:rsidR="00606342" w:rsidRPr="00323DE2" w:rsidRDefault="00606342" w:rsidP="00201B22">
      <w:pPr>
        <w:spacing w:before="240" w:line="276" w:lineRule="auto"/>
        <w:jc w:val="left"/>
        <w:rPr>
          <w:rFonts w:asciiTheme="majorHAnsi" w:hAnsiTheme="majorHAnsi" w:cstheme="majorHAnsi"/>
        </w:rPr>
      </w:pPr>
    </w:p>
    <w:p w14:paraId="440EAC5A" w14:textId="74E5687B" w:rsidR="00606342" w:rsidRPr="00201B22" w:rsidRDefault="00606342" w:rsidP="00201B22">
      <w:pPr>
        <w:spacing w:before="240" w:after="0" w:line="276" w:lineRule="auto"/>
        <w:jc w:val="left"/>
        <w:rPr>
          <w:rFonts w:asciiTheme="majorHAnsi" w:eastAsia="Times New Roman" w:hAnsiTheme="majorHAnsi" w:cs="Calibri"/>
          <w:b/>
          <w:bCs/>
          <w:lang w:eastAsia="it-IT"/>
        </w:rPr>
      </w:pPr>
      <w:r w:rsidRPr="00201B22">
        <w:rPr>
          <w:rFonts w:asciiTheme="majorHAnsi" w:eastAsia="Times New Roman" w:hAnsiTheme="majorHAnsi" w:cs="Calibri"/>
          <w:b/>
          <w:bCs/>
          <w:lang w:eastAsia="it-IT"/>
        </w:rPr>
        <w:t xml:space="preserve">FIG </w:t>
      </w:r>
      <w:r w:rsidR="00201B22" w:rsidRPr="00201B22">
        <w:rPr>
          <w:rFonts w:asciiTheme="majorHAnsi" w:eastAsia="Times New Roman" w:hAnsiTheme="majorHAnsi" w:cs="Calibri"/>
          <w:b/>
          <w:bCs/>
          <w:lang w:eastAsia="it-IT"/>
        </w:rPr>
        <w:t>4.4</w:t>
      </w:r>
      <w:r w:rsidRPr="00201B22">
        <w:rPr>
          <w:rFonts w:asciiTheme="majorHAnsi" w:eastAsia="Times New Roman" w:hAnsiTheme="majorHAnsi" w:cs="Calibri"/>
          <w:b/>
          <w:bCs/>
          <w:lang w:eastAsia="it-IT"/>
        </w:rPr>
        <w:t xml:space="preserve"> - Il ricorso agli strumenti di gestione del rischio per settore, aziende assicurate</w:t>
      </w:r>
    </w:p>
    <w:p w14:paraId="01F6C221" w14:textId="77777777" w:rsidR="00606342" w:rsidRPr="00323DE2" w:rsidRDefault="00606342" w:rsidP="00201B22">
      <w:pPr>
        <w:spacing w:after="0" w:line="276" w:lineRule="auto"/>
        <w:jc w:val="left"/>
        <w:rPr>
          <w:rFonts w:asciiTheme="majorHAnsi" w:hAnsiTheme="majorHAnsi" w:cstheme="majorHAnsi"/>
        </w:rPr>
      </w:pPr>
      <w:r w:rsidRPr="00323DE2">
        <w:rPr>
          <w:rFonts w:asciiTheme="majorHAnsi" w:hAnsiTheme="majorHAnsi"/>
          <w:noProof/>
          <w:lang w:eastAsia="it-IT"/>
        </w:rPr>
        <w:drawing>
          <wp:inline distT="0" distB="0" distL="0" distR="0" wp14:anchorId="0E7FBAE3" wp14:editId="55314944">
            <wp:extent cx="6120130" cy="2151106"/>
            <wp:effectExtent l="0" t="0" r="0" b="190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2151106"/>
                    </a:xfrm>
                    <a:prstGeom prst="rect">
                      <a:avLst/>
                    </a:prstGeom>
                    <a:noFill/>
                    <a:ln>
                      <a:noFill/>
                    </a:ln>
                  </pic:spPr>
                </pic:pic>
              </a:graphicData>
            </a:graphic>
          </wp:inline>
        </w:drawing>
      </w:r>
    </w:p>
    <w:p w14:paraId="72821FC3" w14:textId="77777777" w:rsidR="00606342" w:rsidRPr="00323DE2" w:rsidRDefault="00606342" w:rsidP="00201B22">
      <w:pPr>
        <w:spacing w:before="240" w:line="276" w:lineRule="auto"/>
        <w:jc w:val="left"/>
        <w:rPr>
          <w:rFonts w:asciiTheme="majorHAnsi" w:hAnsiTheme="majorHAnsi" w:cstheme="majorHAnsi"/>
          <w:b/>
          <w:color w:val="000000"/>
        </w:rPr>
      </w:pPr>
    </w:p>
    <w:p w14:paraId="05096964" w14:textId="77777777" w:rsidR="00606342" w:rsidRPr="00323DE2" w:rsidRDefault="00606342" w:rsidP="00201B22">
      <w:pPr>
        <w:spacing w:before="240" w:line="276" w:lineRule="auto"/>
        <w:jc w:val="left"/>
        <w:rPr>
          <w:rFonts w:asciiTheme="majorHAnsi" w:hAnsiTheme="majorHAnsi" w:cstheme="majorHAnsi"/>
          <w:b/>
          <w:color w:val="000000"/>
        </w:rPr>
      </w:pPr>
    </w:p>
    <w:p w14:paraId="256AC7D8" w14:textId="77777777" w:rsidR="00E12B37" w:rsidRDefault="00E12B37" w:rsidP="00E12B37">
      <w:pPr>
        <w:pStyle w:val="Titolo1"/>
      </w:pPr>
      <w:bookmarkStart w:id="10" w:name="_Toc55827783"/>
      <w:bookmarkStart w:id="11" w:name="_Toc56584462"/>
      <w:r>
        <w:lastRenderedPageBreak/>
        <w:t>Riferimenti a documentazione utile</w:t>
      </w:r>
      <w:bookmarkEnd w:id="10"/>
      <w:bookmarkEnd w:id="11"/>
    </w:p>
    <w:p w14:paraId="0C816A6F" w14:textId="77777777" w:rsidR="00E12B37" w:rsidRPr="00BC55B6" w:rsidRDefault="00E12B37" w:rsidP="00E12B37">
      <w:pPr>
        <w:pStyle w:val="Titolo2"/>
      </w:pPr>
      <w:bookmarkStart w:id="12" w:name="_Toc55827784"/>
      <w:bookmarkStart w:id="13" w:name="_Toc56584463"/>
      <w:r>
        <w:t>Pubblicazioni</w:t>
      </w:r>
      <w:bookmarkEnd w:id="12"/>
      <w:bookmarkEnd w:id="13"/>
    </w:p>
    <w:p w14:paraId="3FFD030B" w14:textId="384CD848" w:rsidR="007D6773" w:rsidRPr="006E647E" w:rsidRDefault="007D6773" w:rsidP="00C210CE">
      <w:pPr>
        <w:numPr>
          <w:ilvl w:val="0"/>
          <w:numId w:val="27"/>
        </w:numPr>
        <w:spacing w:before="100" w:beforeAutospacing="1" w:after="100" w:afterAutospacing="1"/>
        <w:jc w:val="left"/>
        <w:rPr>
          <w:rFonts w:eastAsia="Times New Roman"/>
          <w:color w:val="000000"/>
          <w:sz w:val="24"/>
          <w:szCs w:val="24"/>
        </w:rPr>
      </w:pPr>
      <w:r w:rsidRPr="006E647E">
        <w:rPr>
          <w:rFonts w:eastAsia="Times New Roman"/>
          <w:color w:val="000000"/>
          <w:sz w:val="24"/>
          <w:szCs w:val="24"/>
        </w:rPr>
        <w:t xml:space="preserve">Ismea (2018), Rapporto sulla gestione del rischio in Agricoltura. Stato dell’arte e scenari evolutivi per la stabilizzazione dei redditi in agricoltura, </w:t>
      </w:r>
      <w:r w:rsidR="006E647E">
        <w:fldChar w:fldCharType="begin"/>
      </w:r>
      <w:r w:rsidR="006E647E">
        <w:instrText xml:space="preserve"> HYPERLINK "http://www.ismea.it/flex/cm/pages/ServeBLOB.php/L/IT/IDPagina/10230" </w:instrText>
      </w:r>
      <w:r w:rsidR="006E647E">
        <w:fldChar w:fldCharType="separate"/>
      </w:r>
      <w:r w:rsidRPr="006E647E">
        <w:rPr>
          <w:rFonts w:eastAsia="Times New Roman"/>
          <w:color w:val="000000"/>
          <w:sz w:val="24"/>
          <w:szCs w:val="24"/>
        </w:rPr>
        <w:t>http://www.ismea.it/flex/cm/pages/ServeBLOB.php/L/IT/IDPagina/10230</w:t>
      </w:r>
      <w:r w:rsidR="006E647E">
        <w:rPr>
          <w:rFonts w:eastAsia="Times New Roman"/>
          <w:color w:val="000000"/>
          <w:sz w:val="24"/>
          <w:szCs w:val="24"/>
          <w:lang w:val="en-GB"/>
        </w:rPr>
        <w:fldChar w:fldCharType="end"/>
      </w:r>
    </w:p>
    <w:p w14:paraId="686A8A9F" w14:textId="7712249C" w:rsidR="007D6773" w:rsidRPr="006E647E" w:rsidRDefault="007D6773" w:rsidP="00C210CE">
      <w:pPr>
        <w:numPr>
          <w:ilvl w:val="0"/>
          <w:numId w:val="27"/>
        </w:numPr>
        <w:spacing w:before="100" w:beforeAutospacing="1" w:after="100" w:afterAutospacing="1"/>
        <w:jc w:val="left"/>
        <w:rPr>
          <w:rFonts w:eastAsia="Times New Roman"/>
          <w:color w:val="000000"/>
          <w:sz w:val="24"/>
          <w:szCs w:val="24"/>
        </w:rPr>
      </w:pPr>
      <w:r w:rsidRPr="006E647E">
        <w:rPr>
          <w:rFonts w:eastAsia="Times New Roman"/>
          <w:color w:val="000000"/>
          <w:sz w:val="24"/>
          <w:szCs w:val="24"/>
        </w:rPr>
        <w:t xml:space="preserve">Ismea (2019), Rapporto sulla gestione del rischio in Agricoltura 2019 </w:t>
      </w:r>
      <w:r w:rsidR="006E647E">
        <w:fldChar w:fldCharType="begin"/>
      </w:r>
      <w:r w:rsidR="006E647E">
        <w:instrText xml:space="preserve"> HYPERLINK "http://www.ismea.it/fl</w:instrText>
      </w:r>
      <w:r w:rsidR="006E647E">
        <w:instrText xml:space="preserve">ex/cm/pages/ServeBLOB.php/L/IT/IDPagina/10718" </w:instrText>
      </w:r>
      <w:r w:rsidR="006E647E">
        <w:fldChar w:fldCharType="separate"/>
      </w:r>
      <w:r w:rsidRPr="006E647E">
        <w:rPr>
          <w:rFonts w:eastAsia="Times New Roman"/>
          <w:color w:val="000000"/>
          <w:sz w:val="24"/>
          <w:szCs w:val="24"/>
        </w:rPr>
        <w:t>http://www.ismea.it/flex/cm/pages/ServeBLOB.php/L/IT/IDPagina/10718</w:t>
      </w:r>
      <w:r w:rsidR="006E647E">
        <w:rPr>
          <w:rFonts w:eastAsia="Times New Roman"/>
          <w:color w:val="000000"/>
          <w:sz w:val="24"/>
          <w:szCs w:val="24"/>
          <w:lang w:val="en-GB"/>
        </w:rPr>
        <w:fldChar w:fldCharType="end"/>
      </w:r>
    </w:p>
    <w:p w14:paraId="2DC59727" w14:textId="77777777" w:rsidR="00C210CE" w:rsidRDefault="00C210CE" w:rsidP="00C210CE">
      <w:pPr>
        <w:numPr>
          <w:ilvl w:val="0"/>
          <w:numId w:val="27"/>
        </w:numPr>
        <w:spacing w:before="100" w:beforeAutospacing="1" w:after="100" w:afterAutospacing="1"/>
        <w:jc w:val="left"/>
        <w:rPr>
          <w:rFonts w:eastAsia="Times New Roman"/>
          <w:color w:val="000000"/>
          <w:sz w:val="24"/>
          <w:szCs w:val="24"/>
        </w:rPr>
      </w:pPr>
      <w:r>
        <w:rPr>
          <w:rFonts w:eastAsia="Times New Roman"/>
          <w:color w:val="000000"/>
          <w:sz w:val="24"/>
          <w:szCs w:val="24"/>
        </w:rPr>
        <w:t>Ismea (2020), La gestione del rischio nella percezione delle grandi aziende agricole agevolate, </w:t>
      </w:r>
      <w:hyperlink r:id="rId23" w:history="1">
        <w:r>
          <w:rPr>
            <w:rStyle w:val="Collegamentoipertestuale"/>
            <w:rFonts w:eastAsia="Times New Roman"/>
            <w:sz w:val="24"/>
            <w:szCs w:val="24"/>
          </w:rPr>
          <w:t>http://www.ismea.it/flex/cm/pages/ServeBLOB.php/L/IT/IDPagina/10940</w:t>
        </w:r>
      </w:hyperlink>
    </w:p>
    <w:p w14:paraId="1044763B" w14:textId="77777777" w:rsidR="00C210CE" w:rsidRPr="00C210CE" w:rsidRDefault="00C210CE" w:rsidP="00C210CE">
      <w:pPr>
        <w:numPr>
          <w:ilvl w:val="0"/>
          <w:numId w:val="27"/>
        </w:numPr>
        <w:spacing w:before="100" w:beforeAutospacing="1" w:after="100" w:afterAutospacing="1"/>
        <w:jc w:val="left"/>
        <w:rPr>
          <w:rFonts w:eastAsia="Times New Roman"/>
          <w:color w:val="000000"/>
          <w:sz w:val="24"/>
          <w:szCs w:val="24"/>
          <w:lang w:val="en-GB"/>
        </w:rPr>
      </w:pPr>
      <w:r w:rsidRPr="00C210CE">
        <w:rPr>
          <w:rFonts w:eastAsia="Times New Roman"/>
          <w:color w:val="000000"/>
          <w:sz w:val="24"/>
          <w:szCs w:val="24"/>
          <w:lang w:val="en-GB"/>
        </w:rPr>
        <w:t xml:space="preserve">OECD (2008), Competition and commodities price volatility, </w:t>
      </w:r>
      <w:r w:rsidRPr="00C210CE">
        <w:rPr>
          <w:rFonts w:eastAsia="Times New Roman"/>
          <w:color w:val="000000"/>
          <w:sz w:val="24"/>
          <w:szCs w:val="24"/>
          <w:shd w:val="clear" w:color="auto" w:fill="FFFFFF"/>
          <w:lang w:val="en-GB"/>
        </w:rPr>
        <w:t xml:space="preserve">OECD Publishing, </w:t>
      </w:r>
      <w:proofErr w:type="gramStart"/>
      <w:r w:rsidRPr="00C210CE">
        <w:rPr>
          <w:rFonts w:eastAsia="Times New Roman"/>
          <w:color w:val="000000"/>
          <w:sz w:val="24"/>
          <w:szCs w:val="24"/>
          <w:shd w:val="clear" w:color="auto" w:fill="FFFFFF"/>
          <w:lang w:val="en-GB"/>
        </w:rPr>
        <w:t>Paris.</w:t>
      </w:r>
      <w:r w:rsidRPr="00C210CE">
        <w:rPr>
          <w:rFonts w:eastAsia="Times New Roman"/>
          <w:color w:val="000000"/>
          <w:sz w:val="24"/>
          <w:szCs w:val="24"/>
          <w:lang w:val="en-GB"/>
        </w:rPr>
        <w:t>.</w:t>
      </w:r>
      <w:proofErr w:type="gramEnd"/>
      <w:r w:rsidRPr="00C210CE">
        <w:rPr>
          <w:rFonts w:eastAsia="Times New Roman"/>
          <w:color w:val="000000"/>
          <w:sz w:val="24"/>
          <w:szCs w:val="24"/>
          <w:lang w:val="en-GB"/>
        </w:rPr>
        <w:t> </w:t>
      </w:r>
    </w:p>
    <w:p w14:paraId="2D787EB7" w14:textId="77777777" w:rsidR="00C210CE" w:rsidRPr="00C210CE" w:rsidRDefault="00C210CE" w:rsidP="00C210CE">
      <w:pPr>
        <w:numPr>
          <w:ilvl w:val="0"/>
          <w:numId w:val="27"/>
        </w:numPr>
        <w:spacing w:before="100" w:beforeAutospacing="1" w:after="100" w:afterAutospacing="1"/>
        <w:jc w:val="left"/>
        <w:rPr>
          <w:rFonts w:eastAsia="Times New Roman"/>
          <w:color w:val="000000"/>
          <w:sz w:val="24"/>
          <w:szCs w:val="24"/>
          <w:lang w:val="en-GB"/>
        </w:rPr>
      </w:pPr>
      <w:r w:rsidRPr="00C210CE">
        <w:rPr>
          <w:rFonts w:eastAsia="Times New Roman"/>
          <w:color w:val="000000"/>
          <w:sz w:val="24"/>
          <w:szCs w:val="24"/>
          <w:lang w:val="en-GB"/>
        </w:rPr>
        <w:t>OECD (2012), Multifunctionality in agriculture: evaluating the degree of jointness, policy implications, OECD Publishing, Paris.</w:t>
      </w:r>
    </w:p>
    <w:p w14:paraId="02A1FEB0" w14:textId="77777777" w:rsidR="00C210CE" w:rsidRDefault="00C210CE" w:rsidP="00C210CE">
      <w:pPr>
        <w:numPr>
          <w:ilvl w:val="0"/>
          <w:numId w:val="27"/>
        </w:numPr>
        <w:spacing w:before="100" w:beforeAutospacing="1" w:after="100" w:afterAutospacing="1"/>
        <w:jc w:val="left"/>
        <w:rPr>
          <w:rFonts w:eastAsia="Times New Roman"/>
          <w:color w:val="000000"/>
          <w:sz w:val="24"/>
          <w:szCs w:val="24"/>
        </w:rPr>
      </w:pPr>
      <w:r>
        <w:rPr>
          <w:rFonts w:ascii="Arial" w:eastAsia="Times New Roman" w:hAnsi="Arial" w:cs="Arial"/>
          <w:color w:val="222222"/>
          <w:sz w:val="20"/>
          <w:szCs w:val="20"/>
          <w:shd w:val="clear" w:color="auto" w:fill="FFFFFF"/>
        </w:rPr>
        <w:t xml:space="preserve">Van </w:t>
      </w:r>
      <w:proofErr w:type="spellStart"/>
      <w:r>
        <w:rPr>
          <w:rFonts w:ascii="Arial" w:eastAsia="Times New Roman" w:hAnsi="Arial" w:cs="Arial"/>
          <w:color w:val="222222"/>
          <w:sz w:val="20"/>
          <w:szCs w:val="20"/>
          <w:shd w:val="clear" w:color="auto" w:fill="FFFFFF"/>
        </w:rPr>
        <w:t>Passel</w:t>
      </w:r>
      <w:proofErr w:type="spellEnd"/>
      <w:r>
        <w:rPr>
          <w:rFonts w:ascii="Arial" w:eastAsia="Times New Roman" w:hAnsi="Arial" w:cs="Arial"/>
          <w:color w:val="222222"/>
          <w:sz w:val="20"/>
          <w:szCs w:val="20"/>
          <w:shd w:val="clear" w:color="auto" w:fill="FFFFFF"/>
        </w:rPr>
        <w:t xml:space="preserve">, S., Massetti, E., &amp; </w:t>
      </w:r>
      <w:proofErr w:type="spellStart"/>
      <w:r>
        <w:rPr>
          <w:rFonts w:ascii="Arial" w:eastAsia="Times New Roman" w:hAnsi="Arial" w:cs="Arial"/>
          <w:color w:val="222222"/>
          <w:sz w:val="20"/>
          <w:szCs w:val="20"/>
          <w:shd w:val="clear" w:color="auto" w:fill="FFFFFF"/>
        </w:rPr>
        <w:t>Mendelsohn</w:t>
      </w:r>
      <w:proofErr w:type="spellEnd"/>
      <w:r>
        <w:rPr>
          <w:rFonts w:ascii="Arial" w:eastAsia="Times New Roman" w:hAnsi="Arial" w:cs="Arial"/>
          <w:color w:val="222222"/>
          <w:sz w:val="20"/>
          <w:szCs w:val="20"/>
          <w:shd w:val="clear" w:color="auto" w:fill="FFFFFF"/>
        </w:rPr>
        <w:t xml:space="preserve">, R. (2017). </w:t>
      </w:r>
      <w:r w:rsidRPr="00C210CE">
        <w:rPr>
          <w:rFonts w:ascii="Arial" w:eastAsia="Times New Roman" w:hAnsi="Arial" w:cs="Arial"/>
          <w:color w:val="222222"/>
          <w:sz w:val="20"/>
          <w:szCs w:val="20"/>
          <w:shd w:val="clear" w:color="auto" w:fill="FFFFFF"/>
          <w:lang w:val="en-GB"/>
        </w:rPr>
        <w:t>A Ricardian analysis of the impact of climate change on European agriculture. </w:t>
      </w:r>
      <w:proofErr w:type="spellStart"/>
      <w:r>
        <w:rPr>
          <w:rFonts w:ascii="Arial" w:eastAsia="Times New Roman" w:hAnsi="Arial" w:cs="Arial"/>
          <w:i/>
          <w:iCs/>
          <w:color w:val="222222"/>
          <w:sz w:val="20"/>
          <w:szCs w:val="20"/>
          <w:shd w:val="clear" w:color="auto" w:fill="FFFFFF"/>
        </w:rPr>
        <w:t>Environmental</w:t>
      </w:r>
      <w:proofErr w:type="spellEnd"/>
      <w:r>
        <w:rPr>
          <w:rFonts w:ascii="Arial" w:eastAsia="Times New Roman" w:hAnsi="Arial" w:cs="Arial"/>
          <w:i/>
          <w:iCs/>
          <w:color w:val="222222"/>
          <w:sz w:val="20"/>
          <w:szCs w:val="20"/>
          <w:shd w:val="clear" w:color="auto" w:fill="FFFFFF"/>
        </w:rPr>
        <w:t xml:space="preserve"> and Resource </w:t>
      </w:r>
      <w:proofErr w:type="spellStart"/>
      <w:r>
        <w:rPr>
          <w:rFonts w:ascii="Arial" w:eastAsia="Times New Roman" w:hAnsi="Arial" w:cs="Arial"/>
          <w:i/>
          <w:iCs/>
          <w:color w:val="222222"/>
          <w:sz w:val="20"/>
          <w:szCs w:val="20"/>
          <w:shd w:val="clear" w:color="auto" w:fill="FFFFFF"/>
        </w:rPr>
        <w:t>Economics</w:t>
      </w:r>
      <w:proofErr w:type="spellEnd"/>
      <w:r>
        <w:rPr>
          <w:rFonts w:ascii="Arial" w:eastAsia="Times New Roman" w:hAnsi="Arial" w:cs="Arial"/>
          <w:color w:val="222222"/>
          <w:sz w:val="20"/>
          <w:szCs w:val="20"/>
          <w:shd w:val="clear" w:color="auto" w:fill="FFFFFF"/>
        </w:rPr>
        <w:t>, </w:t>
      </w:r>
      <w:r>
        <w:rPr>
          <w:rFonts w:ascii="Arial" w:eastAsia="Times New Roman" w:hAnsi="Arial" w:cs="Arial"/>
          <w:i/>
          <w:iCs/>
          <w:color w:val="222222"/>
          <w:sz w:val="20"/>
          <w:szCs w:val="20"/>
          <w:shd w:val="clear" w:color="auto" w:fill="FFFFFF"/>
        </w:rPr>
        <w:t>67</w:t>
      </w:r>
      <w:r>
        <w:rPr>
          <w:rFonts w:ascii="Arial" w:eastAsia="Times New Roman" w:hAnsi="Arial" w:cs="Arial"/>
          <w:color w:val="222222"/>
          <w:sz w:val="20"/>
          <w:szCs w:val="20"/>
          <w:shd w:val="clear" w:color="auto" w:fill="FFFFFF"/>
        </w:rPr>
        <w:t>(4), 725-760.</w:t>
      </w:r>
    </w:p>
    <w:p w14:paraId="1BB44F00" w14:textId="77777777" w:rsidR="00C210CE" w:rsidRDefault="00C210CE" w:rsidP="00C210CE">
      <w:pPr>
        <w:numPr>
          <w:ilvl w:val="0"/>
          <w:numId w:val="27"/>
        </w:numPr>
        <w:spacing w:before="100" w:beforeAutospacing="1" w:after="100" w:afterAutospacing="1"/>
        <w:jc w:val="left"/>
        <w:rPr>
          <w:rFonts w:eastAsia="Times New Roman"/>
          <w:color w:val="000000"/>
          <w:sz w:val="24"/>
          <w:szCs w:val="24"/>
        </w:rPr>
      </w:pPr>
      <w:r w:rsidRPr="00C210CE">
        <w:rPr>
          <w:rFonts w:ascii="Arial" w:eastAsia="Times New Roman" w:hAnsi="Arial" w:cs="Arial"/>
          <w:color w:val="222222"/>
          <w:sz w:val="20"/>
          <w:szCs w:val="20"/>
          <w:shd w:val="clear" w:color="auto" w:fill="FFFFFF"/>
          <w:lang w:val="en-GB"/>
        </w:rPr>
        <w:t>Zhang, P., Zhang, J., &amp; Chen, M. (2017). Economic impacts of climate change on agriculture: The importance of additional climatic variables other than temperature and precipitation. </w:t>
      </w:r>
      <w:r>
        <w:rPr>
          <w:rFonts w:ascii="Arial" w:eastAsia="Times New Roman" w:hAnsi="Arial" w:cs="Arial"/>
          <w:i/>
          <w:iCs/>
          <w:color w:val="222222"/>
          <w:sz w:val="20"/>
          <w:szCs w:val="20"/>
          <w:shd w:val="clear" w:color="auto" w:fill="FFFFFF"/>
        </w:rPr>
        <w:t xml:space="preserve">Journal of </w:t>
      </w:r>
      <w:proofErr w:type="spellStart"/>
      <w:r>
        <w:rPr>
          <w:rFonts w:ascii="Arial" w:eastAsia="Times New Roman" w:hAnsi="Arial" w:cs="Arial"/>
          <w:i/>
          <w:iCs/>
          <w:color w:val="222222"/>
          <w:sz w:val="20"/>
          <w:szCs w:val="20"/>
          <w:shd w:val="clear" w:color="auto" w:fill="FFFFFF"/>
        </w:rPr>
        <w:t>Environmental</w:t>
      </w:r>
      <w:proofErr w:type="spellEnd"/>
      <w:r>
        <w:rPr>
          <w:rFonts w:ascii="Arial" w:eastAsia="Times New Roman" w:hAnsi="Arial" w:cs="Arial"/>
          <w:i/>
          <w:iCs/>
          <w:color w:val="222222"/>
          <w:sz w:val="20"/>
          <w:szCs w:val="20"/>
          <w:shd w:val="clear" w:color="auto" w:fill="FFFFFF"/>
        </w:rPr>
        <w:t xml:space="preserve"> </w:t>
      </w:r>
      <w:proofErr w:type="spellStart"/>
      <w:r>
        <w:rPr>
          <w:rFonts w:ascii="Arial" w:eastAsia="Times New Roman" w:hAnsi="Arial" w:cs="Arial"/>
          <w:i/>
          <w:iCs/>
          <w:color w:val="222222"/>
          <w:sz w:val="20"/>
          <w:szCs w:val="20"/>
          <w:shd w:val="clear" w:color="auto" w:fill="FFFFFF"/>
        </w:rPr>
        <w:t>Economics</w:t>
      </w:r>
      <w:proofErr w:type="spellEnd"/>
      <w:r>
        <w:rPr>
          <w:rFonts w:ascii="Arial" w:eastAsia="Times New Roman" w:hAnsi="Arial" w:cs="Arial"/>
          <w:i/>
          <w:iCs/>
          <w:color w:val="222222"/>
          <w:sz w:val="20"/>
          <w:szCs w:val="20"/>
          <w:shd w:val="clear" w:color="auto" w:fill="FFFFFF"/>
        </w:rPr>
        <w:t xml:space="preserve"> and Management</w:t>
      </w:r>
      <w:r>
        <w:rPr>
          <w:rFonts w:ascii="Arial" w:eastAsia="Times New Roman" w:hAnsi="Arial" w:cs="Arial"/>
          <w:color w:val="222222"/>
          <w:sz w:val="20"/>
          <w:szCs w:val="20"/>
          <w:shd w:val="clear" w:color="auto" w:fill="FFFFFF"/>
        </w:rPr>
        <w:t>, </w:t>
      </w:r>
      <w:r>
        <w:rPr>
          <w:rFonts w:ascii="Arial" w:eastAsia="Times New Roman" w:hAnsi="Arial" w:cs="Arial"/>
          <w:i/>
          <w:iCs/>
          <w:color w:val="222222"/>
          <w:sz w:val="20"/>
          <w:szCs w:val="20"/>
          <w:shd w:val="clear" w:color="auto" w:fill="FFFFFF"/>
        </w:rPr>
        <w:t>83</w:t>
      </w:r>
      <w:r>
        <w:rPr>
          <w:rFonts w:ascii="Arial" w:eastAsia="Times New Roman" w:hAnsi="Arial" w:cs="Arial"/>
          <w:color w:val="222222"/>
          <w:sz w:val="20"/>
          <w:szCs w:val="20"/>
          <w:shd w:val="clear" w:color="auto" w:fill="FFFFFF"/>
        </w:rPr>
        <w:t>, 8-31.</w:t>
      </w:r>
    </w:p>
    <w:p w14:paraId="7651F50B" w14:textId="77777777" w:rsidR="00C210CE" w:rsidRDefault="00C210CE" w:rsidP="007D6773">
      <w:pPr>
        <w:spacing w:after="120"/>
        <w:jc w:val="left"/>
      </w:pPr>
    </w:p>
    <w:p w14:paraId="551CDAF2" w14:textId="77777777" w:rsidR="00606342" w:rsidRDefault="00606342" w:rsidP="00606342"/>
    <w:p w14:paraId="25DCD914" w14:textId="52ADFCB0" w:rsidR="00E12B37" w:rsidRDefault="00E12B37">
      <w:pPr>
        <w:jc w:val="left"/>
        <w:rPr>
          <w:rFonts w:asciiTheme="majorHAnsi" w:hAnsiTheme="majorHAnsi" w:cstheme="majorHAnsi"/>
          <w:color w:val="000000"/>
        </w:rPr>
      </w:pPr>
      <w:r>
        <w:rPr>
          <w:rFonts w:asciiTheme="majorHAnsi" w:hAnsiTheme="majorHAnsi" w:cstheme="majorHAnsi"/>
          <w:color w:val="000000"/>
        </w:rPr>
        <w:br w:type="page"/>
      </w:r>
    </w:p>
    <w:p w14:paraId="77C3C433" w14:textId="77777777" w:rsidR="00606342" w:rsidRPr="00AF7033" w:rsidRDefault="00606342" w:rsidP="00AF7033">
      <w:pPr>
        <w:pStyle w:val="Paragrafoelenco"/>
        <w:tabs>
          <w:tab w:val="left" w:pos="1005"/>
        </w:tabs>
        <w:autoSpaceDE w:val="0"/>
        <w:autoSpaceDN w:val="0"/>
        <w:adjustRightInd w:val="0"/>
        <w:spacing w:line="276" w:lineRule="auto"/>
        <w:rPr>
          <w:rFonts w:asciiTheme="majorHAnsi" w:hAnsiTheme="majorHAnsi" w:cstheme="majorHAnsi"/>
          <w:color w:val="000000"/>
        </w:rPr>
      </w:pPr>
    </w:p>
    <w:p w14:paraId="7F55884C" w14:textId="77777777" w:rsidR="00CD2E02" w:rsidRDefault="00CD2E02">
      <w:pPr>
        <w:jc w:val="left"/>
        <w:rPr>
          <w:i/>
          <w:sz w:val="18"/>
          <w:szCs w:val="18"/>
          <w:lang w:eastAsia="it-IT"/>
        </w:rPr>
      </w:pPr>
    </w:p>
    <w:p w14:paraId="77475641" w14:textId="06C4ECFC" w:rsidR="00F00F5B" w:rsidRDefault="00F00F5B" w:rsidP="006969C7">
      <w:pPr>
        <w:pStyle w:val="Pidipagina"/>
        <w:jc w:val="center"/>
        <w:rPr>
          <w:b/>
          <w:sz w:val="20"/>
          <w:szCs w:val="18"/>
        </w:rPr>
      </w:pPr>
    </w:p>
    <w:p w14:paraId="4BC42C47" w14:textId="3FE38A7E" w:rsidR="00F00F5B" w:rsidRDefault="00F00F5B" w:rsidP="006969C7">
      <w:pPr>
        <w:pStyle w:val="Pidipagina"/>
        <w:jc w:val="center"/>
        <w:rPr>
          <w:b/>
          <w:sz w:val="20"/>
          <w:szCs w:val="18"/>
        </w:rPr>
      </w:pPr>
    </w:p>
    <w:p w14:paraId="1744D06E" w14:textId="45FCB878" w:rsidR="00F00F5B" w:rsidRDefault="00F00F5B" w:rsidP="006969C7">
      <w:pPr>
        <w:pStyle w:val="Pidipagina"/>
        <w:jc w:val="center"/>
        <w:rPr>
          <w:b/>
          <w:sz w:val="20"/>
          <w:szCs w:val="18"/>
        </w:rPr>
      </w:pPr>
    </w:p>
    <w:p w14:paraId="0B3DA964" w14:textId="579813FB" w:rsidR="00F00F5B" w:rsidRDefault="00F00F5B" w:rsidP="006969C7">
      <w:pPr>
        <w:pStyle w:val="Pidipagina"/>
        <w:jc w:val="center"/>
        <w:rPr>
          <w:b/>
          <w:sz w:val="20"/>
          <w:szCs w:val="18"/>
        </w:rPr>
      </w:pPr>
    </w:p>
    <w:p w14:paraId="004355EF" w14:textId="32446BD2" w:rsidR="00F00F5B" w:rsidRDefault="00F00F5B" w:rsidP="006969C7">
      <w:pPr>
        <w:pStyle w:val="Pidipagina"/>
        <w:jc w:val="center"/>
        <w:rPr>
          <w:b/>
          <w:sz w:val="20"/>
          <w:szCs w:val="18"/>
        </w:rPr>
      </w:pPr>
    </w:p>
    <w:p w14:paraId="05E92166" w14:textId="5BB2FA34" w:rsidR="00F00F5B" w:rsidRDefault="00F00F5B" w:rsidP="006969C7">
      <w:pPr>
        <w:pStyle w:val="Pidipagina"/>
        <w:jc w:val="center"/>
        <w:rPr>
          <w:b/>
          <w:sz w:val="20"/>
          <w:szCs w:val="18"/>
        </w:rPr>
      </w:pPr>
    </w:p>
    <w:p w14:paraId="5D2F2571" w14:textId="74BC3DEF" w:rsidR="00F00F5B" w:rsidRDefault="00F00F5B" w:rsidP="006969C7">
      <w:pPr>
        <w:pStyle w:val="Pidipagina"/>
        <w:jc w:val="center"/>
        <w:rPr>
          <w:b/>
          <w:sz w:val="20"/>
          <w:szCs w:val="18"/>
        </w:rPr>
      </w:pPr>
    </w:p>
    <w:p w14:paraId="74A0EA83" w14:textId="5C51AAFC" w:rsidR="00F00F5B" w:rsidRDefault="00F00F5B" w:rsidP="006969C7">
      <w:pPr>
        <w:pStyle w:val="Pidipagina"/>
        <w:jc w:val="center"/>
        <w:rPr>
          <w:b/>
          <w:sz w:val="20"/>
          <w:szCs w:val="18"/>
        </w:rPr>
      </w:pPr>
    </w:p>
    <w:p w14:paraId="44196814" w14:textId="1DBA9BA3" w:rsidR="00F00F5B" w:rsidRDefault="00F00F5B" w:rsidP="006969C7">
      <w:pPr>
        <w:pStyle w:val="Pidipagina"/>
        <w:jc w:val="center"/>
        <w:rPr>
          <w:b/>
          <w:sz w:val="20"/>
          <w:szCs w:val="18"/>
        </w:rPr>
      </w:pPr>
    </w:p>
    <w:p w14:paraId="1AF183EC" w14:textId="3E5EC80E" w:rsidR="00F00F5B" w:rsidRDefault="00F00F5B" w:rsidP="006969C7">
      <w:pPr>
        <w:pStyle w:val="Pidipagina"/>
        <w:jc w:val="center"/>
        <w:rPr>
          <w:b/>
          <w:sz w:val="20"/>
          <w:szCs w:val="18"/>
        </w:rPr>
      </w:pPr>
    </w:p>
    <w:p w14:paraId="552D9A53" w14:textId="518648CE" w:rsidR="00F00F5B" w:rsidRDefault="00F00F5B" w:rsidP="006969C7">
      <w:pPr>
        <w:pStyle w:val="Pidipagina"/>
        <w:jc w:val="center"/>
        <w:rPr>
          <w:b/>
          <w:sz w:val="20"/>
          <w:szCs w:val="18"/>
        </w:rPr>
      </w:pPr>
    </w:p>
    <w:p w14:paraId="27A3DAD5" w14:textId="540EE89B" w:rsidR="00F00F5B" w:rsidRDefault="00F00F5B" w:rsidP="006969C7">
      <w:pPr>
        <w:pStyle w:val="Pidipagina"/>
        <w:jc w:val="center"/>
        <w:rPr>
          <w:b/>
          <w:sz w:val="20"/>
          <w:szCs w:val="18"/>
        </w:rPr>
      </w:pPr>
    </w:p>
    <w:p w14:paraId="1A49FC7F" w14:textId="50A26EDD" w:rsidR="006969C7" w:rsidRPr="006969C7" w:rsidRDefault="005A6145" w:rsidP="006969C7">
      <w:pPr>
        <w:pStyle w:val="Pidipagina"/>
        <w:jc w:val="center"/>
        <w:rPr>
          <w:b/>
          <w:sz w:val="20"/>
          <w:szCs w:val="18"/>
        </w:rPr>
      </w:pPr>
      <w:r>
        <w:rPr>
          <w:b/>
          <w:sz w:val="20"/>
          <w:szCs w:val="18"/>
        </w:rPr>
        <w:t>P</w:t>
      </w:r>
      <w:r w:rsidR="006969C7" w:rsidRPr="006969C7">
        <w:rPr>
          <w:b/>
          <w:sz w:val="20"/>
          <w:szCs w:val="18"/>
        </w:rPr>
        <w:t xml:space="preserve">ubblicazione realizzata con il contributo del </w:t>
      </w:r>
      <w:proofErr w:type="spellStart"/>
      <w:r w:rsidR="006969C7" w:rsidRPr="006969C7">
        <w:rPr>
          <w:b/>
          <w:sz w:val="20"/>
          <w:szCs w:val="18"/>
        </w:rPr>
        <w:t>Feasr</w:t>
      </w:r>
      <w:proofErr w:type="spellEnd"/>
      <w:r w:rsidR="006969C7" w:rsidRPr="006969C7">
        <w:rPr>
          <w:b/>
          <w:sz w:val="20"/>
          <w:szCs w:val="18"/>
        </w:rPr>
        <w:t xml:space="preserve"> (Fondo europeo agricolo per lo sviluppo rurale)</w:t>
      </w:r>
    </w:p>
    <w:p w14:paraId="3E727BBF" w14:textId="72E0A015" w:rsidR="00102578" w:rsidRDefault="006969C7" w:rsidP="006969C7">
      <w:pPr>
        <w:pStyle w:val="Pidipagina"/>
        <w:jc w:val="center"/>
        <w:rPr>
          <w:b/>
          <w:sz w:val="20"/>
          <w:szCs w:val="18"/>
        </w:rPr>
      </w:pPr>
      <w:r w:rsidRPr="006969C7">
        <w:rPr>
          <w:b/>
          <w:sz w:val="20"/>
          <w:szCs w:val="18"/>
        </w:rPr>
        <w:t>nell’ambito delle attività previste dal Programma Rete Rurale Nazionale 2014-2020</w:t>
      </w:r>
    </w:p>
    <w:p w14:paraId="2E6A4515" w14:textId="77777777" w:rsidR="006969C7" w:rsidRPr="00F407EB" w:rsidRDefault="006969C7" w:rsidP="006969C7">
      <w:pPr>
        <w:pStyle w:val="Pidipagina"/>
        <w:jc w:val="center"/>
        <w:rPr>
          <w:sz w:val="20"/>
          <w:szCs w:val="18"/>
        </w:rPr>
      </w:pPr>
    </w:p>
    <w:p w14:paraId="62AF5086" w14:textId="7828C250" w:rsidR="00102578" w:rsidRPr="007864E6" w:rsidRDefault="00102578" w:rsidP="000411BB">
      <w:pPr>
        <w:ind w:left="851" w:right="1416"/>
        <w:jc w:val="center"/>
        <w:rPr>
          <w:sz w:val="20"/>
          <w:szCs w:val="18"/>
        </w:rPr>
      </w:pPr>
      <w:r w:rsidRPr="004F5BCE">
        <w:rPr>
          <w:sz w:val="20"/>
          <w:szCs w:val="18"/>
          <w:highlight w:val="yellow"/>
        </w:rPr>
        <w:t xml:space="preserve">Autori: </w:t>
      </w:r>
      <w:r w:rsidR="00803B21">
        <w:rPr>
          <w:sz w:val="20"/>
          <w:szCs w:val="18"/>
        </w:rPr>
        <w:t>Laura Rosatelli</w:t>
      </w:r>
      <w:r w:rsidR="00BD7ACA">
        <w:rPr>
          <w:sz w:val="20"/>
          <w:szCs w:val="18"/>
        </w:rPr>
        <w:t xml:space="preserve"> -ISMEA</w:t>
      </w:r>
    </w:p>
    <w:p w14:paraId="7A2D9B39" w14:textId="076409F9" w:rsidR="00102578" w:rsidRDefault="000E0DB0" w:rsidP="000E0DB0">
      <w:pPr>
        <w:pStyle w:val="Pidipagina"/>
        <w:tabs>
          <w:tab w:val="clear" w:pos="4819"/>
        </w:tabs>
        <w:jc w:val="center"/>
        <w:rPr>
          <w:b/>
          <w:sz w:val="18"/>
          <w:szCs w:val="18"/>
        </w:rPr>
      </w:pPr>
      <w:r>
        <w:rPr>
          <w:b/>
          <w:sz w:val="18"/>
          <w:szCs w:val="18"/>
        </w:rPr>
        <w:t xml:space="preserve">  </w:t>
      </w:r>
    </w:p>
    <w:p w14:paraId="6388A848" w14:textId="77777777" w:rsidR="00102578" w:rsidRDefault="00102578" w:rsidP="00102578">
      <w:pPr>
        <w:pStyle w:val="Pidipagina"/>
        <w:jc w:val="center"/>
        <w:rPr>
          <w:b/>
          <w:sz w:val="18"/>
          <w:szCs w:val="18"/>
        </w:rPr>
      </w:pPr>
    </w:p>
    <w:p w14:paraId="73B9C022" w14:textId="380CDF73" w:rsidR="00102578" w:rsidRDefault="00102578" w:rsidP="00102578">
      <w:pPr>
        <w:pStyle w:val="Pidipagina"/>
        <w:jc w:val="center"/>
        <w:rPr>
          <w:b/>
          <w:sz w:val="18"/>
          <w:szCs w:val="18"/>
        </w:rPr>
      </w:pPr>
    </w:p>
    <w:p w14:paraId="3A59A2EB" w14:textId="75EE732F" w:rsidR="00102578" w:rsidRDefault="00102578" w:rsidP="00102578">
      <w:pPr>
        <w:pStyle w:val="Pidipagina"/>
        <w:jc w:val="center"/>
        <w:rPr>
          <w:b/>
          <w:sz w:val="18"/>
          <w:szCs w:val="18"/>
        </w:rPr>
      </w:pPr>
    </w:p>
    <w:p w14:paraId="43173A9F" w14:textId="59655E29" w:rsidR="00FA3765" w:rsidRDefault="00FA3765" w:rsidP="00102578">
      <w:pPr>
        <w:pStyle w:val="Pidipagina"/>
        <w:jc w:val="center"/>
        <w:rPr>
          <w:b/>
          <w:sz w:val="18"/>
          <w:szCs w:val="18"/>
        </w:rPr>
      </w:pPr>
    </w:p>
    <w:p w14:paraId="33E92811" w14:textId="0979A01D" w:rsidR="00FA3765" w:rsidRDefault="00FA3765" w:rsidP="00102578">
      <w:pPr>
        <w:pStyle w:val="Pidipagina"/>
        <w:jc w:val="center"/>
        <w:rPr>
          <w:b/>
          <w:sz w:val="18"/>
          <w:szCs w:val="18"/>
        </w:rPr>
      </w:pPr>
    </w:p>
    <w:p w14:paraId="1A002D4A" w14:textId="77777777" w:rsidR="00FA3765" w:rsidRDefault="00FA3765" w:rsidP="00102578">
      <w:pPr>
        <w:pStyle w:val="Pidipagina"/>
        <w:jc w:val="center"/>
        <w:rPr>
          <w:b/>
          <w:sz w:val="18"/>
          <w:szCs w:val="18"/>
        </w:rPr>
      </w:pPr>
    </w:p>
    <w:p w14:paraId="4E455438" w14:textId="3DB52FBC" w:rsidR="00FA3765" w:rsidRDefault="00FA3765" w:rsidP="00102578">
      <w:pPr>
        <w:pStyle w:val="Pidipagina"/>
        <w:jc w:val="center"/>
        <w:rPr>
          <w:b/>
          <w:sz w:val="18"/>
          <w:szCs w:val="18"/>
        </w:rPr>
      </w:pPr>
    </w:p>
    <w:p w14:paraId="6AF50281" w14:textId="77777777" w:rsidR="00FA3765" w:rsidRDefault="00FA3765" w:rsidP="00102578">
      <w:pPr>
        <w:pStyle w:val="Pidipagina"/>
        <w:jc w:val="center"/>
        <w:rPr>
          <w:b/>
          <w:sz w:val="18"/>
          <w:szCs w:val="18"/>
        </w:rPr>
      </w:pPr>
    </w:p>
    <w:p w14:paraId="35A3FF4C" w14:textId="77777777" w:rsidR="00102578" w:rsidRDefault="00102578" w:rsidP="00102578">
      <w:pPr>
        <w:autoSpaceDE w:val="0"/>
        <w:autoSpaceDN w:val="0"/>
        <w:adjustRightInd w:val="0"/>
        <w:spacing w:after="0"/>
        <w:jc w:val="center"/>
        <w:rPr>
          <w:rFonts w:ascii="Lato-Heavy" w:hAnsi="Lato-Heavy" w:cs="Lato-Heavy"/>
        </w:rPr>
      </w:pPr>
      <w:r>
        <w:rPr>
          <w:rFonts w:ascii="Lato-Heavy" w:hAnsi="Lato-Heavy" w:cs="Lato-Heavy"/>
        </w:rPr>
        <w:t>RETE RURALE NAZIONALE</w:t>
      </w:r>
    </w:p>
    <w:p w14:paraId="6F85E7F0"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Autorità di gestione</w:t>
      </w:r>
    </w:p>
    <w:p w14:paraId="7F1FE083"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Ministero delle politiche agricole alimentari e forestali</w:t>
      </w:r>
    </w:p>
    <w:p w14:paraId="04F50B63"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Via XX Settembre, 20 Roma</w:t>
      </w:r>
    </w:p>
    <w:p w14:paraId="47C289F0"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www.reterurale.it</w:t>
      </w:r>
    </w:p>
    <w:p w14:paraId="0D32A624"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reterurale@politicheagricole.it</w:t>
      </w:r>
    </w:p>
    <w:p w14:paraId="6B1C6068"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@reterurale</w:t>
      </w:r>
    </w:p>
    <w:p w14:paraId="501B8307" w14:textId="728FE9F5" w:rsidR="000E0DB0" w:rsidRDefault="00102578" w:rsidP="00102578">
      <w:pPr>
        <w:ind w:left="2832" w:firstLine="708"/>
      </w:pPr>
      <w:r w:rsidRPr="000A6F30">
        <w:rPr>
          <w:rFonts w:ascii="Lato-Regular" w:hAnsi="Lato-Regular" w:cs="Lato-Regular"/>
        </w:rPr>
        <w:t>www.facebook</w:t>
      </w:r>
      <w:r>
        <w:rPr>
          <w:rFonts w:ascii="Lato-Regular" w:hAnsi="Lato-Regular" w:cs="Lato-Regular"/>
        </w:rPr>
        <w:t>/reterurale</w:t>
      </w:r>
    </w:p>
    <w:p w14:paraId="388A0304" w14:textId="77777777" w:rsidR="000E0DB0" w:rsidRPr="000E0DB0" w:rsidRDefault="000E0DB0" w:rsidP="000E0DB0"/>
    <w:p w14:paraId="708C945A" w14:textId="77777777" w:rsidR="000E0DB0" w:rsidRPr="000E0DB0" w:rsidRDefault="000E0DB0" w:rsidP="000E0DB0"/>
    <w:p w14:paraId="7287AF94" w14:textId="77777777" w:rsidR="000E0DB0" w:rsidRPr="000E0DB0" w:rsidRDefault="000E0DB0" w:rsidP="000E0DB0"/>
    <w:sectPr w:rsidR="000E0DB0" w:rsidRPr="000E0DB0" w:rsidSect="0020415F">
      <w:footerReference w:type="default" r:id="rId24"/>
      <w:headerReference w:type="first" r:id="rId25"/>
      <w:footerReference w:type="first" r:id="rId26"/>
      <w:pgSz w:w="11906" w:h="16838"/>
      <w:pgMar w:top="1417" w:right="1134" w:bottom="993" w:left="1134" w:header="708"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FC96" w14:textId="77777777" w:rsidR="00067E10" w:rsidRDefault="00067E10" w:rsidP="009241B9">
      <w:pPr>
        <w:spacing w:after="0"/>
      </w:pPr>
      <w:r>
        <w:separator/>
      </w:r>
    </w:p>
  </w:endnote>
  <w:endnote w:type="continuationSeparator" w:id="0">
    <w:p w14:paraId="6F77B69F" w14:textId="77777777" w:rsidR="00067E10" w:rsidRDefault="00067E10" w:rsidP="009241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Light">
    <w:panose1 w:val="020B0502040204020203"/>
    <w:charset w:val="86"/>
    <w:family w:val="swiss"/>
    <w:pitch w:val="variable"/>
    <w:sig w:usb0="80000287" w:usb1="2ACF0010" w:usb2="00000016" w:usb3="00000000" w:csb0="0004001F" w:csb1="00000000"/>
  </w:font>
  <w:font w:name="Century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ato-Heavy">
    <w:altName w:val="Calibri"/>
    <w:charset w:val="00"/>
    <w:family w:val="swiss"/>
    <w:pitch w:val="default"/>
    <w:sig w:usb0="00000003" w:usb1="00000000" w:usb2="00000000" w:usb3="00000000" w:csb0="00000001" w:csb1="00000000"/>
  </w:font>
  <w:font w:name="Lato-Regular">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166966"/>
      <w:docPartObj>
        <w:docPartGallery w:val="Page Numbers (Bottom of Page)"/>
        <w:docPartUnique/>
      </w:docPartObj>
    </w:sdtPr>
    <w:sdtEndPr/>
    <w:sdtContent>
      <w:p w14:paraId="5D35697B" w14:textId="3C0AC0B5" w:rsidR="00BC5327" w:rsidRDefault="00BC5327">
        <w:pPr>
          <w:pStyle w:val="Pidipagina"/>
          <w:jc w:val="center"/>
        </w:pPr>
        <w:r>
          <w:fldChar w:fldCharType="begin"/>
        </w:r>
        <w:r>
          <w:instrText>PAGE   \* MERGEFORMAT</w:instrText>
        </w:r>
        <w:r>
          <w:fldChar w:fldCharType="separate"/>
        </w:r>
        <w:r>
          <w:rPr>
            <w:noProof/>
          </w:rPr>
          <w:t>20</w:t>
        </w:r>
        <w:r>
          <w:fldChar w:fldCharType="end"/>
        </w:r>
      </w:p>
    </w:sdtContent>
  </w:sdt>
  <w:p w14:paraId="037CE2AE" w14:textId="4689C603" w:rsidR="00BC5327" w:rsidRDefault="00BC5327">
    <w:pPr>
      <w:pStyle w:val="Pidipagina"/>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CDFF" w14:textId="791B9314" w:rsidR="00BC5327" w:rsidRDefault="00BC5327" w:rsidP="0070130A">
    <w:pPr>
      <w:pStyle w:val="Pidipagina"/>
      <w:tabs>
        <w:tab w:val="clear" w:pos="4819"/>
        <w:tab w:val="clear" w:pos="9638"/>
        <w:tab w:val="left" w:pos="7782"/>
      </w:tabs>
    </w:pPr>
    <w:r>
      <w:tab/>
    </w:r>
    <w:r>
      <w:rPr>
        <w:noProof/>
        <w:lang w:eastAsia="it-IT"/>
      </w:rPr>
      <w:drawing>
        <wp:inline distT="0" distB="0" distL="0" distR="0" wp14:anchorId="31E65071" wp14:editId="097E1F77">
          <wp:extent cx="6120130" cy="76771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767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F902F" w14:textId="77777777" w:rsidR="00067E10" w:rsidRDefault="00067E10" w:rsidP="009241B9">
      <w:pPr>
        <w:spacing w:after="0"/>
      </w:pPr>
      <w:r>
        <w:separator/>
      </w:r>
    </w:p>
  </w:footnote>
  <w:footnote w:type="continuationSeparator" w:id="0">
    <w:p w14:paraId="68EB760E" w14:textId="77777777" w:rsidR="00067E10" w:rsidRDefault="00067E10" w:rsidP="009241B9">
      <w:pPr>
        <w:spacing w:after="0"/>
      </w:pPr>
      <w:r>
        <w:continuationSeparator/>
      </w:r>
    </w:p>
  </w:footnote>
  <w:footnote w:id="1">
    <w:p w14:paraId="13A2AA50" w14:textId="77777777" w:rsidR="00BC5327" w:rsidRDefault="00BC5327" w:rsidP="004F5BCE">
      <w:pPr>
        <w:pStyle w:val="Testonotaapidipagina"/>
      </w:pPr>
      <w:r>
        <w:rPr>
          <w:rStyle w:val="Rimandonotaapidipagina"/>
        </w:rPr>
        <w:footnoteRef/>
      </w:r>
      <w:r>
        <w:t xml:space="preserve"> La sottomisura 17.3 del PSRN 2014-2020 consente l’attivazione sia degli IST per tutti i settori sia degli IST settoriali. Il Piano di gestione del rischio in agricoltura 2019 ha per la prima volta avviato l’attuazione delle sottomisure 17.2 e 17.3 prevedendo però, per quest’ultima, l’attivazione dei soli fondi IST settoriali limitatamente a taluni settori produttivi (o</w:t>
      </w:r>
      <w:r w:rsidRPr="00E5552A">
        <w:t>rtofrutta</w:t>
      </w:r>
      <w:r>
        <w:t>, o</w:t>
      </w:r>
      <w:r w:rsidRPr="00E5552A">
        <w:t>livicoltura</w:t>
      </w:r>
      <w:r>
        <w:t>, f</w:t>
      </w:r>
      <w:r w:rsidRPr="00E5552A">
        <w:t>rumento duro</w:t>
      </w:r>
      <w:r>
        <w:t>, latte bovino, latte ovicaprino, avicoltura). Tale impostazione è stata confermata anche dal PGRA 2020.</w:t>
      </w:r>
    </w:p>
  </w:footnote>
  <w:footnote w:id="2">
    <w:p w14:paraId="0A8F46F9" w14:textId="0DB5A10A" w:rsidR="00BC5327" w:rsidRDefault="00BC5327">
      <w:pPr>
        <w:pStyle w:val="Testonotaapidipagina"/>
      </w:pPr>
      <w:r>
        <w:rPr>
          <w:rStyle w:val="Rimandonotaapidipagina"/>
        </w:rPr>
        <w:footnoteRef/>
      </w:r>
      <w:r>
        <w:t xml:space="preserve"> </w:t>
      </w:r>
      <w:r w:rsidRPr="00BD7ACA">
        <w:t>Allegato n. 8 al PGRA 2020 del Mipaaf.</w:t>
      </w:r>
      <w:r>
        <w:t xml:space="preserve"> </w:t>
      </w:r>
      <w:r w:rsidRPr="00BD7ACA">
        <w:t>RISCHI ASSICURABILI (CRITERIO DI AMMISSIBILITÀ A.2.2.4)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79D3" w14:textId="72194CE5" w:rsidR="00BC5327" w:rsidRDefault="00BC5327" w:rsidP="00C12C17">
    <w:pPr>
      <w:pStyle w:val="Intestazione"/>
      <w:jc w:val="center"/>
    </w:pPr>
    <w:r>
      <w:rPr>
        <w:noProof/>
        <w:lang w:eastAsia="it-IT"/>
      </w:rPr>
      <w:drawing>
        <wp:inline distT="0" distB="0" distL="0" distR="0" wp14:anchorId="035AAFF0" wp14:editId="491C4275">
          <wp:extent cx="1089660" cy="484927"/>
          <wp:effectExtent l="0" t="0" r="0" b="0"/>
          <wp:docPr id="13" name="Elemento grafico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53031" cy="5131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9B3"/>
    <w:multiLevelType w:val="hybridMultilevel"/>
    <w:tmpl w:val="2E8629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3352FE4"/>
    <w:multiLevelType w:val="multilevel"/>
    <w:tmpl w:val="1E46B0EE"/>
    <w:lvl w:ilvl="0">
      <w:start w:val="1"/>
      <w:numFmt w:val="decimal"/>
      <w:lvlText w:val="%1."/>
      <w:lvlJc w:val="left"/>
      <w:pPr>
        <w:ind w:left="720" w:hanging="360"/>
      </w:p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2B69D6"/>
    <w:multiLevelType w:val="multilevel"/>
    <w:tmpl w:val="0ECAA8A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F3D4B1E"/>
    <w:multiLevelType w:val="hybridMultilevel"/>
    <w:tmpl w:val="47921B9E"/>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07A4FB7"/>
    <w:multiLevelType w:val="hybridMultilevel"/>
    <w:tmpl w:val="C262CD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0C53BF"/>
    <w:multiLevelType w:val="hybridMultilevel"/>
    <w:tmpl w:val="D5B6359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6DA25AD"/>
    <w:multiLevelType w:val="multilevel"/>
    <w:tmpl w:val="4CDAB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EA40BD"/>
    <w:multiLevelType w:val="multilevel"/>
    <w:tmpl w:val="44BA1EB2"/>
    <w:lvl w:ilvl="0">
      <w:start w:val="1"/>
      <w:numFmt w:val="decimal"/>
      <w:lvlText w:val="%1."/>
      <w:lvlJc w:val="left"/>
      <w:pPr>
        <w:ind w:left="720" w:hanging="360"/>
      </w:pPr>
      <w:rPr>
        <w:rFonts w:hint="default"/>
      </w:r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B436D24"/>
    <w:multiLevelType w:val="hybridMultilevel"/>
    <w:tmpl w:val="9DD6AF8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842156"/>
    <w:multiLevelType w:val="hybridMultilevel"/>
    <w:tmpl w:val="2F1CBF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4D91703"/>
    <w:multiLevelType w:val="multilevel"/>
    <w:tmpl w:val="D74043CA"/>
    <w:lvl w:ilvl="0">
      <w:start w:val="1"/>
      <w:numFmt w:val="decimal"/>
      <w:lvlText w:val="%1."/>
      <w:lvlJc w:val="left"/>
      <w:pPr>
        <w:ind w:left="720" w:hanging="360"/>
      </w:pPr>
      <w:rPr>
        <w:rFonts w:hint="default"/>
      </w:r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D907933"/>
    <w:multiLevelType w:val="hybridMultilevel"/>
    <w:tmpl w:val="D75ED3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E295F2F"/>
    <w:multiLevelType w:val="hybridMultilevel"/>
    <w:tmpl w:val="8E84C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0F7AA7"/>
    <w:multiLevelType w:val="hybridMultilevel"/>
    <w:tmpl w:val="406854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761378"/>
    <w:multiLevelType w:val="hybridMultilevel"/>
    <w:tmpl w:val="444C6680"/>
    <w:lvl w:ilvl="0" w:tplc="8402B6B8">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5" w15:restartNumberingAfterBreak="0">
    <w:nsid w:val="4FE01A6F"/>
    <w:multiLevelType w:val="hybridMultilevel"/>
    <w:tmpl w:val="72300E2C"/>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0830706"/>
    <w:multiLevelType w:val="hybridMultilevel"/>
    <w:tmpl w:val="1F1E1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8E41CE"/>
    <w:multiLevelType w:val="hybridMultilevel"/>
    <w:tmpl w:val="E21281CC"/>
    <w:lvl w:ilvl="0" w:tplc="04100001">
      <w:start w:val="1"/>
      <w:numFmt w:val="bullet"/>
      <w:lvlText w:val=""/>
      <w:lvlJc w:val="left"/>
      <w:pPr>
        <w:ind w:left="360" w:hanging="360"/>
      </w:pPr>
      <w:rPr>
        <w:rFonts w:ascii="Symbol" w:hAnsi="Symbol" w:hint="default"/>
        <w:sz w:val="22"/>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18" w15:restartNumberingAfterBreak="0">
    <w:nsid w:val="59CD5147"/>
    <w:multiLevelType w:val="multilevel"/>
    <w:tmpl w:val="44BA1EB2"/>
    <w:lvl w:ilvl="0">
      <w:start w:val="1"/>
      <w:numFmt w:val="decimal"/>
      <w:lvlText w:val="%1."/>
      <w:lvlJc w:val="left"/>
      <w:pPr>
        <w:ind w:left="720" w:hanging="360"/>
      </w:pPr>
      <w:rPr>
        <w:rFonts w:hint="default"/>
      </w:r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B231C5F"/>
    <w:multiLevelType w:val="hybridMultilevel"/>
    <w:tmpl w:val="82A80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8B5F1A"/>
    <w:multiLevelType w:val="hybridMultilevel"/>
    <w:tmpl w:val="5E64A7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0921B26"/>
    <w:multiLevelType w:val="hybridMultilevel"/>
    <w:tmpl w:val="848ED2DC"/>
    <w:lvl w:ilvl="0" w:tplc="E640D488">
      <w:start w:val="1"/>
      <w:numFmt w:val="bullet"/>
      <w:lvlText w:val="‒"/>
      <w:lvlJc w:val="left"/>
      <w:pPr>
        <w:ind w:left="770" w:hanging="360"/>
      </w:pPr>
      <w:rPr>
        <w:rFonts w:ascii="Calibri" w:hAnsi="Calibri"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2" w15:restartNumberingAfterBreak="0">
    <w:nsid w:val="637E278A"/>
    <w:multiLevelType w:val="hybridMultilevel"/>
    <w:tmpl w:val="4428332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78B7D61"/>
    <w:multiLevelType w:val="multilevel"/>
    <w:tmpl w:val="36DCFAE4"/>
    <w:lvl w:ilvl="0">
      <w:start w:val="1"/>
      <w:numFmt w:val="decimal"/>
      <w:pStyle w:val="Titolotab-grafReport"/>
      <w:suff w:val="space"/>
      <w:lvlText w:val="Tabella %1 -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9496EFF"/>
    <w:multiLevelType w:val="hybridMultilevel"/>
    <w:tmpl w:val="EBF2312E"/>
    <w:lvl w:ilvl="0" w:tplc="AC9C6EA2">
      <w:start w:val="1"/>
      <w:numFmt w:val="bullet"/>
      <w:lvlText w:val=""/>
      <w:lvlJc w:val="left"/>
      <w:pPr>
        <w:ind w:left="720" w:hanging="360"/>
      </w:pPr>
      <w:rPr>
        <w:rFonts w:ascii="Wingdings" w:hAnsi="Wingdings" w:hint="default"/>
        <w:color w:val="84B03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9131E9"/>
    <w:multiLevelType w:val="hybridMultilevel"/>
    <w:tmpl w:val="C8F2692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ED11B6E"/>
    <w:multiLevelType w:val="hybridMultilevel"/>
    <w:tmpl w:val="2E86291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0"/>
  </w:num>
  <w:num w:numId="2">
    <w:abstractNumId w:val="3"/>
  </w:num>
  <w:num w:numId="3">
    <w:abstractNumId w:val="23"/>
    <w:lvlOverride w:ilvl="0">
      <w:lvl w:ilvl="0">
        <w:start w:val="1"/>
        <w:numFmt w:val="decimal"/>
        <w:pStyle w:val="Titolotab-grafReport"/>
        <w:suff w:val="space"/>
        <w:lvlText w:val="Tabella %1 - "/>
        <w:lvlJc w:val="left"/>
        <w:pPr>
          <w:ind w:left="720" w:hanging="360"/>
        </w:pPr>
        <w:rPr>
          <w:rFonts w:hint="default"/>
          <w:sz w:val="20"/>
          <w:szCs w:val="2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
    <w:abstractNumId w:val="12"/>
  </w:num>
  <w:num w:numId="5">
    <w:abstractNumId w:val="16"/>
  </w:num>
  <w:num w:numId="6">
    <w:abstractNumId w:val="24"/>
  </w:num>
  <w:num w:numId="7">
    <w:abstractNumId w:val="11"/>
  </w:num>
  <w:num w:numId="8">
    <w:abstractNumId w:val="17"/>
  </w:num>
  <w:num w:numId="9">
    <w:abstractNumId w:val="13"/>
  </w:num>
  <w:num w:numId="10">
    <w:abstractNumId w:val="25"/>
  </w:num>
  <w:num w:numId="11">
    <w:abstractNumId w:val="20"/>
  </w:num>
  <w:num w:numId="12">
    <w:abstractNumId w:val="5"/>
  </w:num>
  <w:num w:numId="13">
    <w:abstractNumId w:val="21"/>
  </w:num>
  <w:num w:numId="14">
    <w:abstractNumId w:val="9"/>
  </w:num>
  <w:num w:numId="15">
    <w:abstractNumId w:val="1"/>
  </w:num>
  <w:num w:numId="16">
    <w:abstractNumId w:val="2"/>
  </w:num>
  <w:num w:numId="17">
    <w:abstractNumId w:val="19"/>
  </w:num>
  <w:num w:numId="18">
    <w:abstractNumId w:val="26"/>
  </w:num>
  <w:num w:numId="19">
    <w:abstractNumId w:val="0"/>
  </w:num>
  <w:num w:numId="20">
    <w:abstractNumId w:val="18"/>
  </w:num>
  <w:num w:numId="21">
    <w:abstractNumId w:val="8"/>
  </w:num>
  <w:num w:numId="22">
    <w:abstractNumId w:val="22"/>
  </w:num>
  <w:num w:numId="23">
    <w:abstractNumId w:val="15"/>
  </w:num>
  <w:num w:numId="24">
    <w:abstractNumId w:val="14"/>
  </w:num>
  <w:num w:numId="25">
    <w:abstractNumId w:val="4"/>
  </w:num>
  <w:num w:numId="26">
    <w:abstractNumId w:val="7"/>
  </w:num>
  <w:num w:numId="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Q0szQ3NzU2NjQzNzdR0lEKTi0uzszPAykwrgUABt9X3SwAAAA="/>
  </w:docVars>
  <w:rsids>
    <w:rsidRoot w:val="009241B9"/>
    <w:rsid w:val="0000010F"/>
    <w:rsid w:val="000008CC"/>
    <w:rsid w:val="000017F9"/>
    <w:rsid w:val="00003F74"/>
    <w:rsid w:val="0000418A"/>
    <w:rsid w:val="0000514C"/>
    <w:rsid w:val="000051EE"/>
    <w:rsid w:val="0000563F"/>
    <w:rsid w:val="00005B66"/>
    <w:rsid w:val="000070AB"/>
    <w:rsid w:val="0001063A"/>
    <w:rsid w:val="00012391"/>
    <w:rsid w:val="00012461"/>
    <w:rsid w:val="00014286"/>
    <w:rsid w:val="00016428"/>
    <w:rsid w:val="00017E72"/>
    <w:rsid w:val="00020C97"/>
    <w:rsid w:val="000225F4"/>
    <w:rsid w:val="00022E60"/>
    <w:rsid w:val="00025553"/>
    <w:rsid w:val="00026B47"/>
    <w:rsid w:val="00026D9E"/>
    <w:rsid w:val="00027E2B"/>
    <w:rsid w:val="000313C2"/>
    <w:rsid w:val="00035664"/>
    <w:rsid w:val="00036D12"/>
    <w:rsid w:val="00040B13"/>
    <w:rsid w:val="00040C21"/>
    <w:rsid w:val="000411BB"/>
    <w:rsid w:val="000411D8"/>
    <w:rsid w:val="000423BF"/>
    <w:rsid w:val="00043C64"/>
    <w:rsid w:val="0004528B"/>
    <w:rsid w:val="00045294"/>
    <w:rsid w:val="00045700"/>
    <w:rsid w:val="000463C6"/>
    <w:rsid w:val="00052C52"/>
    <w:rsid w:val="0005392E"/>
    <w:rsid w:val="000549E0"/>
    <w:rsid w:val="00056422"/>
    <w:rsid w:val="00061269"/>
    <w:rsid w:val="00061C2B"/>
    <w:rsid w:val="00064B44"/>
    <w:rsid w:val="00064D1D"/>
    <w:rsid w:val="000656F5"/>
    <w:rsid w:val="00067C70"/>
    <w:rsid w:val="00067E10"/>
    <w:rsid w:val="00076243"/>
    <w:rsid w:val="00076E75"/>
    <w:rsid w:val="000775A0"/>
    <w:rsid w:val="00080D9F"/>
    <w:rsid w:val="0008557B"/>
    <w:rsid w:val="00085811"/>
    <w:rsid w:val="00085D80"/>
    <w:rsid w:val="0009484D"/>
    <w:rsid w:val="00095453"/>
    <w:rsid w:val="000960FF"/>
    <w:rsid w:val="000A28E6"/>
    <w:rsid w:val="000A35DB"/>
    <w:rsid w:val="000A3F02"/>
    <w:rsid w:val="000A6354"/>
    <w:rsid w:val="000B08C5"/>
    <w:rsid w:val="000B520D"/>
    <w:rsid w:val="000B5FE6"/>
    <w:rsid w:val="000C0787"/>
    <w:rsid w:val="000C23F3"/>
    <w:rsid w:val="000C47DD"/>
    <w:rsid w:val="000C4BC8"/>
    <w:rsid w:val="000D3530"/>
    <w:rsid w:val="000D44D4"/>
    <w:rsid w:val="000D54F0"/>
    <w:rsid w:val="000D557A"/>
    <w:rsid w:val="000D5F9C"/>
    <w:rsid w:val="000E0DB0"/>
    <w:rsid w:val="000E27A1"/>
    <w:rsid w:val="000E4C39"/>
    <w:rsid w:val="000E58B6"/>
    <w:rsid w:val="000E6A84"/>
    <w:rsid w:val="000E77B5"/>
    <w:rsid w:val="000F031C"/>
    <w:rsid w:val="000F08C4"/>
    <w:rsid w:val="000F1E6E"/>
    <w:rsid w:val="000F29B9"/>
    <w:rsid w:val="000F2EEE"/>
    <w:rsid w:val="000F4080"/>
    <w:rsid w:val="000F5C57"/>
    <w:rsid w:val="000F68CF"/>
    <w:rsid w:val="00101EC6"/>
    <w:rsid w:val="00102578"/>
    <w:rsid w:val="00104FA2"/>
    <w:rsid w:val="0010514C"/>
    <w:rsid w:val="0010552F"/>
    <w:rsid w:val="00105969"/>
    <w:rsid w:val="001075B4"/>
    <w:rsid w:val="00107F31"/>
    <w:rsid w:val="00111516"/>
    <w:rsid w:val="00112264"/>
    <w:rsid w:val="0011504C"/>
    <w:rsid w:val="0011663F"/>
    <w:rsid w:val="001173D2"/>
    <w:rsid w:val="001208E0"/>
    <w:rsid w:val="0012351A"/>
    <w:rsid w:val="001242CB"/>
    <w:rsid w:val="0013239D"/>
    <w:rsid w:val="0013429C"/>
    <w:rsid w:val="00134542"/>
    <w:rsid w:val="00134EE7"/>
    <w:rsid w:val="00136C8F"/>
    <w:rsid w:val="001439BF"/>
    <w:rsid w:val="001440A5"/>
    <w:rsid w:val="00146B32"/>
    <w:rsid w:val="00151181"/>
    <w:rsid w:val="00151A89"/>
    <w:rsid w:val="001544C5"/>
    <w:rsid w:val="0015608D"/>
    <w:rsid w:val="00157274"/>
    <w:rsid w:val="00160202"/>
    <w:rsid w:val="00160A70"/>
    <w:rsid w:val="001614F2"/>
    <w:rsid w:val="00162654"/>
    <w:rsid w:val="0016540F"/>
    <w:rsid w:val="0016561F"/>
    <w:rsid w:val="001665D5"/>
    <w:rsid w:val="00170EC3"/>
    <w:rsid w:val="001711A9"/>
    <w:rsid w:val="00172E51"/>
    <w:rsid w:val="001747C4"/>
    <w:rsid w:val="00181332"/>
    <w:rsid w:val="0018173F"/>
    <w:rsid w:val="00182A87"/>
    <w:rsid w:val="001830D9"/>
    <w:rsid w:val="00192462"/>
    <w:rsid w:val="001934C1"/>
    <w:rsid w:val="00193E39"/>
    <w:rsid w:val="001940DF"/>
    <w:rsid w:val="001955ED"/>
    <w:rsid w:val="00196132"/>
    <w:rsid w:val="00196D58"/>
    <w:rsid w:val="00197B95"/>
    <w:rsid w:val="00197E3E"/>
    <w:rsid w:val="001A2140"/>
    <w:rsid w:val="001A3B87"/>
    <w:rsid w:val="001A6CA4"/>
    <w:rsid w:val="001A6D1C"/>
    <w:rsid w:val="001A7240"/>
    <w:rsid w:val="001B087D"/>
    <w:rsid w:val="001B1046"/>
    <w:rsid w:val="001B1638"/>
    <w:rsid w:val="001B1B77"/>
    <w:rsid w:val="001B3714"/>
    <w:rsid w:val="001B52A3"/>
    <w:rsid w:val="001B5E89"/>
    <w:rsid w:val="001C34AB"/>
    <w:rsid w:val="001C3944"/>
    <w:rsid w:val="001C4797"/>
    <w:rsid w:val="001C50D5"/>
    <w:rsid w:val="001C51A5"/>
    <w:rsid w:val="001C6080"/>
    <w:rsid w:val="001C6554"/>
    <w:rsid w:val="001D0E82"/>
    <w:rsid w:val="001D3053"/>
    <w:rsid w:val="001D3673"/>
    <w:rsid w:val="001D42E3"/>
    <w:rsid w:val="001E0AE9"/>
    <w:rsid w:val="001E1502"/>
    <w:rsid w:val="001E19E7"/>
    <w:rsid w:val="001E2C8C"/>
    <w:rsid w:val="001E2CD3"/>
    <w:rsid w:val="001E3000"/>
    <w:rsid w:val="001E3715"/>
    <w:rsid w:val="001E37CB"/>
    <w:rsid w:val="001E56C7"/>
    <w:rsid w:val="001E6695"/>
    <w:rsid w:val="001F1314"/>
    <w:rsid w:val="001F3A3D"/>
    <w:rsid w:val="001F6E7E"/>
    <w:rsid w:val="002003B4"/>
    <w:rsid w:val="00201B22"/>
    <w:rsid w:val="00202010"/>
    <w:rsid w:val="0020415F"/>
    <w:rsid w:val="00204A57"/>
    <w:rsid w:val="0020640E"/>
    <w:rsid w:val="00206BB1"/>
    <w:rsid w:val="00207119"/>
    <w:rsid w:val="00210AB5"/>
    <w:rsid w:val="00213621"/>
    <w:rsid w:val="00215767"/>
    <w:rsid w:val="00217564"/>
    <w:rsid w:val="00217601"/>
    <w:rsid w:val="00217F5E"/>
    <w:rsid w:val="00220C68"/>
    <w:rsid w:val="002219F4"/>
    <w:rsid w:val="00224C98"/>
    <w:rsid w:val="00224DBD"/>
    <w:rsid w:val="00225920"/>
    <w:rsid w:val="00225AB5"/>
    <w:rsid w:val="002262C3"/>
    <w:rsid w:val="00230572"/>
    <w:rsid w:val="00231868"/>
    <w:rsid w:val="002321D0"/>
    <w:rsid w:val="00232AB9"/>
    <w:rsid w:val="002343B2"/>
    <w:rsid w:val="00234BF6"/>
    <w:rsid w:val="00236689"/>
    <w:rsid w:val="00236777"/>
    <w:rsid w:val="00236BAF"/>
    <w:rsid w:val="00242F6C"/>
    <w:rsid w:val="00245E3E"/>
    <w:rsid w:val="00245EF3"/>
    <w:rsid w:val="00251006"/>
    <w:rsid w:val="00251393"/>
    <w:rsid w:val="00251CD9"/>
    <w:rsid w:val="0025394F"/>
    <w:rsid w:val="002567B6"/>
    <w:rsid w:val="002571C7"/>
    <w:rsid w:val="00260377"/>
    <w:rsid w:val="002636DA"/>
    <w:rsid w:val="00264738"/>
    <w:rsid w:val="00266B89"/>
    <w:rsid w:val="0027020E"/>
    <w:rsid w:val="00271530"/>
    <w:rsid w:val="0027738F"/>
    <w:rsid w:val="002817B7"/>
    <w:rsid w:val="0028209B"/>
    <w:rsid w:val="002826F8"/>
    <w:rsid w:val="002833CD"/>
    <w:rsid w:val="00284CAC"/>
    <w:rsid w:val="0028569B"/>
    <w:rsid w:val="0028692E"/>
    <w:rsid w:val="00290D11"/>
    <w:rsid w:val="002931FA"/>
    <w:rsid w:val="00296015"/>
    <w:rsid w:val="002A08C8"/>
    <w:rsid w:val="002A1691"/>
    <w:rsid w:val="002A3EAD"/>
    <w:rsid w:val="002A51D8"/>
    <w:rsid w:val="002A6AC4"/>
    <w:rsid w:val="002B11A0"/>
    <w:rsid w:val="002B4A94"/>
    <w:rsid w:val="002B6F15"/>
    <w:rsid w:val="002B714C"/>
    <w:rsid w:val="002C1DFD"/>
    <w:rsid w:val="002C1FF7"/>
    <w:rsid w:val="002C44F0"/>
    <w:rsid w:val="002C533E"/>
    <w:rsid w:val="002C5B0B"/>
    <w:rsid w:val="002D11B5"/>
    <w:rsid w:val="002D12F1"/>
    <w:rsid w:val="002D2477"/>
    <w:rsid w:val="002D39A5"/>
    <w:rsid w:val="002D617F"/>
    <w:rsid w:val="002D75F0"/>
    <w:rsid w:val="002D77EF"/>
    <w:rsid w:val="002D7BBA"/>
    <w:rsid w:val="002E16F9"/>
    <w:rsid w:val="002E1A68"/>
    <w:rsid w:val="002E240D"/>
    <w:rsid w:val="002E4FED"/>
    <w:rsid w:val="002E5ED8"/>
    <w:rsid w:val="002E6010"/>
    <w:rsid w:val="002F35E4"/>
    <w:rsid w:val="002F618A"/>
    <w:rsid w:val="002F676B"/>
    <w:rsid w:val="002F77E9"/>
    <w:rsid w:val="00303956"/>
    <w:rsid w:val="00303AA8"/>
    <w:rsid w:val="00303EFE"/>
    <w:rsid w:val="00305982"/>
    <w:rsid w:val="0030678C"/>
    <w:rsid w:val="00310A2B"/>
    <w:rsid w:val="00311891"/>
    <w:rsid w:val="003131E9"/>
    <w:rsid w:val="00314265"/>
    <w:rsid w:val="00317670"/>
    <w:rsid w:val="0031775A"/>
    <w:rsid w:val="00320076"/>
    <w:rsid w:val="00321A97"/>
    <w:rsid w:val="003233BA"/>
    <w:rsid w:val="00327810"/>
    <w:rsid w:val="0033101A"/>
    <w:rsid w:val="003311EF"/>
    <w:rsid w:val="0033294D"/>
    <w:rsid w:val="00334C9B"/>
    <w:rsid w:val="00334E16"/>
    <w:rsid w:val="003350E3"/>
    <w:rsid w:val="00341560"/>
    <w:rsid w:val="003428EC"/>
    <w:rsid w:val="003460CC"/>
    <w:rsid w:val="00347A14"/>
    <w:rsid w:val="0035051C"/>
    <w:rsid w:val="003512AA"/>
    <w:rsid w:val="00351516"/>
    <w:rsid w:val="003520ED"/>
    <w:rsid w:val="00354802"/>
    <w:rsid w:val="00354FC9"/>
    <w:rsid w:val="0035747C"/>
    <w:rsid w:val="00360174"/>
    <w:rsid w:val="003605BC"/>
    <w:rsid w:val="0036065A"/>
    <w:rsid w:val="00361CCA"/>
    <w:rsid w:val="0036222F"/>
    <w:rsid w:val="003623DA"/>
    <w:rsid w:val="00364EBB"/>
    <w:rsid w:val="003665D7"/>
    <w:rsid w:val="003666AE"/>
    <w:rsid w:val="00366D38"/>
    <w:rsid w:val="0037019E"/>
    <w:rsid w:val="00372585"/>
    <w:rsid w:val="0037279C"/>
    <w:rsid w:val="0037298D"/>
    <w:rsid w:val="003742CA"/>
    <w:rsid w:val="003745B7"/>
    <w:rsid w:val="0037540D"/>
    <w:rsid w:val="00380545"/>
    <w:rsid w:val="00380573"/>
    <w:rsid w:val="003819E7"/>
    <w:rsid w:val="00381A15"/>
    <w:rsid w:val="00381C60"/>
    <w:rsid w:val="00381F3A"/>
    <w:rsid w:val="00382093"/>
    <w:rsid w:val="00382924"/>
    <w:rsid w:val="003848CF"/>
    <w:rsid w:val="003851D2"/>
    <w:rsid w:val="0038744D"/>
    <w:rsid w:val="00387B26"/>
    <w:rsid w:val="00387DB2"/>
    <w:rsid w:val="00391BCF"/>
    <w:rsid w:val="00392664"/>
    <w:rsid w:val="00393F6A"/>
    <w:rsid w:val="00393FD4"/>
    <w:rsid w:val="003944AC"/>
    <w:rsid w:val="0039546B"/>
    <w:rsid w:val="003962FC"/>
    <w:rsid w:val="003A37E9"/>
    <w:rsid w:val="003A5BD1"/>
    <w:rsid w:val="003A63CF"/>
    <w:rsid w:val="003A7ECE"/>
    <w:rsid w:val="003B0900"/>
    <w:rsid w:val="003B584A"/>
    <w:rsid w:val="003B637C"/>
    <w:rsid w:val="003B72DD"/>
    <w:rsid w:val="003C16A3"/>
    <w:rsid w:val="003C18C0"/>
    <w:rsid w:val="003C1CBE"/>
    <w:rsid w:val="003C2C54"/>
    <w:rsid w:val="003C52D9"/>
    <w:rsid w:val="003C56A3"/>
    <w:rsid w:val="003D0A7C"/>
    <w:rsid w:val="003D0C5D"/>
    <w:rsid w:val="003D29D6"/>
    <w:rsid w:val="003D2E8F"/>
    <w:rsid w:val="003D457C"/>
    <w:rsid w:val="003E1521"/>
    <w:rsid w:val="003E1751"/>
    <w:rsid w:val="003E308A"/>
    <w:rsid w:val="003E6DD0"/>
    <w:rsid w:val="003E704A"/>
    <w:rsid w:val="003F074F"/>
    <w:rsid w:val="003F1377"/>
    <w:rsid w:val="003F1CF1"/>
    <w:rsid w:val="003F26CB"/>
    <w:rsid w:val="003F3EA6"/>
    <w:rsid w:val="003F5E0E"/>
    <w:rsid w:val="003F5F97"/>
    <w:rsid w:val="003F64B0"/>
    <w:rsid w:val="003F7949"/>
    <w:rsid w:val="004033D3"/>
    <w:rsid w:val="00404ACF"/>
    <w:rsid w:val="00405955"/>
    <w:rsid w:val="00406349"/>
    <w:rsid w:val="004064D9"/>
    <w:rsid w:val="004129F5"/>
    <w:rsid w:val="00413DEA"/>
    <w:rsid w:val="0041478E"/>
    <w:rsid w:val="00414DFC"/>
    <w:rsid w:val="00416718"/>
    <w:rsid w:val="00417924"/>
    <w:rsid w:val="00420616"/>
    <w:rsid w:val="00420B89"/>
    <w:rsid w:val="00421C5C"/>
    <w:rsid w:val="00421DBB"/>
    <w:rsid w:val="0042364E"/>
    <w:rsid w:val="0042786B"/>
    <w:rsid w:val="004300C6"/>
    <w:rsid w:val="00430880"/>
    <w:rsid w:val="004309BF"/>
    <w:rsid w:val="004317FB"/>
    <w:rsid w:val="00431F3E"/>
    <w:rsid w:val="00432C51"/>
    <w:rsid w:val="00433548"/>
    <w:rsid w:val="00433896"/>
    <w:rsid w:val="00434BF0"/>
    <w:rsid w:val="00436401"/>
    <w:rsid w:val="00436A6C"/>
    <w:rsid w:val="00440843"/>
    <w:rsid w:val="00442347"/>
    <w:rsid w:val="00443D9C"/>
    <w:rsid w:val="004440A1"/>
    <w:rsid w:val="00445797"/>
    <w:rsid w:val="00445921"/>
    <w:rsid w:val="0044705E"/>
    <w:rsid w:val="00447506"/>
    <w:rsid w:val="004521B5"/>
    <w:rsid w:val="004535C0"/>
    <w:rsid w:val="00457A97"/>
    <w:rsid w:val="004600BA"/>
    <w:rsid w:val="00461397"/>
    <w:rsid w:val="004613EE"/>
    <w:rsid w:val="00461751"/>
    <w:rsid w:val="004637E1"/>
    <w:rsid w:val="00465470"/>
    <w:rsid w:val="00465D69"/>
    <w:rsid w:val="00465F3E"/>
    <w:rsid w:val="00470692"/>
    <w:rsid w:val="00470F06"/>
    <w:rsid w:val="0047178C"/>
    <w:rsid w:val="00471D51"/>
    <w:rsid w:val="00472C07"/>
    <w:rsid w:val="00477553"/>
    <w:rsid w:val="004807AD"/>
    <w:rsid w:val="0048310A"/>
    <w:rsid w:val="004853BA"/>
    <w:rsid w:val="0048624A"/>
    <w:rsid w:val="00486F62"/>
    <w:rsid w:val="00491E52"/>
    <w:rsid w:val="00495035"/>
    <w:rsid w:val="00495FBE"/>
    <w:rsid w:val="004A49C0"/>
    <w:rsid w:val="004A5F14"/>
    <w:rsid w:val="004B1821"/>
    <w:rsid w:val="004B25C2"/>
    <w:rsid w:val="004B4485"/>
    <w:rsid w:val="004B50F9"/>
    <w:rsid w:val="004B5C15"/>
    <w:rsid w:val="004B726A"/>
    <w:rsid w:val="004C1379"/>
    <w:rsid w:val="004C2DE7"/>
    <w:rsid w:val="004C3268"/>
    <w:rsid w:val="004C7092"/>
    <w:rsid w:val="004D22A2"/>
    <w:rsid w:val="004D29C1"/>
    <w:rsid w:val="004D2FE7"/>
    <w:rsid w:val="004D3660"/>
    <w:rsid w:val="004E0649"/>
    <w:rsid w:val="004E08F6"/>
    <w:rsid w:val="004E09B5"/>
    <w:rsid w:val="004E0B75"/>
    <w:rsid w:val="004E113C"/>
    <w:rsid w:val="004E5157"/>
    <w:rsid w:val="004F0DA9"/>
    <w:rsid w:val="004F14E9"/>
    <w:rsid w:val="004F2ECE"/>
    <w:rsid w:val="004F3A38"/>
    <w:rsid w:val="004F5263"/>
    <w:rsid w:val="004F539E"/>
    <w:rsid w:val="004F5BCE"/>
    <w:rsid w:val="004F5FC4"/>
    <w:rsid w:val="004F6191"/>
    <w:rsid w:val="004F712E"/>
    <w:rsid w:val="004F7597"/>
    <w:rsid w:val="004F79B4"/>
    <w:rsid w:val="004F7CC0"/>
    <w:rsid w:val="00502ACE"/>
    <w:rsid w:val="005064A5"/>
    <w:rsid w:val="0050792F"/>
    <w:rsid w:val="005104F4"/>
    <w:rsid w:val="005109C3"/>
    <w:rsid w:val="0051110D"/>
    <w:rsid w:val="00511E1B"/>
    <w:rsid w:val="00512A8D"/>
    <w:rsid w:val="00513761"/>
    <w:rsid w:val="005139A8"/>
    <w:rsid w:val="00517FA5"/>
    <w:rsid w:val="005200F2"/>
    <w:rsid w:val="005203B0"/>
    <w:rsid w:val="00522B47"/>
    <w:rsid w:val="00522DC4"/>
    <w:rsid w:val="00523040"/>
    <w:rsid w:val="00525B67"/>
    <w:rsid w:val="00527A98"/>
    <w:rsid w:val="0053012F"/>
    <w:rsid w:val="0053175A"/>
    <w:rsid w:val="00531D9D"/>
    <w:rsid w:val="00532619"/>
    <w:rsid w:val="00534891"/>
    <w:rsid w:val="0053776D"/>
    <w:rsid w:val="0054054A"/>
    <w:rsid w:val="00540F6E"/>
    <w:rsid w:val="0054155C"/>
    <w:rsid w:val="00541FAE"/>
    <w:rsid w:val="0054249D"/>
    <w:rsid w:val="00543B67"/>
    <w:rsid w:val="005447EF"/>
    <w:rsid w:val="0054764E"/>
    <w:rsid w:val="00551AAC"/>
    <w:rsid w:val="005544EF"/>
    <w:rsid w:val="00554929"/>
    <w:rsid w:val="00554B1A"/>
    <w:rsid w:val="00556197"/>
    <w:rsid w:val="00557C28"/>
    <w:rsid w:val="00561989"/>
    <w:rsid w:val="00562073"/>
    <w:rsid w:val="0056366E"/>
    <w:rsid w:val="005664FE"/>
    <w:rsid w:val="00567A35"/>
    <w:rsid w:val="00567FA1"/>
    <w:rsid w:val="00567FB2"/>
    <w:rsid w:val="005705B5"/>
    <w:rsid w:val="00570729"/>
    <w:rsid w:val="00571EF6"/>
    <w:rsid w:val="00572454"/>
    <w:rsid w:val="0057778F"/>
    <w:rsid w:val="00580CCA"/>
    <w:rsid w:val="00583A72"/>
    <w:rsid w:val="00583FB4"/>
    <w:rsid w:val="00584028"/>
    <w:rsid w:val="00585FE5"/>
    <w:rsid w:val="00590199"/>
    <w:rsid w:val="00590861"/>
    <w:rsid w:val="00592716"/>
    <w:rsid w:val="00593420"/>
    <w:rsid w:val="005A0043"/>
    <w:rsid w:val="005A0F6D"/>
    <w:rsid w:val="005A298B"/>
    <w:rsid w:val="005A6145"/>
    <w:rsid w:val="005A64B9"/>
    <w:rsid w:val="005B0F98"/>
    <w:rsid w:val="005B2DBA"/>
    <w:rsid w:val="005B563C"/>
    <w:rsid w:val="005B63CD"/>
    <w:rsid w:val="005B6D1C"/>
    <w:rsid w:val="005B7E62"/>
    <w:rsid w:val="005C0682"/>
    <w:rsid w:val="005C17D0"/>
    <w:rsid w:val="005C1ED4"/>
    <w:rsid w:val="005C44AC"/>
    <w:rsid w:val="005C52C7"/>
    <w:rsid w:val="005C5F94"/>
    <w:rsid w:val="005C738D"/>
    <w:rsid w:val="005C74DE"/>
    <w:rsid w:val="005D293E"/>
    <w:rsid w:val="005D2F94"/>
    <w:rsid w:val="005D4405"/>
    <w:rsid w:val="005D7728"/>
    <w:rsid w:val="005E07E3"/>
    <w:rsid w:val="005E33C8"/>
    <w:rsid w:val="005E43DD"/>
    <w:rsid w:val="005E4675"/>
    <w:rsid w:val="005E5FF5"/>
    <w:rsid w:val="005E60AC"/>
    <w:rsid w:val="005F1402"/>
    <w:rsid w:val="005F1D70"/>
    <w:rsid w:val="005F254B"/>
    <w:rsid w:val="005F730E"/>
    <w:rsid w:val="005F77A1"/>
    <w:rsid w:val="00601D0C"/>
    <w:rsid w:val="0060277B"/>
    <w:rsid w:val="00604374"/>
    <w:rsid w:val="00606342"/>
    <w:rsid w:val="0060768E"/>
    <w:rsid w:val="00607A67"/>
    <w:rsid w:val="00611673"/>
    <w:rsid w:val="006145AF"/>
    <w:rsid w:val="00614AA7"/>
    <w:rsid w:val="006165B1"/>
    <w:rsid w:val="006167D2"/>
    <w:rsid w:val="00616BED"/>
    <w:rsid w:val="00623939"/>
    <w:rsid w:val="00624A5B"/>
    <w:rsid w:val="00624E07"/>
    <w:rsid w:val="0062548A"/>
    <w:rsid w:val="0062554B"/>
    <w:rsid w:val="006300FA"/>
    <w:rsid w:val="00635F4F"/>
    <w:rsid w:val="006373FE"/>
    <w:rsid w:val="00642630"/>
    <w:rsid w:val="00647CEF"/>
    <w:rsid w:val="00647DE7"/>
    <w:rsid w:val="0065150D"/>
    <w:rsid w:val="00653CAC"/>
    <w:rsid w:val="00654676"/>
    <w:rsid w:val="00656A27"/>
    <w:rsid w:val="00656C8B"/>
    <w:rsid w:val="00660B4C"/>
    <w:rsid w:val="00661205"/>
    <w:rsid w:val="00661229"/>
    <w:rsid w:val="00664211"/>
    <w:rsid w:val="006664E5"/>
    <w:rsid w:val="00667C15"/>
    <w:rsid w:val="006727F5"/>
    <w:rsid w:val="00672A83"/>
    <w:rsid w:val="006747A0"/>
    <w:rsid w:val="006750E2"/>
    <w:rsid w:val="00676943"/>
    <w:rsid w:val="00680F9C"/>
    <w:rsid w:val="00681044"/>
    <w:rsid w:val="00681AB3"/>
    <w:rsid w:val="006825E0"/>
    <w:rsid w:val="006861C9"/>
    <w:rsid w:val="00692610"/>
    <w:rsid w:val="006930B8"/>
    <w:rsid w:val="0069431A"/>
    <w:rsid w:val="006969C7"/>
    <w:rsid w:val="00697E82"/>
    <w:rsid w:val="006A4631"/>
    <w:rsid w:val="006A76C4"/>
    <w:rsid w:val="006A7AD3"/>
    <w:rsid w:val="006A7DFD"/>
    <w:rsid w:val="006B320E"/>
    <w:rsid w:val="006B6A5F"/>
    <w:rsid w:val="006C0337"/>
    <w:rsid w:val="006C2759"/>
    <w:rsid w:val="006C36CE"/>
    <w:rsid w:val="006C397E"/>
    <w:rsid w:val="006C4440"/>
    <w:rsid w:val="006C44FB"/>
    <w:rsid w:val="006C492A"/>
    <w:rsid w:val="006C7D37"/>
    <w:rsid w:val="006D0FBC"/>
    <w:rsid w:val="006D1486"/>
    <w:rsid w:val="006D37E5"/>
    <w:rsid w:val="006D4850"/>
    <w:rsid w:val="006D7A44"/>
    <w:rsid w:val="006E0150"/>
    <w:rsid w:val="006E0B6F"/>
    <w:rsid w:val="006E0EEB"/>
    <w:rsid w:val="006E1029"/>
    <w:rsid w:val="006E2D75"/>
    <w:rsid w:val="006E3B44"/>
    <w:rsid w:val="006E430B"/>
    <w:rsid w:val="006E647E"/>
    <w:rsid w:val="006E77E0"/>
    <w:rsid w:val="006E782C"/>
    <w:rsid w:val="006E79FA"/>
    <w:rsid w:val="006F0A30"/>
    <w:rsid w:val="006F0AA9"/>
    <w:rsid w:val="006F36EB"/>
    <w:rsid w:val="006F6152"/>
    <w:rsid w:val="007012F0"/>
    <w:rsid w:val="0070130A"/>
    <w:rsid w:val="00702FE5"/>
    <w:rsid w:val="0070347C"/>
    <w:rsid w:val="00704E5C"/>
    <w:rsid w:val="00707CB7"/>
    <w:rsid w:val="00710537"/>
    <w:rsid w:val="00710FCB"/>
    <w:rsid w:val="00712E5B"/>
    <w:rsid w:val="007139D6"/>
    <w:rsid w:val="007141EE"/>
    <w:rsid w:val="00714694"/>
    <w:rsid w:val="00715A75"/>
    <w:rsid w:val="007166B8"/>
    <w:rsid w:val="00716B60"/>
    <w:rsid w:val="00722111"/>
    <w:rsid w:val="00723867"/>
    <w:rsid w:val="007246ED"/>
    <w:rsid w:val="00727E0B"/>
    <w:rsid w:val="00732047"/>
    <w:rsid w:val="0074053D"/>
    <w:rsid w:val="007434A4"/>
    <w:rsid w:val="00744078"/>
    <w:rsid w:val="00744619"/>
    <w:rsid w:val="00745838"/>
    <w:rsid w:val="00746330"/>
    <w:rsid w:val="00756E1C"/>
    <w:rsid w:val="00757B7D"/>
    <w:rsid w:val="0076256E"/>
    <w:rsid w:val="00762D6D"/>
    <w:rsid w:val="00763A94"/>
    <w:rsid w:val="007675EF"/>
    <w:rsid w:val="00771EE3"/>
    <w:rsid w:val="00780FC3"/>
    <w:rsid w:val="007822AE"/>
    <w:rsid w:val="00783F4E"/>
    <w:rsid w:val="0078550A"/>
    <w:rsid w:val="007864E6"/>
    <w:rsid w:val="007900F7"/>
    <w:rsid w:val="00790A93"/>
    <w:rsid w:val="0079350C"/>
    <w:rsid w:val="00793DA1"/>
    <w:rsid w:val="0079420D"/>
    <w:rsid w:val="00795478"/>
    <w:rsid w:val="007A0414"/>
    <w:rsid w:val="007A256E"/>
    <w:rsid w:val="007A2F18"/>
    <w:rsid w:val="007A3031"/>
    <w:rsid w:val="007A388E"/>
    <w:rsid w:val="007A7145"/>
    <w:rsid w:val="007A74E8"/>
    <w:rsid w:val="007B0D2B"/>
    <w:rsid w:val="007B10BE"/>
    <w:rsid w:val="007B1A55"/>
    <w:rsid w:val="007B2FFA"/>
    <w:rsid w:val="007B460C"/>
    <w:rsid w:val="007B58F2"/>
    <w:rsid w:val="007B613D"/>
    <w:rsid w:val="007C0733"/>
    <w:rsid w:val="007C3A4D"/>
    <w:rsid w:val="007C4964"/>
    <w:rsid w:val="007C547A"/>
    <w:rsid w:val="007C6AB3"/>
    <w:rsid w:val="007C7481"/>
    <w:rsid w:val="007C7EBD"/>
    <w:rsid w:val="007D14EC"/>
    <w:rsid w:val="007D5024"/>
    <w:rsid w:val="007D6069"/>
    <w:rsid w:val="007D6773"/>
    <w:rsid w:val="007D6BCC"/>
    <w:rsid w:val="007D7692"/>
    <w:rsid w:val="007E028B"/>
    <w:rsid w:val="007E169F"/>
    <w:rsid w:val="007F226F"/>
    <w:rsid w:val="007F2791"/>
    <w:rsid w:val="007F28A3"/>
    <w:rsid w:val="007F4A9A"/>
    <w:rsid w:val="008002F1"/>
    <w:rsid w:val="00803247"/>
    <w:rsid w:val="00803337"/>
    <w:rsid w:val="00803B21"/>
    <w:rsid w:val="00804381"/>
    <w:rsid w:val="00806C05"/>
    <w:rsid w:val="00807795"/>
    <w:rsid w:val="00810022"/>
    <w:rsid w:val="008100B9"/>
    <w:rsid w:val="00811B67"/>
    <w:rsid w:val="00816A04"/>
    <w:rsid w:val="00816E88"/>
    <w:rsid w:val="00817CA1"/>
    <w:rsid w:val="008211E1"/>
    <w:rsid w:val="0082281F"/>
    <w:rsid w:val="00822B9C"/>
    <w:rsid w:val="00822C61"/>
    <w:rsid w:val="008258BF"/>
    <w:rsid w:val="00830713"/>
    <w:rsid w:val="008307E5"/>
    <w:rsid w:val="008307E6"/>
    <w:rsid w:val="00832068"/>
    <w:rsid w:val="00833020"/>
    <w:rsid w:val="00834981"/>
    <w:rsid w:val="00835F72"/>
    <w:rsid w:val="00837890"/>
    <w:rsid w:val="00842E17"/>
    <w:rsid w:val="00842F0B"/>
    <w:rsid w:val="00847D54"/>
    <w:rsid w:val="00853E73"/>
    <w:rsid w:val="00855D27"/>
    <w:rsid w:val="00857081"/>
    <w:rsid w:val="00857616"/>
    <w:rsid w:val="00857A65"/>
    <w:rsid w:val="008603D0"/>
    <w:rsid w:val="00860A86"/>
    <w:rsid w:val="00861A4F"/>
    <w:rsid w:val="00861CFF"/>
    <w:rsid w:val="00861D1B"/>
    <w:rsid w:val="008637D8"/>
    <w:rsid w:val="008670F5"/>
    <w:rsid w:val="0086752E"/>
    <w:rsid w:val="00870A87"/>
    <w:rsid w:val="00873715"/>
    <w:rsid w:val="008768B9"/>
    <w:rsid w:val="00881311"/>
    <w:rsid w:val="00881658"/>
    <w:rsid w:val="00881ADB"/>
    <w:rsid w:val="00883CA5"/>
    <w:rsid w:val="008846B0"/>
    <w:rsid w:val="0088721E"/>
    <w:rsid w:val="00890B83"/>
    <w:rsid w:val="00890BEF"/>
    <w:rsid w:val="0089138E"/>
    <w:rsid w:val="008927FA"/>
    <w:rsid w:val="00896D06"/>
    <w:rsid w:val="008A2804"/>
    <w:rsid w:val="008A3BBD"/>
    <w:rsid w:val="008A468B"/>
    <w:rsid w:val="008A60B5"/>
    <w:rsid w:val="008A65A8"/>
    <w:rsid w:val="008B079E"/>
    <w:rsid w:val="008B1A8E"/>
    <w:rsid w:val="008B1C1B"/>
    <w:rsid w:val="008B2C32"/>
    <w:rsid w:val="008B34E9"/>
    <w:rsid w:val="008B46DF"/>
    <w:rsid w:val="008B7E0F"/>
    <w:rsid w:val="008C09FF"/>
    <w:rsid w:val="008C0F0F"/>
    <w:rsid w:val="008C2EFB"/>
    <w:rsid w:val="008C30CB"/>
    <w:rsid w:val="008C3464"/>
    <w:rsid w:val="008C55CE"/>
    <w:rsid w:val="008D042F"/>
    <w:rsid w:val="008D352E"/>
    <w:rsid w:val="008D3C3A"/>
    <w:rsid w:val="008D46DF"/>
    <w:rsid w:val="008D59CA"/>
    <w:rsid w:val="008D5AAB"/>
    <w:rsid w:val="008D6393"/>
    <w:rsid w:val="008D6865"/>
    <w:rsid w:val="008D6C73"/>
    <w:rsid w:val="008D7434"/>
    <w:rsid w:val="008E0643"/>
    <w:rsid w:val="008E134F"/>
    <w:rsid w:val="008E32E9"/>
    <w:rsid w:val="008E471B"/>
    <w:rsid w:val="008E66CD"/>
    <w:rsid w:val="008F0FCA"/>
    <w:rsid w:val="008F3A24"/>
    <w:rsid w:val="008F538F"/>
    <w:rsid w:val="008F7597"/>
    <w:rsid w:val="00900F07"/>
    <w:rsid w:val="00904216"/>
    <w:rsid w:val="00906F09"/>
    <w:rsid w:val="0090748D"/>
    <w:rsid w:val="0091016D"/>
    <w:rsid w:val="00912332"/>
    <w:rsid w:val="00913BC6"/>
    <w:rsid w:val="009169B3"/>
    <w:rsid w:val="009240C6"/>
    <w:rsid w:val="009241B9"/>
    <w:rsid w:val="009257CF"/>
    <w:rsid w:val="009263BC"/>
    <w:rsid w:val="00927B22"/>
    <w:rsid w:val="00927F09"/>
    <w:rsid w:val="00931322"/>
    <w:rsid w:val="00932BAA"/>
    <w:rsid w:val="0093333B"/>
    <w:rsid w:val="00933CDE"/>
    <w:rsid w:val="0093636B"/>
    <w:rsid w:val="00936529"/>
    <w:rsid w:val="00937E7C"/>
    <w:rsid w:val="00942DF3"/>
    <w:rsid w:val="00943EF2"/>
    <w:rsid w:val="00946CEE"/>
    <w:rsid w:val="00951E21"/>
    <w:rsid w:val="00952B0A"/>
    <w:rsid w:val="00952B30"/>
    <w:rsid w:val="00955C5C"/>
    <w:rsid w:val="00957A79"/>
    <w:rsid w:val="00961E3A"/>
    <w:rsid w:val="009745D1"/>
    <w:rsid w:val="00975484"/>
    <w:rsid w:val="009760E3"/>
    <w:rsid w:val="00976C82"/>
    <w:rsid w:val="00983A8F"/>
    <w:rsid w:val="0098661A"/>
    <w:rsid w:val="00990DBD"/>
    <w:rsid w:val="00992D6F"/>
    <w:rsid w:val="009930B3"/>
    <w:rsid w:val="00993CB1"/>
    <w:rsid w:val="00997E23"/>
    <w:rsid w:val="009A1715"/>
    <w:rsid w:val="009A1AC4"/>
    <w:rsid w:val="009A4EAF"/>
    <w:rsid w:val="009A56A5"/>
    <w:rsid w:val="009A7F5F"/>
    <w:rsid w:val="009B0E62"/>
    <w:rsid w:val="009B3F26"/>
    <w:rsid w:val="009B672C"/>
    <w:rsid w:val="009C7F1F"/>
    <w:rsid w:val="009D021B"/>
    <w:rsid w:val="009D0846"/>
    <w:rsid w:val="009D47C2"/>
    <w:rsid w:val="009D5671"/>
    <w:rsid w:val="009D567F"/>
    <w:rsid w:val="009E07A1"/>
    <w:rsid w:val="009E1E26"/>
    <w:rsid w:val="009E439F"/>
    <w:rsid w:val="009E5A51"/>
    <w:rsid w:val="009F3F87"/>
    <w:rsid w:val="009F6327"/>
    <w:rsid w:val="009F6B5D"/>
    <w:rsid w:val="009F6EBE"/>
    <w:rsid w:val="009F7378"/>
    <w:rsid w:val="00A005B3"/>
    <w:rsid w:val="00A01F6E"/>
    <w:rsid w:val="00A024A7"/>
    <w:rsid w:val="00A0352D"/>
    <w:rsid w:val="00A039EC"/>
    <w:rsid w:val="00A0440B"/>
    <w:rsid w:val="00A05180"/>
    <w:rsid w:val="00A05E90"/>
    <w:rsid w:val="00A06203"/>
    <w:rsid w:val="00A065BF"/>
    <w:rsid w:val="00A07246"/>
    <w:rsid w:val="00A079C1"/>
    <w:rsid w:val="00A101AD"/>
    <w:rsid w:val="00A1734B"/>
    <w:rsid w:val="00A177FA"/>
    <w:rsid w:val="00A17BC5"/>
    <w:rsid w:val="00A21E32"/>
    <w:rsid w:val="00A2389F"/>
    <w:rsid w:val="00A25314"/>
    <w:rsid w:val="00A256AF"/>
    <w:rsid w:val="00A25B9A"/>
    <w:rsid w:val="00A32A24"/>
    <w:rsid w:val="00A33A10"/>
    <w:rsid w:val="00A34505"/>
    <w:rsid w:val="00A37305"/>
    <w:rsid w:val="00A4158C"/>
    <w:rsid w:val="00A42AFD"/>
    <w:rsid w:val="00A44980"/>
    <w:rsid w:val="00A44DD1"/>
    <w:rsid w:val="00A454D2"/>
    <w:rsid w:val="00A46C5A"/>
    <w:rsid w:val="00A4750C"/>
    <w:rsid w:val="00A50878"/>
    <w:rsid w:val="00A51FB9"/>
    <w:rsid w:val="00A521BA"/>
    <w:rsid w:val="00A532FA"/>
    <w:rsid w:val="00A53352"/>
    <w:rsid w:val="00A563D8"/>
    <w:rsid w:val="00A61692"/>
    <w:rsid w:val="00A64904"/>
    <w:rsid w:val="00A6611B"/>
    <w:rsid w:val="00A67776"/>
    <w:rsid w:val="00A7360A"/>
    <w:rsid w:val="00A7512A"/>
    <w:rsid w:val="00A771CA"/>
    <w:rsid w:val="00A800CB"/>
    <w:rsid w:val="00A85BDC"/>
    <w:rsid w:val="00A86462"/>
    <w:rsid w:val="00A86525"/>
    <w:rsid w:val="00A8716A"/>
    <w:rsid w:val="00A9238C"/>
    <w:rsid w:val="00A934C4"/>
    <w:rsid w:val="00A94D52"/>
    <w:rsid w:val="00A95C32"/>
    <w:rsid w:val="00A966C4"/>
    <w:rsid w:val="00AA227C"/>
    <w:rsid w:val="00AA531F"/>
    <w:rsid w:val="00AA5B3D"/>
    <w:rsid w:val="00AB1172"/>
    <w:rsid w:val="00AB3518"/>
    <w:rsid w:val="00AB371A"/>
    <w:rsid w:val="00AB669C"/>
    <w:rsid w:val="00AC0C2E"/>
    <w:rsid w:val="00AC127A"/>
    <w:rsid w:val="00AC2BF5"/>
    <w:rsid w:val="00AC615E"/>
    <w:rsid w:val="00AD08C7"/>
    <w:rsid w:val="00AD09FF"/>
    <w:rsid w:val="00AD17F4"/>
    <w:rsid w:val="00AD3146"/>
    <w:rsid w:val="00AD6449"/>
    <w:rsid w:val="00AE062B"/>
    <w:rsid w:val="00AE1839"/>
    <w:rsid w:val="00AE38A3"/>
    <w:rsid w:val="00AE6C0B"/>
    <w:rsid w:val="00AF4C57"/>
    <w:rsid w:val="00AF63F9"/>
    <w:rsid w:val="00AF7033"/>
    <w:rsid w:val="00AF747A"/>
    <w:rsid w:val="00B0204B"/>
    <w:rsid w:val="00B03A87"/>
    <w:rsid w:val="00B07C36"/>
    <w:rsid w:val="00B11A22"/>
    <w:rsid w:val="00B168DB"/>
    <w:rsid w:val="00B205FC"/>
    <w:rsid w:val="00B25101"/>
    <w:rsid w:val="00B257BE"/>
    <w:rsid w:val="00B316AD"/>
    <w:rsid w:val="00B32358"/>
    <w:rsid w:val="00B33342"/>
    <w:rsid w:val="00B35774"/>
    <w:rsid w:val="00B36293"/>
    <w:rsid w:val="00B37D36"/>
    <w:rsid w:val="00B43DD7"/>
    <w:rsid w:val="00B478D1"/>
    <w:rsid w:val="00B5183D"/>
    <w:rsid w:val="00B548BF"/>
    <w:rsid w:val="00B54A1F"/>
    <w:rsid w:val="00B57877"/>
    <w:rsid w:val="00B57913"/>
    <w:rsid w:val="00B5796C"/>
    <w:rsid w:val="00B615F4"/>
    <w:rsid w:val="00B66550"/>
    <w:rsid w:val="00B673D5"/>
    <w:rsid w:val="00B67B73"/>
    <w:rsid w:val="00B7038B"/>
    <w:rsid w:val="00B71988"/>
    <w:rsid w:val="00B73AEA"/>
    <w:rsid w:val="00B75F74"/>
    <w:rsid w:val="00B77161"/>
    <w:rsid w:val="00B77D27"/>
    <w:rsid w:val="00B80318"/>
    <w:rsid w:val="00B86D5C"/>
    <w:rsid w:val="00B87364"/>
    <w:rsid w:val="00B91041"/>
    <w:rsid w:val="00B915BA"/>
    <w:rsid w:val="00B9198C"/>
    <w:rsid w:val="00B932DB"/>
    <w:rsid w:val="00B93510"/>
    <w:rsid w:val="00B936A9"/>
    <w:rsid w:val="00B95187"/>
    <w:rsid w:val="00B95F84"/>
    <w:rsid w:val="00B97ABD"/>
    <w:rsid w:val="00BA1525"/>
    <w:rsid w:val="00BA36EA"/>
    <w:rsid w:val="00BA5D43"/>
    <w:rsid w:val="00BA5FCF"/>
    <w:rsid w:val="00BB0E9E"/>
    <w:rsid w:val="00BB1F14"/>
    <w:rsid w:val="00BB200B"/>
    <w:rsid w:val="00BB21A3"/>
    <w:rsid w:val="00BB2741"/>
    <w:rsid w:val="00BB29D7"/>
    <w:rsid w:val="00BB371F"/>
    <w:rsid w:val="00BB3A5D"/>
    <w:rsid w:val="00BB6E70"/>
    <w:rsid w:val="00BB71C3"/>
    <w:rsid w:val="00BB724B"/>
    <w:rsid w:val="00BB7A5A"/>
    <w:rsid w:val="00BC2624"/>
    <w:rsid w:val="00BC262C"/>
    <w:rsid w:val="00BC2D2C"/>
    <w:rsid w:val="00BC5327"/>
    <w:rsid w:val="00BC55B6"/>
    <w:rsid w:val="00BC625B"/>
    <w:rsid w:val="00BC739D"/>
    <w:rsid w:val="00BD0E73"/>
    <w:rsid w:val="00BD207E"/>
    <w:rsid w:val="00BD270A"/>
    <w:rsid w:val="00BD34E5"/>
    <w:rsid w:val="00BD7ACA"/>
    <w:rsid w:val="00BE1383"/>
    <w:rsid w:val="00BE2057"/>
    <w:rsid w:val="00BE223D"/>
    <w:rsid w:val="00BE35EB"/>
    <w:rsid w:val="00BE4EB5"/>
    <w:rsid w:val="00BE7076"/>
    <w:rsid w:val="00BE77E8"/>
    <w:rsid w:val="00BF14BF"/>
    <w:rsid w:val="00BF1958"/>
    <w:rsid w:val="00BF33A8"/>
    <w:rsid w:val="00BF3929"/>
    <w:rsid w:val="00BF6F7C"/>
    <w:rsid w:val="00C0005C"/>
    <w:rsid w:val="00C01492"/>
    <w:rsid w:val="00C0366A"/>
    <w:rsid w:val="00C03B05"/>
    <w:rsid w:val="00C0432E"/>
    <w:rsid w:val="00C05025"/>
    <w:rsid w:val="00C05772"/>
    <w:rsid w:val="00C060EF"/>
    <w:rsid w:val="00C06E1F"/>
    <w:rsid w:val="00C1077F"/>
    <w:rsid w:val="00C11AE3"/>
    <w:rsid w:val="00C12C17"/>
    <w:rsid w:val="00C136D3"/>
    <w:rsid w:val="00C14FA5"/>
    <w:rsid w:val="00C210CE"/>
    <w:rsid w:val="00C23DE2"/>
    <w:rsid w:val="00C23E8C"/>
    <w:rsid w:val="00C25B75"/>
    <w:rsid w:val="00C307D6"/>
    <w:rsid w:val="00C31606"/>
    <w:rsid w:val="00C345A0"/>
    <w:rsid w:val="00C34648"/>
    <w:rsid w:val="00C35704"/>
    <w:rsid w:val="00C4140C"/>
    <w:rsid w:val="00C43035"/>
    <w:rsid w:val="00C43A02"/>
    <w:rsid w:val="00C44C77"/>
    <w:rsid w:val="00C46238"/>
    <w:rsid w:val="00C464DC"/>
    <w:rsid w:val="00C47381"/>
    <w:rsid w:val="00C511B5"/>
    <w:rsid w:val="00C52BA8"/>
    <w:rsid w:val="00C538CB"/>
    <w:rsid w:val="00C546DC"/>
    <w:rsid w:val="00C54716"/>
    <w:rsid w:val="00C57B3A"/>
    <w:rsid w:val="00C60D1B"/>
    <w:rsid w:val="00C63E73"/>
    <w:rsid w:val="00C648B2"/>
    <w:rsid w:val="00C64B9B"/>
    <w:rsid w:val="00C668B6"/>
    <w:rsid w:val="00C71903"/>
    <w:rsid w:val="00C72100"/>
    <w:rsid w:val="00C72724"/>
    <w:rsid w:val="00C758B8"/>
    <w:rsid w:val="00C7719D"/>
    <w:rsid w:val="00C81DE2"/>
    <w:rsid w:val="00C81E8B"/>
    <w:rsid w:val="00C82DBA"/>
    <w:rsid w:val="00C87D80"/>
    <w:rsid w:val="00C97CE1"/>
    <w:rsid w:val="00CA395D"/>
    <w:rsid w:val="00CA433E"/>
    <w:rsid w:val="00CA44D5"/>
    <w:rsid w:val="00CA547A"/>
    <w:rsid w:val="00CA5536"/>
    <w:rsid w:val="00CA7291"/>
    <w:rsid w:val="00CB1ABC"/>
    <w:rsid w:val="00CB48FA"/>
    <w:rsid w:val="00CC14F0"/>
    <w:rsid w:val="00CC1FF3"/>
    <w:rsid w:val="00CC3DC6"/>
    <w:rsid w:val="00CC5028"/>
    <w:rsid w:val="00CC79AD"/>
    <w:rsid w:val="00CD05C4"/>
    <w:rsid w:val="00CD2E02"/>
    <w:rsid w:val="00CD318E"/>
    <w:rsid w:val="00CD3BE2"/>
    <w:rsid w:val="00CD42FA"/>
    <w:rsid w:val="00CD5CF8"/>
    <w:rsid w:val="00CD6A67"/>
    <w:rsid w:val="00CD7FB4"/>
    <w:rsid w:val="00CE302D"/>
    <w:rsid w:val="00CE3CDD"/>
    <w:rsid w:val="00CE4698"/>
    <w:rsid w:val="00CE4A09"/>
    <w:rsid w:val="00CE5A35"/>
    <w:rsid w:val="00CE5E95"/>
    <w:rsid w:val="00CE6043"/>
    <w:rsid w:val="00CF1013"/>
    <w:rsid w:val="00CF5B51"/>
    <w:rsid w:val="00CF5F47"/>
    <w:rsid w:val="00CF6D59"/>
    <w:rsid w:val="00D01D80"/>
    <w:rsid w:val="00D02D3D"/>
    <w:rsid w:val="00D056F9"/>
    <w:rsid w:val="00D0594F"/>
    <w:rsid w:val="00D05950"/>
    <w:rsid w:val="00D05FD6"/>
    <w:rsid w:val="00D13611"/>
    <w:rsid w:val="00D14B83"/>
    <w:rsid w:val="00D15CCE"/>
    <w:rsid w:val="00D16068"/>
    <w:rsid w:val="00D1674A"/>
    <w:rsid w:val="00D17486"/>
    <w:rsid w:val="00D201EC"/>
    <w:rsid w:val="00D20C01"/>
    <w:rsid w:val="00D2236B"/>
    <w:rsid w:val="00D25EE2"/>
    <w:rsid w:val="00D27582"/>
    <w:rsid w:val="00D27DFF"/>
    <w:rsid w:val="00D30692"/>
    <w:rsid w:val="00D30847"/>
    <w:rsid w:val="00D30E73"/>
    <w:rsid w:val="00D328AA"/>
    <w:rsid w:val="00D34310"/>
    <w:rsid w:val="00D40CEC"/>
    <w:rsid w:val="00D43996"/>
    <w:rsid w:val="00D47324"/>
    <w:rsid w:val="00D53F15"/>
    <w:rsid w:val="00D56195"/>
    <w:rsid w:val="00D624B4"/>
    <w:rsid w:val="00D640D3"/>
    <w:rsid w:val="00D658F6"/>
    <w:rsid w:val="00D666E2"/>
    <w:rsid w:val="00D670BC"/>
    <w:rsid w:val="00D67403"/>
    <w:rsid w:val="00D721AD"/>
    <w:rsid w:val="00D733B0"/>
    <w:rsid w:val="00D759E8"/>
    <w:rsid w:val="00D771A9"/>
    <w:rsid w:val="00D84338"/>
    <w:rsid w:val="00D87AEF"/>
    <w:rsid w:val="00D90F53"/>
    <w:rsid w:val="00D9145C"/>
    <w:rsid w:val="00D92551"/>
    <w:rsid w:val="00D94688"/>
    <w:rsid w:val="00D94CBA"/>
    <w:rsid w:val="00D962A1"/>
    <w:rsid w:val="00DA2004"/>
    <w:rsid w:val="00DA21BB"/>
    <w:rsid w:val="00DA5A55"/>
    <w:rsid w:val="00DB0447"/>
    <w:rsid w:val="00DB0451"/>
    <w:rsid w:val="00DB15FC"/>
    <w:rsid w:val="00DB17B9"/>
    <w:rsid w:val="00DB1F2E"/>
    <w:rsid w:val="00DB2E6A"/>
    <w:rsid w:val="00DB38DD"/>
    <w:rsid w:val="00DB5099"/>
    <w:rsid w:val="00DB75A5"/>
    <w:rsid w:val="00DB7FB2"/>
    <w:rsid w:val="00DB7FD7"/>
    <w:rsid w:val="00DC0D34"/>
    <w:rsid w:val="00DC23A9"/>
    <w:rsid w:val="00DC2F3E"/>
    <w:rsid w:val="00DC2FA1"/>
    <w:rsid w:val="00DC35CD"/>
    <w:rsid w:val="00DC3C92"/>
    <w:rsid w:val="00DC4337"/>
    <w:rsid w:val="00DC56F9"/>
    <w:rsid w:val="00DD10CC"/>
    <w:rsid w:val="00DD15AB"/>
    <w:rsid w:val="00DD2517"/>
    <w:rsid w:val="00DD4BAB"/>
    <w:rsid w:val="00DD69AE"/>
    <w:rsid w:val="00DD79D6"/>
    <w:rsid w:val="00DE1DFC"/>
    <w:rsid w:val="00DE3288"/>
    <w:rsid w:val="00DF0919"/>
    <w:rsid w:val="00DF09FD"/>
    <w:rsid w:val="00DF0E4F"/>
    <w:rsid w:val="00DF3286"/>
    <w:rsid w:val="00DF3F49"/>
    <w:rsid w:val="00DF4229"/>
    <w:rsid w:val="00DF52F4"/>
    <w:rsid w:val="00DF64BB"/>
    <w:rsid w:val="00E01AC7"/>
    <w:rsid w:val="00E02077"/>
    <w:rsid w:val="00E02906"/>
    <w:rsid w:val="00E0308A"/>
    <w:rsid w:val="00E121A0"/>
    <w:rsid w:val="00E12360"/>
    <w:rsid w:val="00E12636"/>
    <w:rsid w:val="00E12B37"/>
    <w:rsid w:val="00E12DC7"/>
    <w:rsid w:val="00E206A0"/>
    <w:rsid w:val="00E20BB6"/>
    <w:rsid w:val="00E21113"/>
    <w:rsid w:val="00E230E9"/>
    <w:rsid w:val="00E266AD"/>
    <w:rsid w:val="00E27DFF"/>
    <w:rsid w:val="00E30186"/>
    <w:rsid w:val="00E30272"/>
    <w:rsid w:val="00E31992"/>
    <w:rsid w:val="00E3527B"/>
    <w:rsid w:val="00E35626"/>
    <w:rsid w:val="00E374CF"/>
    <w:rsid w:val="00E37520"/>
    <w:rsid w:val="00E40F12"/>
    <w:rsid w:val="00E417D4"/>
    <w:rsid w:val="00E41B78"/>
    <w:rsid w:val="00E426C4"/>
    <w:rsid w:val="00E44EAC"/>
    <w:rsid w:val="00E4548F"/>
    <w:rsid w:val="00E50504"/>
    <w:rsid w:val="00E52AC4"/>
    <w:rsid w:val="00E53782"/>
    <w:rsid w:val="00E5564E"/>
    <w:rsid w:val="00E55D26"/>
    <w:rsid w:val="00E56A1C"/>
    <w:rsid w:val="00E6286A"/>
    <w:rsid w:val="00E62C20"/>
    <w:rsid w:val="00E66280"/>
    <w:rsid w:val="00E66E1A"/>
    <w:rsid w:val="00E70786"/>
    <w:rsid w:val="00E71ADC"/>
    <w:rsid w:val="00E72895"/>
    <w:rsid w:val="00E751D2"/>
    <w:rsid w:val="00E751FE"/>
    <w:rsid w:val="00E75545"/>
    <w:rsid w:val="00E7691A"/>
    <w:rsid w:val="00E7717C"/>
    <w:rsid w:val="00E80C49"/>
    <w:rsid w:val="00E87015"/>
    <w:rsid w:val="00E8742A"/>
    <w:rsid w:val="00E87F04"/>
    <w:rsid w:val="00E92575"/>
    <w:rsid w:val="00E929B7"/>
    <w:rsid w:val="00E92C37"/>
    <w:rsid w:val="00E92EEE"/>
    <w:rsid w:val="00E951E6"/>
    <w:rsid w:val="00E97CA1"/>
    <w:rsid w:val="00E97D71"/>
    <w:rsid w:val="00EA4465"/>
    <w:rsid w:val="00EA59DF"/>
    <w:rsid w:val="00EB0A70"/>
    <w:rsid w:val="00EB14D9"/>
    <w:rsid w:val="00EB3118"/>
    <w:rsid w:val="00EB433F"/>
    <w:rsid w:val="00EB4678"/>
    <w:rsid w:val="00EB51D3"/>
    <w:rsid w:val="00EB788D"/>
    <w:rsid w:val="00EC2FC9"/>
    <w:rsid w:val="00EC38DD"/>
    <w:rsid w:val="00EC3F48"/>
    <w:rsid w:val="00EC42BB"/>
    <w:rsid w:val="00EC7B5D"/>
    <w:rsid w:val="00ED0E69"/>
    <w:rsid w:val="00ED12CA"/>
    <w:rsid w:val="00ED4A46"/>
    <w:rsid w:val="00ED6399"/>
    <w:rsid w:val="00EE08BC"/>
    <w:rsid w:val="00EE2F4B"/>
    <w:rsid w:val="00EE47AE"/>
    <w:rsid w:val="00EE65EA"/>
    <w:rsid w:val="00EE7448"/>
    <w:rsid w:val="00EF363F"/>
    <w:rsid w:val="00EF4F20"/>
    <w:rsid w:val="00F00F5B"/>
    <w:rsid w:val="00F01E7E"/>
    <w:rsid w:val="00F04631"/>
    <w:rsid w:val="00F04A32"/>
    <w:rsid w:val="00F04E65"/>
    <w:rsid w:val="00F05FFC"/>
    <w:rsid w:val="00F06518"/>
    <w:rsid w:val="00F07ABB"/>
    <w:rsid w:val="00F12602"/>
    <w:rsid w:val="00F13052"/>
    <w:rsid w:val="00F13320"/>
    <w:rsid w:val="00F15B1D"/>
    <w:rsid w:val="00F165C1"/>
    <w:rsid w:val="00F16F63"/>
    <w:rsid w:val="00F179C2"/>
    <w:rsid w:val="00F17D85"/>
    <w:rsid w:val="00F17E79"/>
    <w:rsid w:val="00F24877"/>
    <w:rsid w:val="00F268AB"/>
    <w:rsid w:val="00F268D4"/>
    <w:rsid w:val="00F27B1F"/>
    <w:rsid w:val="00F3107C"/>
    <w:rsid w:val="00F323E5"/>
    <w:rsid w:val="00F33A01"/>
    <w:rsid w:val="00F34868"/>
    <w:rsid w:val="00F357C4"/>
    <w:rsid w:val="00F3633B"/>
    <w:rsid w:val="00F373D2"/>
    <w:rsid w:val="00F37774"/>
    <w:rsid w:val="00F40264"/>
    <w:rsid w:val="00F407EB"/>
    <w:rsid w:val="00F40C58"/>
    <w:rsid w:val="00F41C06"/>
    <w:rsid w:val="00F429DA"/>
    <w:rsid w:val="00F42DC7"/>
    <w:rsid w:val="00F44D63"/>
    <w:rsid w:val="00F4542A"/>
    <w:rsid w:val="00F47FAA"/>
    <w:rsid w:val="00F5057A"/>
    <w:rsid w:val="00F52313"/>
    <w:rsid w:val="00F54693"/>
    <w:rsid w:val="00F56031"/>
    <w:rsid w:val="00F57275"/>
    <w:rsid w:val="00F57323"/>
    <w:rsid w:val="00F57D54"/>
    <w:rsid w:val="00F60F03"/>
    <w:rsid w:val="00F6117B"/>
    <w:rsid w:val="00F61EF5"/>
    <w:rsid w:val="00F63D26"/>
    <w:rsid w:val="00F66468"/>
    <w:rsid w:val="00F678EB"/>
    <w:rsid w:val="00F67C4B"/>
    <w:rsid w:val="00F7025F"/>
    <w:rsid w:val="00F73136"/>
    <w:rsid w:val="00F73287"/>
    <w:rsid w:val="00F73DC4"/>
    <w:rsid w:val="00F74540"/>
    <w:rsid w:val="00F74946"/>
    <w:rsid w:val="00F74FA4"/>
    <w:rsid w:val="00F765AA"/>
    <w:rsid w:val="00F774B5"/>
    <w:rsid w:val="00F77B97"/>
    <w:rsid w:val="00F80BA3"/>
    <w:rsid w:val="00F85BEE"/>
    <w:rsid w:val="00F86AEB"/>
    <w:rsid w:val="00F871CA"/>
    <w:rsid w:val="00F90020"/>
    <w:rsid w:val="00F90B6D"/>
    <w:rsid w:val="00F94B0C"/>
    <w:rsid w:val="00F94B6D"/>
    <w:rsid w:val="00F94B9A"/>
    <w:rsid w:val="00F9515E"/>
    <w:rsid w:val="00F969D5"/>
    <w:rsid w:val="00F973BD"/>
    <w:rsid w:val="00F97D2B"/>
    <w:rsid w:val="00FA0D31"/>
    <w:rsid w:val="00FA1D03"/>
    <w:rsid w:val="00FA3765"/>
    <w:rsid w:val="00FA3B08"/>
    <w:rsid w:val="00FA4D44"/>
    <w:rsid w:val="00FB021C"/>
    <w:rsid w:val="00FB1BF8"/>
    <w:rsid w:val="00FB2568"/>
    <w:rsid w:val="00FB2807"/>
    <w:rsid w:val="00FB2885"/>
    <w:rsid w:val="00FB4D27"/>
    <w:rsid w:val="00FB546D"/>
    <w:rsid w:val="00FB5E31"/>
    <w:rsid w:val="00FC010E"/>
    <w:rsid w:val="00FC22FD"/>
    <w:rsid w:val="00FC354A"/>
    <w:rsid w:val="00FC3E82"/>
    <w:rsid w:val="00FC4B37"/>
    <w:rsid w:val="00FD08A3"/>
    <w:rsid w:val="00FD153B"/>
    <w:rsid w:val="00FD1989"/>
    <w:rsid w:val="00FD1E11"/>
    <w:rsid w:val="00FD20AE"/>
    <w:rsid w:val="00FD3D7A"/>
    <w:rsid w:val="00FD5397"/>
    <w:rsid w:val="00FD7896"/>
    <w:rsid w:val="00FE4619"/>
    <w:rsid w:val="00FE57C7"/>
    <w:rsid w:val="00FF1532"/>
    <w:rsid w:val="00FF158B"/>
    <w:rsid w:val="00FF1E95"/>
    <w:rsid w:val="00FF1EEE"/>
    <w:rsid w:val="00FF4C3A"/>
    <w:rsid w:val="00FF6114"/>
    <w:rsid w:val="00FF6386"/>
    <w:rsid w:val="00FF75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BCD6C9"/>
  <w15:docId w15:val="{1B4A5F96-E844-4719-BBA9-3B0F29B3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FD"/>
    <w:pPr>
      <w:jc w:val="both"/>
    </w:pPr>
  </w:style>
  <w:style w:type="paragraph" w:styleId="Titolo1">
    <w:name w:val="heading 1"/>
    <w:basedOn w:val="Normale"/>
    <w:next w:val="Normale"/>
    <w:link w:val="Titolo1Carattere"/>
    <w:uiPriority w:val="9"/>
    <w:qFormat/>
    <w:rsid w:val="004D29C1"/>
    <w:pPr>
      <w:keepNext/>
      <w:keepLines/>
      <w:spacing w:before="240" w:after="12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B7E0F"/>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8320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88131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41B9"/>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241B9"/>
  </w:style>
  <w:style w:type="paragraph" w:styleId="Pidipagina">
    <w:name w:val="footer"/>
    <w:basedOn w:val="Normale"/>
    <w:link w:val="PidipaginaCarattere"/>
    <w:uiPriority w:val="99"/>
    <w:unhideWhenUsed/>
    <w:rsid w:val="009241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241B9"/>
  </w:style>
  <w:style w:type="paragraph" w:styleId="Testofumetto">
    <w:name w:val="Balloon Text"/>
    <w:basedOn w:val="Normale"/>
    <w:link w:val="TestofumettoCarattere"/>
    <w:uiPriority w:val="99"/>
    <w:semiHidden/>
    <w:unhideWhenUsed/>
    <w:rsid w:val="009241B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41B9"/>
    <w:rPr>
      <w:rFonts w:ascii="Tahoma" w:hAnsi="Tahoma" w:cs="Tahoma"/>
      <w:sz w:val="16"/>
      <w:szCs w:val="16"/>
    </w:rPr>
  </w:style>
  <w:style w:type="paragraph" w:styleId="Titolo">
    <w:name w:val="Title"/>
    <w:basedOn w:val="Normale"/>
    <w:next w:val="Normale"/>
    <w:link w:val="TitoloCarattere"/>
    <w:uiPriority w:val="10"/>
    <w:qFormat/>
    <w:rsid w:val="001F3A3D"/>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3A3D"/>
    <w:rPr>
      <w:rFonts w:asciiTheme="majorHAnsi" w:eastAsiaTheme="majorEastAsia" w:hAnsiTheme="majorHAnsi" w:cstheme="majorBidi"/>
      <w:spacing w:val="-10"/>
      <w:kern w:val="28"/>
      <w:sz w:val="56"/>
      <w:szCs w:val="56"/>
    </w:rPr>
  </w:style>
  <w:style w:type="paragraph" w:styleId="NormaleWeb">
    <w:name w:val="Normal (Web)"/>
    <w:basedOn w:val="Normale"/>
    <w:uiPriority w:val="99"/>
    <w:unhideWhenUsed/>
    <w:rsid w:val="001F3A3D"/>
    <w:pPr>
      <w:spacing w:before="100" w:beforeAutospacing="1" w:after="100" w:afterAutospacing="1"/>
    </w:pPr>
    <w:rPr>
      <w:rFonts w:ascii="Times New Roman" w:eastAsia="Times New Roman" w:hAnsi="Times New Roman" w:cs="Times New Roman"/>
      <w:sz w:val="24"/>
      <w:szCs w:val="24"/>
      <w:lang w:eastAsia="it-IT"/>
    </w:rPr>
  </w:style>
  <w:style w:type="table" w:styleId="Tabellagriglia4-colore3">
    <w:name w:val="Grid Table 4 Accent 3"/>
    <w:basedOn w:val="Tabellanormale"/>
    <w:uiPriority w:val="49"/>
    <w:rsid w:val="001F3A3D"/>
    <w:pPr>
      <w:spacing w:after="0"/>
    </w:pPr>
    <w:rPr>
      <w:sz w:val="24"/>
      <w:szCs w:val="24"/>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itolo1Carattere">
    <w:name w:val="Titolo 1 Carattere"/>
    <w:basedOn w:val="Carpredefinitoparagrafo"/>
    <w:link w:val="Titolo1"/>
    <w:uiPriority w:val="9"/>
    <w:rsid w:val="004D29C1"/>
    <w:rPr>
      <w:rFonts w:asciiTheme="majorHAnsi" w:eastAsiaTheme="majorEastAsia" w:hAnsiTheme="majorHAnsi" w:cstheme="majorBidi"/>
      <w:color w:val="365F91" w:themeColor="accent1" w:themeShade="BF"/>
      <w:sz w:val="32"/>
      <w:szCs w:val="32"/>
    </w:rPr>
  </w:style>
  <w:style w:type="paragraph" w:styleId="Paragrafoelenco">
    <w:name w:val="List Paragraph"/>
    <w:aliases w:val="Elenco puntato,Titolo Paragrafo,Dot pt,F5 List Paragraph,List Paragraph1,No Spacing1,List Paragraph Char Char Char,Indicator Text,Colorful List - Accent 11,Numbered Para 1,Bullet 1,Bullet Points,MAIN CONTENT,List Paragraph11,OBC Bullet"/>
    <w:basedOn w:val="Normale"/>
    <w:link w:val="ParagrafoelencoCarattere"/>
    <w:uiPriority w:val="34"/>
    <w:qFormat/>
    <w:rsid w:val="00C31606"/>
    <w:pPr>
      <w:spacing w:after="160" w:line="259" w:lineRule="auto"/>
      <w:ind w:left="720"/>
      <w:contextualSpacing/>
    </w:pPr>
  </w:style>
  <w:style w:type="character" w:customStyle="1" w:styleId="Titolo2Carattere">
    <w:name w:val="Titolo 2 Carattere"/>
    <w:basedOn w:val="Carpredefinitoparagrafo"/>
    <w:link w:val="Titolo2"/>
    <w:uiPriority w:val="9"/>
    <w:rsid w:val="008B7E0F"/>
    <w:rPr>
      <w:rFonts w:asciiTheme="majorHAnsi" w:eastAsiaTheme="majorEastAsia" w:hAnsiTheme="majorHAnsi" w:cstheme="majorBidi"/>
      <w:color w:val="365F91" w:themeColor="accent1" w:themeShade="BF"/>
      <w:sz w:val="26"/>
      <w:szCs w:val="26"/>
    </w:rPr>
  </w:style>
  <w:style w:type="paragraph" w:customStyle="1" w:styleId="Default">
    <w:name w:val="Default"/>
    <w:rsid w:val="00E62C20"/>
    <w:pPr>
      <w:autoSpaceDE w:val="0"/>
      <w:autoSpaceDN w:val="0"/>
      <w:adjustRightInd w:val="0"/>
      <w:spacing w:after="0"/>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832068"/>
    <w:rPr>
      <w:rFonts w:asciiTheme="majorHAnsi" w:eastAsiaTheme="majorEastAsia" w:hAnsiTheme="majorHAnsi" w:cstheme="majorBidi"/>
      <w:color w:val="243F60" w:themeColor="accent1" w:themeShade="7F"/>
      <w:sz w:val="24"/>
      <w:szCs w:val="24"/>
    </w:rPr>
  </w:style>
  <w:style w:type="paragraph" w:styleId="Titolosommario">
    <w:name w:val="TOC Heading"/>
    <w:basedOn w:val="Titolo1"/>
    <w:next w:val="Normale"/>
    <w:uiPriority w:val="39"/>
    <w:unhideWhenUsed/>
    <w:qFormat/>
    <w:rsid w:val="00A86462"/>
    <w:pPr>
      <w:spacing w:line="259" w:lineRule="auto"/>
      <w:jc w:val="left"/>
      <w:outlineLvl w:val="9"/>
    </w:pPr>
    <w:rPr>
      <w:lang w:eastAsia="it-IT"/>
    </w:rPr>
  </w:style>
  <w:style w:type="paragraph" w:styleId="Sommario1">
    <w:name w:val="toc 1"/>
    <w:basedOn w:val="Normale"/>
    <w:next w:val="Normale"/>
    <w:autoRedefine/>
    <w:uiPriority w:val="39"/>
    <w:unhideWhenUsed/>
    <w:rsid w:val="00225920"/>
    <w:pPr>
      <w:tabs>
        <w:tab w:val="right" w:leader="dot" w:pos="9628"/>
      </w:tabs>
      <w:spacing w:after="100"/>
    </w:pPr>
  </w:style>
  <w:style w:type="paragraph" w:styleId="Sommario2">
    <w:name w:val="toc 2"/>
    <w:basedOn w:val="Normale"/>
    <w:next w:val="Normale"/>
    <w:autoRedefine/>
    <w:uiPriority w:val="39"/>
    <w:unhideWhenUsed/>
    <w:rsid w:val="002817B7"/>
    <w:pPr>
      <w:tabs>
        <w:tab w:val="left" w:pos="660"/>
        <w:tab w:val="right" w:leader="dot" w:pos="9628"/>
      </w:tabs>
      <w:spacing w:after="100"/>
      <w:ind w:left="220"/>
    </w:pPr>
  </w:style>
  <w:style w:type="paragraph" w:styleId="Sommario3">
    <w:name w:val="toc 3"/>
    <w:basedOn w:val="Normale"/>
    <w:next w:val="Normale"/>
    <w:autoRedefine/>
    <w:uiPriority w:val="39"/>
    <w:unhideWhenUsed/>
    <w:rsid w:val="00A86462"/>
    <w:pPr>
      <w:spacing w:after="100"/>
      <w:ind w:left="440"/>
    </w:pPr>
  </w:style>
  <w:style w:type="character" w:styleId="Collegamentoipertestuale">
    <w:name w:val="Hyperlink"/>
    <w:basedOn w:val="Carpredefinitoparagrafo"/>
    <w:uiPriority w:val="99"/>
    <w:unhideWhenUsed/>
    <w:rsid w:val="00A86462"/>
    <w:rPr>
      <w:color w:val="0000FF" w:themeColor="hyperlink"/>
      <w:u w:val="single"/>
    </w:rPr>
  </w:style>
  <w:style w:type="table" w:styleId="Grigliatabellachiara">
    <w:name w:val="Grid Table Light"/>
    <w:basedOn w:val="Tabellanormale"/>
    <w:uiPriority w:val="40"/>
    <w:rsid w:val="00822C61"/>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aliases w:val="stile 1,Footnote1,Footnote2,Footnote3,Footnote4,Footnote5,Footnote6,Footnote7,Footnote8,Footnote9,Footnote10,Footnote11,Footnote21,Footnote31,Footnote41,Footnote51,Footnote61,Footnote71,Footnote81,Footnote91,stile 111,- Report"/>
    <w:basedOn w:val="Normale"/>
    <w:link w:val="TestonotaapidipaginaCarattere"/>
    <w:uiPriority w:val="99"/>
    <w:unhideWhenUsed/>
    <w:rsid w:val="00C0366A"/>
    <w:pPr>
      <w:spacing w:after="0"/>
    </w:pPr>
    <w:rPr>
      <w:sz w:val="20"/>
      <w:szCs w:val="20"/>
    </w:rPr>
  </w:style>
  <w:style w:type="character" w:customStyle="1" w:styleId="TestonotaapidipaginaCarattere">
    <w:name w:val="Testo nota a piè di pagina Carattere"/>
    <w:aliases w:val="stile 1 Carattere,Footnote1 Carattere,Footnote2 Carattere,Footnote3 Carattere,Footnote4 Carattere,Footnote5 Carattere,Footnote6 Carattere,Footnote7 Carattere,Footnote8 Carattere,Footnote9 Carattere,- Report Carattere"/>
    <w:basedOn w:val="Carpredefinitoparagrafo"/>
    <w:link w:val="Testonotaapidipagina"/>
    <w:uiPriority w:val="99"/>
    <w:rsid w:val="00C0366A"/>
    <w:rPr>
      <w:sz w:val="20"/>
      <w:szCs w:val="20"/>
    </w:rPr>
  </w:style>
  <w:style w:type="character" w:styleId="Rimandonotaapidipagina">
    <w:name w:val="footnote reference"/>
    <w:aliases w:val="Footnote symbol,Footnote,BVI fnr,(Footnote Reference),SUPERS,Times 10 Point,Exposant 3 Point,Voetnootverwijzing,Footnote reference number,note TESI,Footnote Reference Superscript,Footnote Reference Number,BVI fnr Car Car"/>
    <w:basedOn w:val="Carpredefinitoparagrafo"/>
    <w:link w:val="Nota"/>
    <w:uiPriority w:val="99"/>
    <w:unhideWhenUsed/>
    <w:rsid w:val="00C0366A"/>
    <w:rPr>
      <w:vertAlign w:val="superscript"/>
    </w:rPr>
  </w:style>
  <w:style w:type="character" w:customStyle="1" w:styleId="Titolo4Carattere">
    <w:name w:val="Titolo 4 Carattere"/>
    <w:basedOn w:val="Carpredefinitoparagrafo"/>
    <w:link w:val="Titolo4"/>
    <w:uiPriority w:val="9"/>
    <w:rsid w:val="00881311"/>
    <w:rPr>
      <w:rFonts w:asciiTheme="majorHAnsi" w:eastAsiaTheme="majorEastAsia" w:hAnsiTheme="majorHAnsi" w:cstheme="majorBidi"/>
      <w:i/>
      <w:iCs/>
      <w:color w:val="365F91" w:themeColor="accent1" w:themeShade="BF"/>
    </w:rPr>
  </w:style>
  <w:style w:type="table" w:styleId="Grigliatabella">
    <w:name w:val="Table Grid"/>
    <w:aliases w:val="valentina1"/>
    <w:basedOn w:val="Tabellanormale"/>
    <w:uiPriority w:val="39"/>
    <w:rsid w:val="003D0A7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46C5A"/>
    <w:rPr>
      <w:sz w:val="16"/>
      <w:szCs w:val="16"/>
    </w:rPr>
  </w:style>
  <w:style w:type="paragraph" w:styleId="Testocommento">
    <w:name w:val="annotation text"/>
    <w:basedOn w:val="Normale"/>
    <w:link w:val="TestocommentoCarattere"/>
    <w:uiPriority w:val="99"/>
    <w:unhideWhenUsed/>
    <w:rsid w:val="00A46C5A"/>
    <w:rPr>
      <w:sz w:val="20"/>
      <w:szCs w:val="20"/>
    </w:rPr>
  </w:style>
  <w:style w:type="character" w:customStyle="1" w:styleId="TestocommentoCarattere">
    <w:name w:val="Testo commento Carattere"/>
    <w:basedOn w:val="Carpredefinitoparagrafo"/>
    <w:link w:val="Testocommento"/>
    <w:uiPriority w:val="99"/>
    <w:rsid w:val="00A46C5A"/>
    <w:rPr>
      <w:sz w:val="20"/>
      <w:szCs w:val="20"/>
    </w:rPr>
  </w:style>
  <w:style w:type="paragraph" w:styleId="Soggettocommento">
    <w:name w:val="annotation subject"/>
    <w:basedOn w:val="Testocommento"/>
    <w:next w:val="Testocommento"/>
    <w:link w:val="SoggettocommentoCarattere"/>
    <w:uiPriority w:val="99"/>
    <w:semiHidden/>
    <w:unhideWhenUsed/>
    <w:rsid w:val="00A46C5A"/>
    <w:rPr>
      <w:b/>
      <w:bCs/>
    </w:rPr>
  </w:style>
  <w:style w:type="character" w:customStyle="1" w:styleId="SoggettocommentoCarattere">
    <w:name w:val="Soggetto commento Carattere"/>
    <w:basedOn w:val="TestocommentoCarattere"/>
    <w:link w:val="Soggettocommento"/>
    <w:uiPriority w:val="99"/>
    <w:semiHidden/>
    <w:rsid w:val="00A46C5A"/>
    <w:rPr>
      <w:b/>
      <w:bCs/>
      <w:sz w:val="20"/>
      <w:szCs w:val="20"/>
    </w:rPr>
  </w:style>
  <w:style w:type="character" w:customStyle="1" w:styleId="ParagrafoelencoCarattere">
    <w:name w:val="Paragrafo elenco Carattere"/>
    <w:aliases w:val="Elenco puntato Carattere,Titolo Paragrafo Carattere,Dot pt Carattere,F5 List Paragraph Carattere,List Paragraph1 Carattere,No Spacing1 Carattere,List Paragraph Char Char Char Carattere,Indicator Text Carattere"/>
    <w:link w:val="Paragrafoelenco"/>
    <w:uiPriority w:val="34"/>
    <w:qFormat/>
    <w:rsid w:val="00D94CBA"/>
  </w:style>
  <w:style w:type="paragraph" w:styleId="Revisione">
    <w:name w:val="Revision"/>
    <w:hidden/>
    <w:uiPriority w:val="99"/>
    <w:semiHidden/>
    <w:rsid w:val="004A49C0"/>
    <w:pPr>
      <w:spacing w:after="0"/>
    </w:pPr>
  </w:style>
  <w:style w:type="paragraph" w:customStyle="1" w:styleId="Fontetabellagrafico">
    <w:name w:val="Fonte tabella/grafico"/>
    <w:basedOn w:val="Normale"/>
    <w:qFormat/>
    <w:rsid w:val="00FB2885"/>
    <w:pPr>
      <w:spacing w:after="60"/>
      <w:jc w:val="left"/>
    </w:pPr>
    <w:rPr>
      <w:i/>
      <w:sz w:val="17"/>
      <w:szCs w:val="17"/>
    </w:rPr>
  </w:style>
  <w:style w:type="paragraph" w:customStyle="1" w:styleId="Titolotab-grafReport">
    <w:name w:val="Titolo tab-graf Report"/>
    <w:basedOn w:val="Normale"/>
    <w:qFormat/>
    <w:rsid w:val="00A25B9A"/>
    <w:pPr>
      <w:keepNext/>
      <w:numPr>
        <w:numId w:val="3"/>
      </w:numPr>
      <w:tabs>
        <w:tab w:val="left" w:pos="993"/>
      </w:tabs>
      <w:spacing w:before="200" w:after="0"/>
    </w:pPr>
    <w:rPr>
      <w:rFonts w:ascii="Calibri" w:eastAsia="Calibri" w:hAnsi="Calibri" w:cs="Cambria"/>
      <w:b/>
      <w:bCs/>
    </w:rPr>
  </w:style>
  <w:style w:type="character" w:styleId="Collegamentovisitato">
    <w:name w:val="FollowedHyperlink"/>
    <w:basedOn w:val="Carpredefinitoparagrafo"/>
    <w:uiPriority w:val="99"/>
    <w:semiHidden/>
    <w:unhideWhenUsed/>
    <w:rsid w:val="006750E2"/>
    <w:rPr>
      <w:color w:val="800080" w:themeColor="followedHyperlink"/>
      <w:u w:val="single"/>
    </w:rPr>
  </w:style>
  <w:style w:type="character" w:styleId="Enfasigrassetto">
    <w:name w:val="Strong"/>
    <w:basedOn w:val="Carpredefinitoparagrafo"/>
    <w:uiPriority w:val="22"/>
    <w:qFormat/>
    <w:rsid w:val="00043C64"/>
    <w:rPr>
      <w:b/>
      <w:bCs/>
    </w:rPr>
  </w:style>
  <w:style w:type="character" w:customStyle="1" w:styleId="Menzionenonrisolta1">
    <w:name w:val="Menzione non risolta1"/>
    <w:basedOn w:val="Carpredefinitoparagrafo"/>
    <w:uiPriority w:val="99"/>
    <w:semiHidden/>
    <w:unhideWhenUsed/>
    <w:rsid w:val="00043C64"/>
    <w:rPr>
      <w:color w:val="605E5C"/>
      <w:shd w:val="clear" w:color="auto" w:fill="E1DFDD"/>
    </w:rPr>
  </w:style>
  <w:style w:type="paragraph" w:customStyle="1" w:styleId="Titolofig">
    <w:name w:val="Titolo fig"/>
    <w:basedOn w:val="Normale"/>
    <w:qFormat/>
    <w:rsid w:val="00245EF3"/>
    <w:pPr>
      <w:keepNext/>
      <w:spacing w:before="240" w:after="60"/>
    </w:pPr>
    <w:rPr>
      <w:rFonts w:ascii="Calibri" w:eastAsia="Calibri" w:hAnsi="Calibri" w:cs="Cambria"/>
      <w:b/>
      <w:bCs/>
    </w:rPr>
  </w:style>
  <w:style w:type="paragraph" w:styleId="Didascalia">
    <w:name w:val="caption"/>
    <w:basedOn w:val="Normale"/>
    <w:next w:val="Normale"/>
    <w:uiPriority w:val="35"/>
    <w:unhideWhenUsed/>
    <w:qFormat/>
    <w:rsid w:val="006C4440"/>
    <w:pPr>
      <w:spacing w:after="200"/>
    </w:pPr>
    <w:rPr>
      <w:i/>
      <w:iCs/>
      <w:color w:val="1F497D" w:themeColor="text2"/>
      <w:sz w:val="18"/>
      <w:szCs w:val="18"/>
    </w:rPr>
  </w:style>
  <w:style w:type="paragraph" w:customStyle="1" w:styleId="Fontetab-grafReport">
    <w:name w:val="Fonte tab-graf Report"/>
    <w:basedOn w:val="Normale"/>
    <w:link w:val="Fontetab-grafReportCarattere"/>
    <w:qFormat/>
    <w:rsid w:val="00554B1A"/>
    <w:pPr>
      <w:spacing w:before="60" w:after="120" w:line="264" w:lineRule="auto"/>
    </w:pPr>
    <w:rPr>
      <w:i/>
      <w:sz w:val="18"/>
      <w:szCs w:val="18"/>
      <w:lang w:eastAsia="it-IT"/>
    </w:rPr>
  </w:style>
  <w:style w:type="character" w:customStyle="1" w:styleId="Fontetab-grafReportCarattere">
    <w:name w:val="Fonte tab-graf Report Carattere"/>
    <w:basedOn w:val="Carpredefinitoparagrafo"/>
    <w:link w:val="Fontetab-grafReport"/>
    <w:rsid w:val="00554B1A"/>
    <w:rPr>
      <w:i/>
      <w:sz w:val="18"/>
      <w:szCs w:val="18"/>
      <w:lang w:eastAsia="it-IT"/>
    </w:rPr>
  </w:style>
  <w:style w:type="paragraph" w:customStyle="1" w:styleId="Nota">
    <w:name w:val="Nota"/>
    <w:aliases w:val="Footnote number,Char1,Char,Voetnootmarkering,fr,o,(NECG) Footnote Reference,FR"/>
    <w:basedOn w:val="Normale"/>
    <w:link w:val="Rimandonotaapidipagina"/>
    <w:rsid w:val="00554B1A"/>
    <w:pPr>
      <w:spacing w:after="160" w:line="240" w:lineRule="exact"/>
      <w:jc w:val="left"/>
    </w:pPr>
    <w:rPr>
      <w:vertAlign w:val="superscript"/>
    </w:rPr>
  </w:style>
  <w:style w:type="character" w:customStyle="1" w:styleId="Menzionenonrisolta2">
    <w:name w:val="Menzione non risolta2"/>
    <w:basedOn w:val="Carpredefinitoparagrafo"/>
    <w:uiPriority w:val="99"/>
    <w:semiHidden/>
    <w:unhideWhenUsed/>
    <w:rsid w:val="00FD1E11"/>
    <w:rPr>
      <w:color w:val="605E5C"/>
      <w:shd w:val="clear" w:color="auto" w:fill="E1DFDD"/>
    </w:rPr>
  </w:style>
  <w:style w:type="table" w:styleId="Tabellasemplice-1">
    <w:name w:val="Plain Table 1"/>
    <w:basedOn w:val="Tabellanormale"/>
    <w:uiPriority w:val="41"/>
    <w:rsid w:val="00F3107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semiHidden/>
    <w:unhideWhenUsed/>
    <w:rsid w:val="00EE4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it-IT" w:bidi="gu-IN"/>
    </w:rPr>
  </w:style>
  <w:style w:type="character" w:customStyle="1" w:styleId="PreformattatoHTMLCarattere">
    <w:name w:val="Preformattato HTML Carattere"/>
    <w:basedOn w:val="Carpredefinitoparagrafo"/>
    <w:link w:val="PreformattatoHTML"/>
    <w:uiPriority w:val="99"/>
    <w:semiHidden/>
    <w:rsid w:val="00EE47AE"/>
    <w:rPr>
      <w:rFonts w:ascii="Courier New" w:eastAsia="Times New Roman" w:hAnsi="Courier New" w:cs="Courier New"/>
      <w:sz w:val="20"/>
      <w:szCs w:val="20"/>
      <w:lang w:eastAsia="it-IT" w:bidi="gu-IN"/>
    </w:rPr>
  </w:style>
  <w:style w:type="paragraph" w:styleId="Testonormale">
    <w:name w:val="Plain Text"/>
    <w:basedOn w:val="Normale"/>
    <w:link w:val="TestonormaleCarattere"/>
    <w:uiPriority w:val="99"/>
    <w:unhideWhenUsed/>
    <w:rsid w:val="008D352E"/>
    <w:pPr>
      <w:spacing w:after="0"/>
      <w:jc w:val="left"/>
    </w:pPr>
    <w:rPr>
      <w:rFonts w:ascii="Calibri" w:hAnsi="Calibri"/>
      <w:szCs w:val="21"/>
    </w:rPr>
  </w:style>
  <w:style w:type="character" w:customStyle="1" w:styleId="TestonormaleCarattere">
    <w:name w:val="Testo normale Carattere"/>
    <w:basedOn w:val="Carpredefinitoparagrafo"/>
    <w:link w:val="Testonormale"/>
    <w:uiPriority w:val="99"/>
    <w:rsid w:val="008D352E"/>
    <w:rPr>
      <w:rFonts w:ascii="Calibri" w:hAnsi="Calibri"/>
      <w:szCs w:val="21"/>
    </w:rPr>
  </w:style>
  <w:style w:type="character" w:styleId="Menzionenonrisolta">
    <w:name w:val="Unresolved Mention"/>
    <w:basedOn w:val="Carpredefinitoparagrafo"/>
    <w:uiPriority w:val="99"/>
    <w:semiHidden/>
    <w:unhideWhenUsed/>
    <w:rsid w:val="00393F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49731">
      <w:bodyDiv w:val="1"/>
      <w:marLeft w:val="0"/>
      <w:marRight w:val="0"/>
      <w:marTop w:val="0"/>
      <w:marBottom w:val="0"/>
      <w:divBdr>
        <w:top w:val="none" w:sz="0" w:space="0" w:color="auto"/>
        <w:left w:val="none" w:sz="0" w:space="0" w:color="auto"/>
        <w:bottom w:val="none" w:sz="0" w:space="0" w:color="auto"/>
        <w:right w:val="none" w:sz="0" w:space="0" w:color="auto"/>
      </w:divBdr>
    </w:div>
    <w:div w:id="247230107">
      <w:bodyDiv w:val="1"/>
      <w:marLeft w:val="0"/>
      <w:marRight w:val="0"/>
      <w:marTop w:val="0"/>
      <w:marBottom w:val="0"/>
      <w:divBdr>
        <w:top w:val="none" w:sz="0" w:space="0" w:color="auto"/>
        <w:left w:val="none" w:sz="0" w:space="0" w:color="auto"/>
        <w:bottom w:val="none" w:sz="0" w:space="0" w:color="auto"/>
        <w:right w:val="none" w:sz="0" w:space="0" w:color="auto"/>
      </w:divBdr>
    </w:div>
    <w:div w:id="315115191">
      <w:bodyDiv w:val="1"/>
      <w:marLeft w:val="0"/>
      <w:marRight w:val="0"/>
      <w:marTop w:val="0"/>
      <w:marBottom w:val="0"/>
      <w:divBdr>
        <w:top w:val="none" w:sz="0" w:space="0" w:color="auto"/>
        <w:left w:val="none" w:sz="0" w:space="0" w:color="auto"/>
        <w:bottom w:val="none" w:sz="0" w:space="0" w:color="auto"/>
        <w:right w:val="none" w:sz="0" w:space="0" w:color="auto"/>
      </w:divBdr>
    </w:div>
    <w:div w:id="347756141">
      <w:bodyDiv w:val="1"/>
      <w:marLeft w:val="0"/>
      <w:marRight w:val="0"/>
      <w:marTop w:val="0"/>
      <w:marBottom w:val="0"/>
      <w:divBdr>
        <w:top w:val="none" w:sz="0" w:space="0" w:color="auto"/>
        <w:left w:val="none" w:sz="0" w:space="0" w:color="auto"/>
        <w:bottom w:val="none" w:sz="0" w:space="0" w:color="auto"/>
        <w:right w:val="none" w:sz="0" w:space="0" w:color="auto"/>
      </w:divBdr>
    </w:div>
    <w:div w:id="351341943">
      <w:bodyDiv w:val="1"/>
      <w:marLeft w:val="0"/>
      <w:marRight w:val="0"/>
      <w:marTop w:val="0"/>
      <w:marBottom w:val="0"/>
      <w:divBdr>
        <w:top w:val="none" w:sz="0" w:space="0" w:color="auto"/>
        <w:left w:val="none" w:sz="0" w:space="0" w:color="auto"/>
        <w:bottom w:val="none" w:sz="0" w:space="0" w:color="auto"/>
        <w:right w:val="none" w:sz="0" w:space="0" w:color="auto"/>
      </w:divBdr>
    </w:div>
    <w:div w:id="421533322">
      <w:bodyDiv w:val="1"/>
      <w:marLeft w:val="0"/>
      <w:marRight w:val="0"/>
      <w:marTop w:val="0"/>
      <w:marBottom w:val="0"/>
      <w:divBdr>
        <w:top w:val="none" w:sz="0" w:space="0" w:color="auto"/>
        <w:left w:val="none" w:sz="0" w:space="0" w:color="auto"/>
        <w:bottom w:val="none" w:sz="0" w:space="0" w:color="auto"/>
        <w:right w:val="none" w:sz="0" w:space="0" w:color="auto"/>
      </w:divBdr>
    </w:div>
    <w:div w:id="455294920">
      <w:bodyDiv w:val="1"/>
      <w:marLeft w:val="0"/>
      <w:marRight w:val="0"/>
      <w:marTop w:val="0"/>
      <w:marBottom w:val="0"/>
      <w:divBdr>
        <w:top w:val="none" w:sz="0" w:space="0" w:color="auto"/>
        <w:left w:val="none" w:sz="0" w:space="0" w:color="auto"/>
        <w:bottom w:val="none" w:sz="0" w:space="0" w:color="auto"/>
        <w:right w:val="none" w:sz="0" w:space="0" w:color="auto"/>
      </w:divBdr>
    </w:div>
    <w:div w:id="465974211">
      <w:bodyDiv w:val="1"/>
      <w:marLeft w:val="0"/>
      <w:marRight w:val="0"/>
      <w:marTop w:val="0"/>
      <w:marBottom w:val="0"/>
      <w:divBdr>
        <w:top w:val="none" w:sz="0" w:space="0" w:color="auto"/>
        <w:left w:val="none" w:sz="0" w:space="0" w:color="auto"/>
        <w:bottom w:val="none" w:sz="0" w:space="0" w:color="auto"/>
        <w:right w:val="none" w:sz="0" w:space="0" w:color="auto"/>
      </w:divBdr>
    </w:div>
    <w:div w:id="511604715">
      <w:bodyDiv w:val="1"/>
      <w:marLeft w:val="0"/>
      <w:marRight w:val="0"/>
      <w:marTop w:val="0"/>
      <w:marBottom w:val="0"/>
      <w:divBdr>
        <w:top w:val="none" w:sz="0" w:space="0" w:color="auto"/>
        <w:left w:val="none" w:sz="0" w:space="0" w:color="auto"/>
        <w:bottom w:val="none" w:sz="0" w:space="0" w:color="auto"/>
        <w:right w:val="none" w:sz="0" w:space="0" w:color="auto"/>
      </w:divBdr>
    </w:div>
    <w:div w:id="522329908">
      <w:bodyDiv w:val="1"/>
      <w:marLeft w:val="0"/>
      <w:marRight w:val="0"/>
      <w:marTop w:val="0"/>
      <w:marBottom w:val="0"/>
      <w:divBdr>
        <w:top w:val="none" w:sz="0" w:space="0" w:color="auto"/>
        <w:left w:val="none" w:sz="0" w:space="0" w:color="auto"/>
        <w:bottom w:val="none" w:sz="0" w:space="0" w:color="auto"/>
        <w:right w:val="none" w:sz="0" w:space="0" w:color="auto"/>
      </w:divBdr>
    </w:div>
    <w:div w:id="524367019">
      <w:bodyDiv w:val="1"/>
      <w:marLeft w:val="0"/>
      <w:marRight w:val="0"/>
      <w:marTop w:val="0"/>
      <w:marBottom w:val="0"/>
      <w:divBdr>
        <w:top w:val="none" w:sz="0" w:space="0" w:color="auto"/>
        <w:left w:val="none" w:sz="0" w:space="0" w:color="auto"/>
        <w:bottom w:val="none" w:sz="0" w:space="0" w:color="auto"/>
        <w:right w:val="none" w:sz="0" w:space="0" w:color="auto"/>
      </w:divBdr>
    </w:div>
    <w:div w:id="669672386">
      <w:bodyDiv w:val="1"/>
      <w:marLeft w:val="0"/>
      <w:marRight w:val="0"/>
      <w:marTop w:val="0"/>
      <w:marBottom w:val="0"/>
      <w:divBdr>
        <w:top w:val="none" w:sz="0" w:space="0" w:color="auto"/>
        <w:left w:val="none" w:sz="0" w:space="0" w:color="auto"/>
        <w:bottom w:val="none" w:sz="0" w:space="0" w:color="auto"/>
        <w:right w:val="none" w:sz="0" w:space="0" w:color="auto"/>
      </w:divBdr>
    </w:div>
    <w:div w:id="722949764">
      <w:bodyDiv w:val="1"/>
      <w:marLeft w:val="0"/>
      <w:marRight w:val="0"/>
      <w:marTop w:val="0"/>
      <w:marBottom w:val="0"/>
      <w:divBdr>
        <w:top w:val="none" w:sz="0" w:space="0" w:color="auto"/>
        <w:left w:val="none" w:sz="0" w:space="0" w:color="auto"/>
        <w:bottom w:val="none" w:sz="0" w:space="0" w:color="auto"/>
        <w:right w:val="none" w:sz="0" w:space="0" w:color="auto"/>
      </w:divBdr>
    </w:div>
    <w:div w:id="741218248">
      <w:bodyDiv w:val="1"/>
      <w:marLeft w:val="0"/>
      <w:marRight w:val="0"/>
      <w:marTop w:val="0"/>
      <w:marBottom w:val="0"/>
      <w:divBdr>
        <w:top w:val="none" w:sz="0" w:space="0" w:color="auto"/>
        <w:left w:val="none" w:sz="0" w:space="0" w:color="auto"/>
        <w:bottom w:val="none" w:sz="0" w:space="0" w:color="auto"/>
        <w:right w:val="none" w:sz="0" w:space="0" w:color="auto"/>
      </w:divBdr>
    </w:div>
    <w:div w:id="774053285">
      <w:bodyDiv w:val="1"/>
      <w:marLeft w:val="0"/>
      <w:marRight w:val="0"/>
      <w:marTop w:val="0"/>
      <w:marBottom w:val="0"/>
      <w:divBdr>
        <w:top w:val="none" w:sz="0" w:space="0" w:color="auto"/>
        <w:left w:val="none" w:sz="0" w:space="0" w:color="auto"/>
        <w:bottom w:val="none" w:sz="0" w:space="0" w:color="auto"/>
        <w:right w:val="none" w:sz="0" w:space="0" w:color="auto"/>
      </w:divBdr>
    </w:div>
    <w:div w:id="830758658">
      <w:bodyDiv w:val="1"/>
      <w:marLeft w:val="0"/>
      <w:marRight w:val="0"/>
      <w:marTop w:val="0"/>
      <w:marBottom w:val="0"/>
      <w:divBdr>
        <w:top w:val="none" w:sz="0" w:space="0" w:color="auto"/>
        <w:left w:val="none" w:sz="0" w:space="0" w:color="auto"/>
        <w:bottom w:val="none" w:sz="0" w:space="0" w:color="auto"/>
        <w:right w:val="none" w:sz="0" w:space="0" w:color="auto"/>
      </w:divBdr>
    </w:div>
    <w:div w:id="850878265">
      <w:bodyDiv w:val="1"/>
      <w:marLeft w:val="0"/>
      <w:marRight w:val="0"/>
      <w:marTop w:val="0"/>
      <w:marBottom w:val="0"/>
      <w:divBdr>
        <w:top w:val="none" w:sz="0" w:space="0" w:color="auto"/>
        <w:left w:val="none" w:sz="0" w:space="0" w:color="auto"/>
        <w:bottom w:val="none" w:sz="0" w:space="0" w:color="auto"/>
        <w:right w:val="none" w:sz="0" w:space="0" w:color="auto"/>
      </w:divBdr>
    </w:div>
    <w:div w:id="858353382">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99941725">
      <w:bodyDiv w:val="1"/>
      <w:marLeft w:val="0"/>
      <w:marRight w:val="0"/>
      <w:marTop w:val="0"/>
      <w:marBottom w:val="0"/>
      <w:divBdr>
        <w:top w:val="none" w:sz="0" w:space="0" w:color="auto"/>
        <w:left w:val="none" w:sz="0" w:space="0" w:color="auto"/>
        <w:bottom w:val="none" w:sz="0" w:space="0" w:color="auto"/>
        <w:right w:val="none" w:sz="0" w:space="0" w:color="auto"/>
      </w:divBdr>
    </w:div>
    <w:div w:id="908225784">
      <w:bodyDiv w:val="1"/>
      <w:marLeft w:val="0"/>
      <w:marRight w:val="0"/>
      <w:marTop w:val="0"/>
      <w:marBottom w:val="0"/>
      <w:divBdr>
        <w:top w:val="none" w:sz="0" w:space="0" w:color="auto"/>
        <w:left w:val="none" w:sz="0" w:space="0" w:color="auto"/>
        <w:bottom w:val="none" w:sz="0" w:space="0" w:color="auto"/>
        <w:right w:val="none" w:sz="0" w:space="0" w:color="auto"/>
      </w:divBdr>
    </w:div>
    <w:div w:id="932320327">
      <w:bodyDiv w:val="1"/>
      <w:marLeft w:val="0"/>
      <w:marRight w:val="0"/>
      <w:marTop w:val="0"/>
      <w:marBottom w:val="0"/>
      <w:divBdr>
        <w:top w:val="none" w:sz="0" w:space="0" w:color="auto"/>
        <w:left w:val="none" w:sz="0" w:space="0" w:color="auto"/>
        <w:bottom w:val="none" w:sz="0" w:space="0" w:color="auto"/>
        <w:right w:val="none" w:sz="0" w:space="0" w:color="auto"/>
      </w:divBdr>
    </w:div>
    <w:div w:id="934481142">
      <w:bodyDiv w:val="1"/>
      <w:marLeft w:val="0"/>
      <w:marRight w:val="0"/>
      <w:marTop w:val="0"/>
      <w:marBottom w:val="0"/>
      <w:divBdr>
        <w:top w:val="none" w:sz="0" w:space="0" w:color="auto"/>
        <w:left w:val="none" w:sz="0" w:space="0" w:color="auto"/>
        <w:bottom w:val="none" w:sz="0" w:space="0" w:color="auto"/>
        <w:right w:val="none" w:sz="0" w:space="0" w:color="auto"/>
      </w:divBdr>
    </w:div>
    <w:div w:id="984814005">
      <w:bodyDiv w:val="1"/>
      <w:marLeft w:val="0"/>
      <w:marRight w:val="0"/>
      <w:marTop w:val="0"/>
      <w:marBottom w:val="0"/>
      <w:divBdr>
        <w:top w:val="none" w:sz="0" w:space="0" w:color="auto"/>
        <w:left w:val="none" w:sz="0" w:space="0" w:color="auto"/>
        <w:bottom w:val="none" w:sz="0" w:space="0" w:color="auto"/>
        <w:right w:val="none" w:sz="0" w:space="0" w:color="auto"/>
      </w:divBdr>
    </w:div>
    <w:div w:id="1002705141">
      <w:bodyDiv w:val="1"/>
      <w:marLeft w:val="0"/>
      <w:marRight w:val="0"/>
      <w:marTop w:val="0"/>
      <w:marBottom w:val="0"/>
      <w:divBdr>
        <w:top w:val="none" w:sz="0" w:space="0" w:color="auto"/>
        <w:left w:val="none" w:sz="0" w:space="0" w:color="auto"/>
        <w:bottom w:val="none" w:sz="0" w:space="0" w:color="auto"/>
        <w:right w:val="none" w:sz="0" w:space="0" w:color="auto"/>
      </w:divBdr>
    </w:div>
    <w:div w:id="1023171477">
      <w:bodyDiv w:val="1"/>
      <w:marLeft w:val="0"/>
      <w:marRight w:val="0"/>
      <w:marTop w:val="0"/>
      <w:marBottom w:val="0"/>
      <w:divBdr>
        <w:top w:val="none" w:sz="0" w:space="0" w:color="auto"/>
        <w:left w:val="none" w:sz="0" w:space="0" w:color="auto"/>
        <w:bottom w:val="none" w:sz="0" w:space="0" w:color="auto"/>
        <w:right w:val="none" w:sz="0" w:space="0" w:color="auto"/>
      </w:divBdr>
    </w:div>
    <w:div w:id="1047610611">
      <w:bodyDiv w:val="1"/>
      <w:marLeft w:val="0"/>
      <w:marRight w:val="0"/>
      <w:marTop w:val="0"/>
      <w:marBottom w:val="0"/>
      <w:divBdr>
        <w:top w:val="none" w:sz="0" w:space="0" w:color="auto"/>
        <w:left w:val="none" w:sz="0" w:space="0" w:color="auto"/>
        <w:bottom w:val="none" w:sz="0" w:space="0" w:color="auto"/>
        <w:right w:val="none" w:sz="0" w:space="0" w:color="auto"/>
      </w:divBdr>
    </w:div>
    <w:div w:id="1074816988">
      <w:bodyDiv w:val="1"/>
      <w:marLeft w:val="0"/>
      <w:marRight w:val="0"/>
      <w:marTop w:val="0"/>
      <w:marBottom w:val="0"/>
      <w:divBdr>
        <w:top w:val="none" w:sz="0" w:space="0" w:color="auto"/>
        <w:left w:val="none" w:sz="0" w:space="0" w:color="auto"/>
        <w:bottom w:val="none" w:sz="0" w:space="0" w:color="auto"/>
        <w:right w:val="none" w:sz="0" w:space="0" w:color="auto"/>
      </w:divBdr>
    </w:div>
    <w:div w:id="1082331323">
      <w:bodyDiv w:val="1"/>
      <w:marLeft w:val="0"/>
      <w:marRight w:val="0"/>
      <w:marTop w:val="0"/>
      <w:marBottom w:val="0"/>
      <w:divBdr>
        <w:top w:val="none" w:sz="0" w:space="0" w:color="auto"/>
        <w:left w:val="none" w:sz="0" w:space="0" w:color="auto"/>
        <w:bottom w:val="none" w:sz="0" w:space="0" w:color="auto"/>
        <w:right w:val="none" w:sz="0" w:space="0" w:color="auto"/>
      </w:divBdr>
    </w:div>
    <w:div w:id="1180899308">
      <w:bodyDiv w:val="1"/>
      <w:marLeft w:val="0"/>
      <w:marRight w:val="0"/>
      <w:marTop w:val="0"/>
      <w:marBottom w:val="0"/>
      <w:divBdr>
        <w:top w:val="none" w:sz="0" w:space="0" w:color="auto"/>
        <w:left w:val="none" w:sz="0" w:space="0" w:color="auto"/>
        <w:bottom w:val="none" w:sz="0" w:space="0" w:color="auto"/>
        <w:right w:val="none" w:sz="0" w:space="0" w:color="auto"/>
      </w:divBdr>
    </w:div>
    <w:div w:id="1199662425">
      <w:bodyDiv w:val="1"/>
      <w:marLeft w:val="0"/>
      <w:marRight w:val="0"/>
      <w:marTop w:val="0"/>
      <w:marBottom w:val="0"/>
      <w:divBdr>
        <w:top w:val="none" w:sz="0" w:space="0" w:color="auto"/>
        <w:left w:val="none" w:sz="0" w:space="0" w:color="auto"/>
        <w:bottom w:val="none" w:sz="0" w:space="0" w:color="auto"/>
        <w:right w:val="none" w:sz="0" w:space="0" w:color="auto"/>
      </w:divBdr>
    </w:div>
    <w:div w:id="1229532436">
      <w:bodyDiv w:val="1"/>
      <w:marLeft w:val="0"/>
      <w:marRight w:val="0"/>
      <w:marTop w:val="0"/>
      <w:marBottom w:val="0"/>
      <w:divBdr>
        <w:top w:val="none" w:sz="0" w:space="0" w:color="auto"/>
        <w:left w:val="none" w:sz="0" w:space="0" w:color="auto"/>
        <w:bottom w:val="none" w:sz="0" w:space="0" w:color="auto"/>
        <w:right w:val="none" w:sz="0" w:space="0" w:color="auto"/>
      </w:divBdr>
    </w:div>
    <w:div w:id="1308821681">
      <w:bodyDiv w:val="1"/>
      <w:marLeft w:val="0"/>
      <w:marRight w:val="0"/>
      <w:marTop w:val="0"/>
      <w:marBottom w:val="0"/>
      <w:divBdr>
        <w:top w:val="none" w:sz="0" w:space="0" w:color="auto"/>
        <w:left w:val="none" w:sz="0" w:space="0" w:color="auto"/>
        <w:bottom w:val="none" w:sz="0" w:space="0" w:color="auto"/>
        <w:right w:val="none" w:sz="0" w:space="0" w:color="auto"/>
      </w:divBdr>
    </w:div>
    <w:div w:id="1363633940">
      <w:bodyDiv w:val="1"/>
      <w:marLeft w:val="0"/>
      <w:marRight w:val="0"/>
      <w:marTop w:val="0"/>
      <w:marBottom w:val="0"/>
      <w:divBdr>
        <w:top w:val="none" w:sz="0" w:space="0" w:color="auto"/>
        <w:left w:val="none" w:sz="0" w:space="0" w:color="auto"/>
        <w:bottom w:val="none" w:sz="0" w:space="0" w:color="auto"/>
        <w:right w:val="none" w:sz="0" w:space="0" w:color="auto"/>
      </w:divBdr>
    </w:div>
    <w:div w:id="1365523246">
      <w:bodyDiv w:val="1"/>
      <w:marLeft w:val="0"/>
      <w:marRight w:val="0"/>
      <w:marTop w:val="0"/>
      <w:marBottom w:val="0"/>
      <w:divBdr>
        <w:top w:val="none" w:sz="0" w:space="0" w:color="auto"/>
        <w:left w:val="none" w:sz="0" w:space="0" w:color="auto"/>
        <w:bottom w:val="none" w:sz="0" w:space="0" w:color="auto"/>
        <w:right w:val="none" w:sz="0" w:space="0" w:color="auto"/>
      </w:divBdr>
    </w:div>
    <w:div w:id="1386446690">
      <w:bodyDiv w:val="1"/>
      <w:marLeft w:val="0"/>
      <w:marRight w:val="0"/>
      <w:marTop w:val="0"/>
      <w:marBottom w:val="0"/>
      <w:divBdr>
        <w:top w:val="none" w:sz="0" w:space="0" w:color="auto"/>
        <w:left w:val="none" w:sz="0" w:space="0" w:color="auto"/>
        <w:bottom w:val="none" w:sz="0" w:space="0" w:color="auto"/>
        <w:right w:val="none" w:sz="0" w:space="0" w:color="auto"/>
      </w:divBdr>
    </w:div>
    <w:div w:id="1440758228">
      <w:bodyDiv w:val="1"/>
      <w:marLeft w:val="0"/>
      <w:marRight w:val="0"/>
      <w:marTop w:val="0"/>
      <w:marBottom w:val="0"/>
      <w:divBdr>
        <w:top w:val="none" w:sz="0" w:space="0" w:color="auto"/>
        <w:left w:val="none" w:sz="0" w:space="0" w:color="auto"/>
        <w:bottom w:val="none" w:sz="0" w:space="0" w:color="auto"/>
        <w:right w:val="none" w:sz="0" w:space="0" w:color="auto"/>
      </w:divBdr>
    </w:div>
    <w:div w:id="1530412248">
      <w:bodyDiv w:val="1"/>
      <w:marLeft w:val="0"/>
      <w:marRight w:val="0"/>
      <w:marTop w:val="0"/>
      <w:marBottom w:val="0"/>
      <w:divBdr>
        <w:top w:val="none" w:sz="0" w:space="0" w:color="auto"/>
        <w:left w:val="none" w:sz="0" w:space="0" w:color="auto"/>
        <w:bottom w:val="none" w:sz="0" w:space="0" w:color="auto"/>
        <w:right w:val="none" w:sz="0" w:space="0" w:color="auto"/>
      </w:divBdr>
    </w:div>
    <w:div w:id="1594586909">
      <w:bodyDiv w:val="1"/>
      <w:marLeft w:val="0"/>
      <w:marRight w:val="0"/>
      <w:marTop w:val="0"/>
      <w:marBottom w:val="0"/>
      <w:divBdr>
        <w:top w:val="none" w:sz="0" w:space="0" w:color="auto"/>
        <w:left w:val="none" w:sz="0" w:space="0" w:color="auto"/>
        <w:bottom w:val="none" w:sz="0" w:space="0" w:color="auto"/>
        <w:right w:val="none" w:sz="0" w:space="0" w:color="auto"/>
      </w:divBdr>
    </w:div>
    <w:div w:id="1624919385">
      <w:bodyDiv w:val="1"/>
      <w:marLeft w:val="0"/>
      <w:marRight w:val="0"/>
      <w:marTop w:val="0"/>
      <w:marBottom w:val="0"/>
      <w:divBdr>
        <w:top w:val="none" w:sz="0" w:space="0" w:color="auto"/>
        <w:left w:val="none" w:sz="0" w:space="0" w:color="auto"/>
        <w:bottom w:val="none" w:sz="0" w:space="0" w:color="auto"/>
        <w:right w:val="none" w:sz="0" w:space="0" w:color="auto"/>
      </w:divBdr>
    </w:div>
    <w:div w:id="1670252123">
      <w:bodyDiv w:val="1"/>
      <w:marLeft w:val="0"/>
      <w:marRight w:val="0"/>
      <w:marTop w:val="0"/>
      <w:marBottom w:val="0"/>
      <w:divBdr>
        <w:top w:val="none" w:sz="0" w:space="0" w:color="auto"/>
        <w:left w:val="none" w:sz="0" w:space="0" w:color="auto"/>
        <w:bottom w:val="none" w:sz="0" w:space="0" w:color="auto"/>
        <w:right w:val="none" w:sz="0" w:space="0" w:color="auto"/>
      </w:divBdr>
    </w:div>
    <w:div w:id="1691375919">
      <w:bodyDiv w:val="1"/>
      <w:marLeft w:val="0"/>
      <w:marRight w:val="0"/>
      <w:marTop w:val="0"/>
      <w:marBottom w:val="0"/>
      <w:divBdr>
        <w:top w:val="none" w:sz="0" w:space="0" w:color="auto"/>
        <w:left w:val="none" w:sz="0" w:space="0" w:color="auto"/>
        <w:bottom w:val="none" w:sz="0" w:space="0" w:color="auto"/>
        <w:right w:val="none" w:sz="0" w:space="0" w:color="auto"/>
      </w:divBdr>
    </w:div>
    <w:div w:id="1713073765">
      <w:bodyDiv w:val="1"/>
      <w:marLeft w:val="0"/>
      <w:marRight w:val="0"/>
      <w:marTop w:val="0"/>
      <w:marBottom w:val="0"/>
      <w:divBdr>
        <w:top w:val="none" w:sz="0" w:space="0" w:color="auto"/>
        <w:left w:val="none" w:sz="0" w:space="0" w:color="auto"/>
        <w:bottom w:val="none" w:sz="0" w:space="0" w:color="auto"/>
        <w:right w:val="none" w:sz="0" w:space="0" w:color="auto"/>
      </w:divBdr>
    </w:div>
    <w:div w:id="1748335491">
      <w:bodyDiv w:val="1"/>
      <w:marLeft w:val="0"/>
      <w:marRight w:val="0"/>
      <w:marTop w:val="0"/>
      <w:marBottom w:val="0"/>
      <w:divBdr>
        <w:top w:val="none" w:sz="0" w:space="0" w:color="auto"/>
        <w:left w:val="none" w:sz="0" w:space="0" w:color="auto"/>
        <w:bottom w:val="none" w:sz="0" w:space="0" w:color="auto"/>
        <w:right w:val="none" w:sz="0" w:space="0" w:color="auto"/>
      </w:divBdr>
    </w:div>
    <w:div w:id="1800149987">
      <w:bodyDiv w:val="1"/>
      <w:marLeft w:val="0"/>
      <w:marRight w:val="0"/>
      <w:marTop w:val="0"/>
      <w:marBottom w:val="0"/>
      <w:divBdr>
        <w:top w:val="none" w:sz="0" w:space="0" w:color="auto"/>
        <w:left w:val="none" w:sz="0" w:space="0" w:color="auto"/>
        <w:bottom w:val="none" w:sz="0" w:space="0" w:color="auto"/>
        <w:right w:val="none" w:sz="0" w:space="0" w:color="auto"/>
      </w:divBdr>
    </w:div>
    <w:div w:id="1934701347">
      <w:bodyDiv w:val="1"/>
      <w:marLeft w:val="0"/>
      <w:marRight w:val="0"/>
      <w:marTop w:val="0"/>
      <w:marBottom w:val="0"/>
      <w:divBdr>
        <w:top w:val="none" w:sz="0" w:space="0" w:color="auto"/>
        <w:left w:val="none" w:sz="0" w:space="0" w:color="auto"/>
        <w:bottom w:val="none" w:sz="0" w:space="0" w:color="auto"/>
        <w:right w:val="none" w:sz="0" w:space="0" w:color="auto"/>
      </w:divBdr>
    </w:div>
    <w:div w:id="1934894737">
      <w:bodyDiv w:val="1"/>
      <w:marLeft w:val="0"/>
      <w:marRight w:val="0"/>
      <w:marTop w:val="0"/>
      <w:marBottom w:val="0"/>
      <w:divBdr>
        <w:top w:val="none" w:sz="0" w:space="0" w:color="auto"/>
        <w:left w:val="none" w:sz="0" w:space="0" w:color="auto"/>
        <w:bottom w:val="none" w:sz="0" w:space="0" w:color="auto"/>
        <w:right w:val="none" w:sz="0" w:space="0" w:color="auto"/>
      </w:divBdr>
    </w:div>
    <w:div w:id="1965884423">
      <w:bodyDiv w:val="1"/>
      <w:marLeft w:val="0"/>
      <w:marRight w:val="0"/>
      <w:marTop w:val="0"/>
      <w:marBottom w:val="0"/>
      <w:divBdr>
        <w:top w:val="none" w:sz="0" w:space="0" w:color="auto"/>
        <w:left w:val="none" w:sz="0" w:space="0" w:color="auto"/>
        <w:bottom w:val="none" w:sz="0" w:space="0" w:color="auto"/>
        <w:right w:val="none" w:sz="0" w:space="0" w:color="auto"/>
      </w:divBdr>
    </w:div>
    <w:div w:id="1966231963">
      <w:bodyDiv w:val="1"/>
      <w:marLeft w:val="0"/>
      <w:marRight w:val="0"/>
      <w:marTop w:val="0"/>
      <w:marBottom w:val="0"/>
      <w:divBdr>
        <w:top w:val="none" w:sz="0" w:space="0" w:color="auto"/>
        <w:left w:val="none" w:sz="0" w:space="0" w:color="auto"/>
        <w:bottom w:val="none" w:sz="0" w:space="0" w:color="auto"/>
        <w:right w:val="none" w:sz="0" w:space="0" w:color="auto"/>
      </w:divBdr>
    </w:div>
    <w:div w:id="2039037489">
      <w:bodyDiv w:val="1"/>
      <w:marLeft w:val="0"/>
      <w:marRight w:val="0"/>
      <w:marTop w:val="0"/>
      <w:marBottom w:val="0"/>
      <w:divBdr>
        <w:top w:val="none" w:sz="0" w:space="0" w:color="auto"/>
        <w:left w:val="none" w:sz="0" w:space="0" w:color="auto"/>
        <w:bottom w:val="none" w:sz="0" w:space="0" w:color="auto"/>
        <w:right w:val="none" w:sz="0" w:space="0" w:color="auto"/>
      </w:divBdr>
    </w:div>
    <w:div w:id="2082631455">
      <w:bodyDiv w:val="1"/>
      <w:marLeft w:val="0"/>
      <w:marRight w:val="0"/>
      <w:marTop w:val="0"/>
      <w:marBottom w:val="0"/>
      <w:divBdr>
        <w:top w:val="none" w:sz="0" w:space="0" w:color="auto"/>
        <w:left w:val="none" w:sz="0" w:space="0" w:color="auto"/>
        <w:bottom w:val="none" w:sz="0" w:space="0" w:color="auto"/>
        <w:right w:val="none" w:sz="0" w:space="0" w:color="auto"/>
      </w:divBdr>
    </w:div>
    <w:div w:id="2115202728">
      <w:bodyDiv w:val="1"/>
      <w:marLeft w:val="0"/>
      <w:marRight w:val="0"/>
      <w:marTop w:val="0"/>
      <w:marBottom w:val="0"/>
      <w:divBdr>
        <w:top w:val="none" w:sz="0" w:space="0" w:color="auto"/>
        <w:left w:val="none" w:sz="0" w:space="0" w:color="auto"/>
        <w:bottom w:val="none" w:sz="0" w:space="0" w:color="auto"/>
        <w:right w:val="none" w:sz="0" w:space="0" w:color="auto"/>
      </w:divBdr>
    </w:div>
    <w:div w:id="2122920657">
      <w:bodyDiv w:val="1"/>
      <w:marLeft w:val="0"/>
      <w:marRight w:val="0"/>
      <w:marTop w:val="0"/>
      <w:marBottom w:val="0"/>
      <w:divBdr>
        <w:top w:val="none" w:sz="0" w:space="0" w:color="auto"/>
        <w:left w:val="none" w:sz="0" w:space="0" w:color="auto"/>
        <w:bottom w:val="none" w:sz="0" w:space="0" w:color="auto"/>
        <w:right w:val="none" w:sz="0" w:space="0" w:color="auto"/>
      </w:divBdr>
    </w:div>
    <w:div w:id="21250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image" Target="media/image4.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image" Target="media/image3.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hyperlink" Target="https://eur04.safelinks.protection.outlook.com/?url=http%3A%2F%2Fwww.ismea.it%2Fflex%2Fcm%2Fpages%2FServeBLOB.php%2FL%2FIT%2FIDPagina%2F10940&amp;data=04%7C01%7Croberto.cagliero%40crea.gov.it%7C503b39c770a6438dd5bb08d88bab7c60%7Cd59c04b9bde247f7b1b80be26a568618%7C0%7C0%7C637412916546280680%7CUnknown%7CTWFpbGZsb3d8eyJWIjoiMC4wLjAwMDAiLCJQIjoiV2luMzIiLCJBTiI6Ik1haWwiLCJXVCI6Mn0%3D%7C1000&amp;sdata=TVbjGQpQkyoFv%2BQj0OqjKxHJMhJ2TW5vIZUOev1fvgs%3D&amp;reserved=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image" Target="media/image8.emf"/><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svg"/><Relationship Id="rId1" Type="http://schemas.openxmlformats.org/officeDocument/2006/relationships/image" Target="media/image9.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san01\Shared_Folders\Direzione%20strumenti%20per%20la%20gestione%20del%20rischio\SGR\Ufficio%20programmazione%20e%20monitoraggio\Indagine%20grandi%20assicurati\prime%20elaborazioni_v.2.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san01\Shared_Folders\Direzione%20strumenti%20per%20la%20gestione%20del%20rischio\SGR\Ufficio%20programmazione%20e%20monitoraggio\Indagine%20grandi%20assicurati\prime%20elaborazioni_v.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san01\Shared_Folders\Direzione%20strumenti%20per%20la%20gestione%20del%20rischio\SGR\Ufficio%20programmazione%20e%20monitoraggio\Indagine%20grandi%20assicurati\prime%20elaborazioni_v.2.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san01\Shared_Folders\Direzione%20strumenti%20per%20la%20gestione%20del%20rischio\SGR\Ufficio%20programmazione%20e%20monitoraggio\Indagine%20grandi%20assicurati\prime%20elaborazioni_v.2.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ysClr val="windowText" lastClr="000000"/>
                </a:solidFill>
                <a:latin typeface="Century Gothic" panose="020B0502020202020204" pitchFamily="34" charset="0"/>
                <a:ea typeface="+mn-ea"/>
                <a:cs typeface="+mn-cs"/>
              </a:defRPr>
            </a:pPr>
            <a:r>
              <a:rPr lang="it-IT" sz="1000" b="0"/>
              <a:t>Aziende assicurate e non</a:t>
            </a:r>
          </a:p>
        </c:rich>
      </c:tx>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Century Gothic" panose="020B0502020202020204" pitchFamily="34" charset="0"/>
              <a:ea typeface="+mn-ea"/>
              <a:cs typeface="+mn-cs"/>
            </a:defRPr>
          </a:pPr>
          <a:endParaRPr lang="it-IT"/>
        </a:p>
      </c:txPr>
    </c:title>
    <c:autoTitleDeleted val="0"/>
    <c:plotArea>
      <c:layout>
        <c:manualLayout>
          <c:layoutTarget val="inner"/>
          <c:xMode val="edge"/>
          <c:yMode val="edge"/>
          <c:x val="0.29422826721225265"/>
          <c:y val="0.15737748892105308"/>
          <c:w val="0.45321019247594052"/>
          <c:h val="0.75535032079323416"/>
        </c:manualLayout>
      </c:layout>
      <c:doughnutChart>
        <c:varyColors val="1"/>
        <c:ser>
          <c:idx val="0"/>
          <c:order val="0"/>
          <c:dPt>
            <c:idx val="0"/>
            <c:bubble3D val="0"/>
            <c:spPr>
              <a:solidFill>
                <a:srgbClr val="FF9933"/>
              </a:solidFill>
              <a:ln w="19050">
                <a:solidFill>
                  <a:schemeClr val="lt1"/>
                </a:solidFill>
              </a:ln>
              <a:effectLst/>
            </c:spPr>
            <c:extLst>
              <c:ext xmlns:c16="http://schemas.microsoft.com/office/drawing/2014/chart" uri="{C3380CC4-5D6E-409C-BE32-E72D297353CC}">
                <c16:uniqueId val="{00000001-3967-4FF1-B709-A9D6FA248194}"/>
              </c:ext>
            </c:extLst>
          </c:dPt>
          <c:dPt>
            <c:idx val="1"/>
            <c:bubble3D val="0"/>
            <c:spPr>
              <a:solidFill>
                <a:srgbClr val="008080"/>
              </a:solidFill>
              <a:ln w="19050">
                <a:solidFill>
                  <a:schemeClr val="lt1"/>
                </a:solidFill>
              </a:ln>
              <a:effectLst/>
            </c:spPr>
            <c:extLst>
              <c:ext xmlns:c16="http://schemas.microsoft.com/office/drawing/2014/chart" uri="{C3380CC4-5D6E-409C-BE32-E72D297353CC}">
                <c16:uniqueId val="{00000003-3967-4FF1-B709-A9D6FA248194}"/>
              </c:ext>
            </c:extLst>
          </c:dPt>
          <c:dLbls>
            <c:dLbl>
              <c:idx val="0"/>
              <c:layout>
                <c:manualLayout>
                  <c:x val="1.0261137178250331E-2"/>
                  <c:y val="-3.3205269287065034E-2"/>
                </c:manualLayout>
              </c:layout>
              <c:showLegendKey val="0"/>
              <c:showVal val="1"/>
              <c:showCatName val="0"/>
              <c:showSerName val="0"/>
              <c:showPercent val="0"/>
              <c:showBubbleSize val="0"/>
              <c:extLst>
                <c:ext xmlns:c15="http://schemas.microsoft.com/office/drawing/2012/chart" uri="{CE6537A1-D6FC-4f65-9D91-7224C49458BB}">
                  <c15:layout>
                    <c:manualLayout>
                      <c:w val="5.3624118024374598E-2"/>
                      <c:h val="6.9525101763907721E-2"/>
                    </c:manualLayout>
                  </c15:layout>
                </c:ext>
                <c:ext xmlns:c16="http://schemas.microsoft.com/office/drawing/2014/chart" uri="{C3380CC4-5D6E-409C-BE32-E72D297353CC}">
                  <c16:uniqueId val="{00000001-3967-4FF1-B709-A9D6FA248194}"/>
                </c:ext>
              </c:extLst>
            </c:dLbl>
            <c:spPr>
              <a:noFill/>
              <a:ln>
                <a:noFill/>
              </a:ln>
              <a:effectLst/>
            </c:spPr>
            <c:txPr>
              <a:bodyPr rot="0" spcFirstLastPara="1" vertOverflow="ellipsis" vert="horz" wrap="square" anchor="ctr" anchorCtr="1"/>
              <a:lstStyle/>
              <a:p>
                <a:pPr>
                  <a:defRPr sz="800" b="1" i="0" u="none" strike="noStrike" kern="1200" baseline="0">
                    <a:solidFill>
                      <a:schemeClr val="bg1"/>
                    </a:solidFill>
                    <a:latin typeface="Century Gothic" panose="020B0502020202020204" pitchFamily="34" charset="0"/>
                    <a:ea typeface="+mn-ea"/>
                    <a:cs typeface="+mn-cs"/>
                  </a:defRPr>
                </a:pPr>
                <a:endParaRPr lang="it-IT"/>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'GdR e assicurazioni agevolate'!$B$14:$B$15</c:f>
              <c:strCache>
                <c:ptCount val="2"/>
                <c:pt idx="0">
                  <c:v>No</c:v>
                </c:pt>
                <c:pt idx="1">
                  <c:v>Sì</c:v>
                </c:pt>
              </c:strCache>
            </c:strRef>
          </c:cat>
          <c:val>
            <c:numRef>
              <c:f>'GdR e assicurazioni agevolate'!$D$14:$D$15</c:f>
              <c:numCache>
                <c:formatCode>0.0%</c:formatCode>
                <c:ptCount val="2"/>
                <c:pt idx="0">
                  <c:v>3.5999999999999997E-2</c:v>
                </c:pt>
                <c:pt idx="1">
                  <c:v>0.96399999999999997</c:v>
                </c:pt>
              </c:numCache>
            </c:numRef>
          </c:val>
          <c:extLst>
            <c:ext xmlns:c16="http://schemas.microsoft.com/office/drawing/2014/chart" uri="{C3380CC4-5D6E-409C-BE32-E72D297353CC}">
              <c16:uniqueId val="{00000004-3967-4FF1-B709-A9D6FA248194}"/>
            </c:ext>
          </c:extLst>
        </c:ser>
        <c:dLbls>
          <c:showLegendKey val="0"/>
          <c:showVal val="0"/>
          <c:showCatName val="0"/>
          <c:showSerName val="0"/>
          <c:showPercent val="0"/>
          <c:showBubbleSize val="0"/>
          <c:showLeaderLines val="1"/>
        </c:dLbls>
        <c:firstSliceAng val="0"/>
        <c:holeSize val="60"/>
      </c:doughnutChart>
      <c:spPr>
        <a:noFill/>
        <a:ln>
          <a:noFill/>
        </a:ln>
        <a:effectLst/>
      </c:spPr>
    </c:plotArea>
    <c:legend>
      <c:legendPos val="r"/>
      <c:layout>
        <c:manualLayout>
          <c:xMode val="edge"/>
          <c:yMode val="edge"/>
          <c:x val="0.7144819934711496"/>
          <c:y val="0.36873128986420795"/>
          <c:w val="6.4273147703875058E-2"/>
          <c:h val="0.2759701191197254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Century Gothic" panose="020B0502020202020204" pitchFamily="34" charset="0"/>
              <a:ea typeface="+mn-ea"/>
              <a:cs typeface="+mn-cs"/>
            </a:defRPr>
          </a:pPr>
          <a:endParaRPr lang="it-IT"/>
        </a:p>
      </c:txPr>
    </c:legend>
    <c:plotVisOnly val="1"/>
    <c:dispBlanksAs val="gap"/>
    <c:showDLblsOverMax val="0"/>
  </c:chart>
  <c:spPr>
    <a:noFill/>
    <a:ln w="9525" cap="flat" cmpd="sng" algn="ctr">
      <a:noFill/>
      <a:round/>
    </a:ln>
    <a:effectLst/>
  </c:spPr>
  <c:txPr>
    <a:bodyPr/>
    <a:lstStyle/>
    <a:p>
      <a:pPr>
        <a:defRPr sz="800" b="1">
          <a:solidFill>
            <a:sysClr val="windowText" lastClr="000000"/>
          </a:solidFill>
          <a:latin typeface="Century Gothic" panose="020B0502020202020204" pitchFamily="34" charset="0"/>
        </a:defRPr>
      </a:pPr>
      <a:endParaRPr lang="it-I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Century Gothic" panose="020B0502020202020204" pitchFamily="34" charset="0"/>
                <a:ea typeface="+mn-ea"/>
                <a:cs typeface="+mn-cs"/>
              </a:defRPr>
            </a:pPr>
            <a:r>
              <a:rPr lang="it-IT"/>
              <a:t>Disponibilità a stipulare polizze ricavo</a:t>
            </a:r>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Century Gothic" panose="020B0502020202020204" pitchFamily="34" charset="0"/>
              <a:ea typeface="+mn-ea"/>
              <a:cs typeface="+mn-cs"/>
            </a:defRPr>
          </a:pPr>
          <a:endParaRPr lang="it-IT"/>
        </a:p>
      </c:txPr>
    </c:title>
    <c:autoTitleDeleted val="0"/>
    <c:plotArea>
      <c:layout/>
      <c:doughnutChart>
        <c:varyColors val="1"/>
        <c:ser>
          <c:idx val="0"/>
          <c:order val="0"/>
          <c:dPt>
            <c:idx val="0"/>
            <c:bubble3D val="0"/>
            <c:spPr>
              <a:solidFill>
                <a:srgbClr val="FF9933"/>
              </a:solidFill>
              <a:ln w="19050">
                <a:solidFill>
                  <a:schemeClr val="lt1"/>
                </a:solidFill>
              </a:ln>
              <a:effectLst/>
            </c:spPr>
            <c:extLst>
              <c:ext xmlns:c16="http://schemas.microsoft.com/office/drawing/2014/chart" uri="{C3380CC4-5D6E-409C-BE32-E72D297353CC}">
                <c16:uniqueId val="{00000001-3294-4876-803C-669E01B2DB70}"/>
              </c:ext>
            </c:extLst>
          </c:dPt>
          <c:dPt>
            <c:idx val="1"/>
            <c:bubble3D val="0"/>
            <c:spPr>
              <a:solidFill>
                <a:srgbClr val="008080"/>
              </a:solidFill>
              <a:ln w="19050">
                <a:solidFill>
                  <a:schemeClr val="lt1"/>
                </a:solidFill>
              </a:ln>
              <a:effectLst/>
            </c:spPr>
            <c:extLst>
              <c:ext xmlns:c16="http://schemas.microsoft.com/office/drawing/2014/chart" uri="{C3380CC4-5D6E-409C-BE32-E72D297353CC}">
                <c16:uniqueId val="{00000003-3294-4876-803C-669E01B2DB70}"/>
              </c:ext>
            </c:extLst>
          </c:dPt>
          <c:dLbls>
            <c:spPr>
              <a:noFill/>
              <a:ln>
                <a:noFill/>
              </a:ln>
              <a:effectLst/>
            </c:spPr>
            <c:txPr>
              <a:bodyPr rot="0" spcFirstLastPara="1" vertOverflow="ellipsis" vert="horz" wrap="square" anchor="ctr" anchorCtr="1"/>
              <a:lstStyle/>
              <a:p>
                <a:pPr>
                  <a:defRPr sz="800" b="1" i="0" u="none" strike="noStrike" kern="1200" baseline="0">
                    <a:solidFill>
                      <a:schemeClr val="bg1"/>
                    </a:solidFill>
                    <a:latin typeface="Century Gothic" panose="020B0502020202020204" pitchFamily="34" charset="0"/>
                    <a:ea typeface="+mn-ea"/>
                    <a:cs typeface="+mn-cs"/>
                  </a:defRPr>
                </a:pPr>
                <a:endParaRPr lang="it-IT"/>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'Index, bio, ricavo e fondi'!$B$60:$B$61</c:f>
              <c:strCache>
                <c:ptCount val="2"/>
                <c:pt idx="0">
                  <c:v>No</c:v>
                </c:pt>
                <c:pt idx="1">
                  <c:v>Sì</c:v>
                </c:pt>
              </c:strCache>
            </c:strRef>
          </c:cat>
          <c:val>
            <c:numRef>
              <c:f>'Index, bio, ricavo e fondi'!$D$60:$D$61</c:f>
              <c:numCache>
                <c:formatCode>0.0%</c:formatCode>
                <c:ptCount val="2"/>
                <c:pt idx="0">
                  <c:v>0.17399999999999999</c:v>
                </c:pt>
                <c:pt idx="1">
                  <c:v>0.82599999999999996</c:v>
                </c:pt>
              </c:numCache>
            </c:numRef>
          </c:val>
          <c:extLst>
            <c:ext xmlns:c16="http://schemas.microsoft.com/office/drawing/2014/chart" uri="{C3380CC4-5D6E-409C-BE32-E72D297353CC}">
              <c16:uniqueId val="{00000004-3294-4876-803C-669E01B2DB70}"/>
            </c:ext>
          </c:extLst>
        </c:ser>
        <c:dLbls>
          <c:showLegendKey val="0"/>
          <c:showVal val="0"/>
          <c:showCatName val="0"/>
          <c:showSerName val="0"/>
          <c:showPercent val="0"/>
          <c:showBubbleSize val="0"/>
          <c:showLeaderLines val="1"/>
        </c:dLbls>
        <c:firstSliceAng val="0"/>
        <c:holeSize val="60"/>
      </c:doughnutChart>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entury Gothic" panose="020B0502020202020204" pitchFamily="34" charset="0"/>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Century Gothic" panose="020B0502020202020204" pitchFamily="34" charset="0"/>
        </a:defRPr>
      </a:pPr>
      <a:endParaRPr lang="it-I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Century Gothic" panose="020B0502020202020204" pitchFamily="34" charset="0"/>
                <a:ea typeface="+mn-ea"/>
                <a:cs typeface="+mn-cs"/>
              </a:defRPr>
            </a:pPr>
            <a:r>
              <a:rPr lang="it-IT"/>
              <a:t>Conoscenza</a:t>
            </a:r>
            <a:r>
              <a:rPr lang="it-IT" baseline="0"/>
              <a:t> e opinione sulle polizze index based</a:t>
            </a:r>
            <a:endParaRPr lang="it-IT"/>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Century Gothic" panose="020B0502020202020204" pitchFamily="34" charset="0"/>
              <a:ea typeface="+mn-ea"/>
              <a:cs typeface="+mn-cs"/>
            </a:defRPr>
          </a:pPr>
          <a:endParaRPr lang="it-IT"/>
        </a:p>
      </c:txPr>
    </c:title>
    <c:autoTitleDeleted val="0"/>
    <c:plotArea>
      <c:layout/>
      <c:barChart>
        <c:barDir val="col"/>
        <c:grouping val="clustered"/>
        <c:varyColors val="0"/>
        <c:ser>
          <c:idx val="0"/>
          <c:order val="0"/>
          <c:spPr>
            <a:solidFill>
              <a:srgbClr val="008080"/>
            </a:solidFill>
            <a:ln>
              <a:solidFill>
                <a:srgbClr val="00808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Century Gothic" panose="020B0502020202020204" pitchFamily="34" charset="0"/>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'Index, bio, ricavo e fondi'!$B$4:$B$7</c:f>
              <c:strCache>
                <c:ptCount val="4"/>
                <c:pt idx="0">
                  <c:v>No</c:v>
                </c:pt>
                <c:pt idx="1">
                  <c:v>Sì, ma non le ritengo uno strumento adeguato </c:v>
                </c:pt>
                <c:pt idx="2">
                  <c:v>Sì, sarei propenso a sottoscriverle in futuro</c:v>
                </c:pt>
                <c:pt idx="3">
                  <c:v>Sì, già sottoscrivo questo tipo di polizza</c:v>
                </c:pt>
              </c:strCache>
            </c:strRef>
          </c:cat>
          <c:val>
            <c:numRef>
              <c:f>'Index, bio, ricavo e fondi'!$D$4:$D$7</c:f>
              <c:numCache>
                <c:formatCode>0.0%</c:formatCode>
                <c:ptCount val="4"/>
                <c:pt idx="0">
                  <c:v>0.93</c:v>
                </c:pt>
                <c:pt idx="1">
                  <c:v>0.04</c:v>
                </c:pt>
                <c:pt idx="2">
                  <c:v>0.02</c:v>
                </c:pt>
                <c:pt idx="3">
                  <c:v>0.01</c:v>
                </c:pt>
              </c:numCache>
            </c:numRef>
          </c:val>
          <c:extLst>
            <c:ext xmlns:c16="http://schemas.microsoft.com/office/drawing/2014/chart" uri="{C3380CC4-5D6E-409C-BE32-E72D297353CC}">
              <c16:uniqueId val="{00000000-48E9-4A28-894D-BA96610873E7}"/>
            </c:ext>
          </c:extLst>
        </c:ser>
        <c:dLbls>
          <c:showLegendKey val="0"/>
          <c:showVal val="0"/>
          <c:showCatName val="0"/>
          <c:showSerName val="0"/>
          <c:showPercent val="0"/>
          <c:showBubbleSize val="0"/>
        </c:dLbls>
        <c:gapWidth val="219"/>
        <c:overlap val="-27"/>
        <c:axId val="721725583"/>
        <c:axId val="721720591"/>
      </c:barChart>
      <c:catAx>
        <c:axId val="7217255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entury Gothic" panose="020B0502020202020204" pitchFamily="34" charset="0"/>
                <a:ea typeface="+mn-ea"/>
                <a:cs typeface="+mn-cs"/>
              </a:defRPr>
            </a:pPr>
            <a:endParaRPr lang="it-IT"/>
          </a:p>
        </c:txPr>
        <c:crossAx val="721720591"/>
        <c:crosses val="autoZero"/>
        <c:auto val="1"/>
        <c:lblAlgn val="ctr"/>
        <c:lblOffset val="100"/>
        <c:noMultiLvlLbl val="0"/>
      </c:catAx>
      <c:valAx>
        <c:axId val="72172059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entury Gothic" panose="020B0502020202020204" pitchFamily="34" charset="0"/>
                <a:ea typeface="+mn-ea"/>
                <a:cs typeface="+mn-cs"/>
              </a:defRPr>
            </a:pPr>
            <a:endParaRPr lang="it-IT"/>
          </a:p>
        </c:txPr>
        <c:crossAx val="721725583"/>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latin typeface="Century Gothic" panose="020B0502020202020204" pitchFamily="34" charset="0"/>
        </a:defRPr>
      </a:pPr>
      <a:endParaRPr lang="it-I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Century Gothic" panose="020B0502020202020204" pitchFamily="34" charset="0"/>
                <a:ea typeface="+mn-ea"/>
                <a:cs typeface="+mn-cs"/>
              </a:defRPr>
            </a:pPr>
            <a:r>
              <a:rPr lang="it-IT"/>
              <a:t>Parere sui fondi di mutualizzazione</a:t>
            </a:r>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Century Gothic" panose="020B0502020202020204" pitchFamily="34" charset="0"/>
              <a:ea typeface="+mn-ea"/>
              <a:cs typeface="+mn-cs"/>
            </a:defRPr>
          </a:pPr>
          <a:endParaRPr lang="it-IT"/>
        </a:p>
      </c:txPr>
    </c:title>
    <c:autoTitleDeleted val="0"/>
    <c:plotArea>
      <c:layout/>
      <c:barChart>
        <c:barDir val="col"/>
        <c:grouping val="clustered"/>
        <c:varyColors val="0"/>
        <c:ser>
          <c:idx val="0"/>
          <c:order val="0"/>
          <c:spPr>
            <a:solidFill>
              <a:srgbClr val="008080"/>
            </a:solidFill>
            <a:ln>
              <a:solidFill>
                <a:srgbClr val="008080"/>
              </a:solid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Century Gothic" panose="020B0502020202020204" pitchFamily="34" charset="0"/>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'Index, bio, ricavo e fondi'!$B$74:$B$77</c:f>
              <c:strCache>
                <c:ptCount val="4"/>
                <c:pt idx="0">
                  <c:v>Inutili</c:v>
                </c:pt>
                <c:pt idx="1">
                  <c:v>Utili, in aggiunta alle polizze per i rischi di reddito</c:v>
                </c:pt>
                <c:pt idx="2">
                  <c:v>Utili, in aggiunta alle polizze per fitopatie, attacchi parassitari o epizoozie</c:v>
                </c:pt>
                <c:pt idx="3">
                  <c:v>Utili, in sostituzione delle polizze </c:v>
                </c:pt>
              </c:strCache>
            </c:strRef>
          </c:cat>
          <c:val>
            <c:numRef>
              <c:f>'Index, bio, ricavo e fondi'!$D$74:$D$77</c:f>
              <c:numCache>
                <c:formatCode>0.0%</c:formatCode>
                <c:ptCount val="4"/>
                <c:pt idx="0">
                  <c:v>0.1807909604519774</c:v>
                </c:pt>
                <c:pt idx="1">
                  <c:v>0.35028248587570621</c:v>
                </c:pt>
                <c:pt idx="2">
                  <c:v>0.3559322033898305</c:v>
                </c:pt>
                <c:pt idx="3">
                  <c:v>0.11299435028248588</c:v>
                </c:pt>
              </c:numCache>
            </c:numRef>
          </c:val>
          <c:extLst>
            <c:ext xmlns:c16="http://schemas.microsoft.com/office/drawing/2014/chart" uri="{C3380CC4-5D6E-409C-BE32-E72D297353CC}">
              <c16:uniqueId val="{00000000-99D0-4B9C-B9CA-5C3C71749504}"/>
            </c:ext>
          </c:extLst>
        </c:ser>
        <c:dLbls>
          <c:showLegendKey val="0"/>
          <c:showVal val="0"/>
          <c:showCatName val="0"/>
          <c:showSerName val="0"/>
          <c:showPercent val="0"/>
          <c:showBubbleSize val="0"/>
        </c:dLbls>
        <c:gapWidth val="219"/>
        <c:overlap val="-27"/>
        <c:axId val="89882880"/>
        <c:axId val="89885376"/>
      </c:barChart>
      <c:catAx>
        <c:axId val="89882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entury Gothic" panose="020B0502020202020204" pitchFamily="34" charset="0"/>
                <a:ea typeface="+mn-ea"/>
                <a:cs typeface="+mn-cs"/>
              </a:defRPr>
            </a:pPr>
            <a:endParaRPr lang="it-IT"/>
          </a:p>
        </c:txPr>
        <c:crossAx val="89885376"/>
        <c:crosses val="autoZero"/>
        <c:auto val="1"/>
        <c:lblAlgn val="ctr"/>
        <c:lblOffset val="100"/>
        <c:noMultiLvlLbl val="0"/>
      </c:catAx>
      <c:valAx>
        <c:axId val="898853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entury Gothic" panose="020B0502020202020204" pitchFamily="34" charset="0"/>
                <a:ea typeface="+mn-ea"/>
                <a:cs typeface="+mn-cs"/>
              </a:defRPr>
            </a:pPr>
            <a:endParaRPr lang="it-IT"/>
          </a:p>
        </c:txPr>
        <c:crossAx val="89882880"/>
        <c:crosses val="autoZero"/>
        <c:crossBetween val="between"/>
      </c:valAx>
      <c:spPr>
        <a:noFill/>
        <a:ln>
          <a:noFill/>
        </a:ln>
        <a:effectLst/>
      </c:spPr>
    </c:plotArea>
    <c:plotVisOnly val="1"/>
    <c:dispBlanksAs val="gap"/>
    <c:showDLblsOverMax val="0"/>
  </c:chart>
  <c:spPr>
    <a:noFill/>
    <a:ln w="9525" cap="flat" cmpd="sng" algn="ctr">
      <a:solidFill>
        <a:schemeClr val="tx1">
          <a:lumMod val="15000"/>
          <a:lumOff val="85000"/>
        </a:schemeClr>
      </a:solidFill>
      <a:round/>
    </a:ln>
    <a:effectLst/>
  </c:spPr>
  <c:txPr>
    <a:bodyPr/>
    <a:lstStyle/>
    <a:p>
      <a:pPr>
        <a:defRPr sz="800">
          <a:latin typeface="Century Gothic" panose="020B0502020202020204" pitchFamily="34" charset="0"/>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BE86B06E6FC844806CA23FA6E11A6E" ma:contentTypeVersion="6" ma:contentTypeDescription="Creare un nuovo documento." ma:contentTypeScope="" ma:versionID="19846635b374aa4e8513bfb57bf4138f">
  <xsd:schema xmlns:xsd="http://www.w3.org/2001/XMLSchema" xmlns:xs="http://www.w3.org/2001/XMLSchema" xmlns:p="http://schemas.microsoft.com/office/2006/metadata/properties" xmlns:ns2="5f36f88f-a6e1-4dbf-96d7-c7955eafa125" xmlns:ns3="bf207097-3e21-48b5-a618-0f552df6adad" targetNamespace="http://schemas.microsoft.com/office/2006/metadata/properties" ma:root="true" ma:fieldsID="2eb27dbba831a294d5384fea1499393c" ns2:_="" ns3:_="">
    <xsd:import namespace="5f36f88f-a6e1-4dbf-96d7-c7955eafa125"/>
    <xsd:import namespace="bf207097-3e21-48b5-a618-0f552df6ad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36f88f-a6e1-4dbf-96d7-c7955eafa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207097-3e21-48b5-a618-0f552df6adad"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2FA4-0FA0-4418-A9A1-FE926243F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36f88f-a6e1-4dbf-96d7-c7955eafa125"/>
    <ds:schemaRef ds:uri="bf207097-3e21-48b5-a618-0f552df6a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55EAC-3A29-42DB-99CA-13F3C764AECD}">
  <ds:schemaRefs>
    <ds:schemaRef ds:uri="http://schemas.microsoft.com/sharepoint/v3/contenttype/forms"/>
  </ds:schemaRefs>
</ds:datastoreItem>
</file>

<file path=customXml/itemProps3.xml><?xml version="1.0" encoding="utf-8"?>
<ds:datastoreItem xmlns:ds="http://schemas.openxmlformats.org/officeDocument/2006/customXml" ds:itemID="{927D0BD1-000C-4790-8F12-53C2B808FC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DA8B65-2D15-4549-84D4-FA810FBC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20</Pages>
  <Words>6295</Words>
  <Characters>35883</Characters>
  <Application>Microsoft Office Word</Application>
  <DocSecurity>0</DocSecurity>
  <Lines>299</Lines>
  <Paragraphs>84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anonimo</cp:lastModifiedBy>
  <cp:revision>26</cp:revision>
  <cp:lastPrinted>2019-06-10T16:30:00Z</cp:lastPrinted>
  <dcterms:created xsi:type="dcterms:W3CDTF">2020-11-03T17:59:00Z</dcterms:created>
  <dcterms:modified xsi:type="dcterms:W3CDTF">2021-09-14T13:34:00Z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0x01010048BE86B06E6FC844806CA23FA6E11A6E</vt:lpwstr>
  </property>
</Properties>
</file>