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AB003" w14:textId="77777777" w:rsidR="007F28A3" w:rsidRDefault="007F28A3" w:rsidP="007F28A3"/>
    <w:p w14:paraId="2D4FB443" w14:textId="77777777" w:rsidR="00FA3765" w:rsidRDefault="00FA3765" w:rsidP="00C34648">
      <w:pPr>
        <w:pStyle w:val="Titolo"/>
      </w:pPr>
    </w:p>
    <w:p w14:paraId="2DB613E9" w14:textId="77777777" w:rsidR="0070130A" w:rsidRDefault="0070130A" w:rsidP="00C34648">
      <w:pPr>
        <w:pStyle w:val="Titolo"/>
      </w:pPr>
    </w:p>
    <w:p w14:paraId="248F3CB5" w14:textId="2513144D" w:rsidR="007F28A3" w:rsidRPr="00C34648" w:rsidRDefault="001F3A3D" w:rsidP="00A33A10">
      <w:pPr>
        <w:pStyle w:val="Titolo"/>
        <w:jc w:val="center"/>
      </w:pPr>
      <w:r w:rsidRPr="00C34648">
        <w:t>L’Italia e la Pac post 2020</w:t>
      </w:r>
    </w:p>
    <w:p w14:paraId="2618A886" w14:textId="252E6A38" w:rsidR="00FA3765" w:rsidRDefault="00CB1ABC" w:rsidP="001F3A3D">
      <w:pPr>
        <w:pStyle w:val="Titolo"/>
        <w:jc w:val="center"/>
        <w:rPr>
          <w:sz w:val="52"/>
        </w:rPr>
      </w:pPr>
      <w:r>
        <w:rPr>
          <w:sz w:val="52"/>
        </w:rPr>
        <w:t>PB 1</w:t>
      </w:r>
    </w:p>
    <w:p w14:paraId="00ADB82B" w14:textId="237F0A96" w:rsidR="00204A57" w:rsidRDefault="00204A57" w:rsidP="00204A57"/>
    <w:p w14:paraId="518E3A53" w14:textId="5C6BDF74" w:rsidR="00204A57" w:rsidRDefault="00204A57" w:rsidP="00F37833">
      <w:pPr>
        <w:pStyle w:val="Titolo"/>
        <w:rPr>
          <w:sz w:val="52"/>
        </w:rPr>
      </w:pPr>
      <w:r w:rsidRPr="00C34648">
        <w:rPr>
          <w:sz w:val="52"/>
        </w:rPr>
        <w:t xml:space="preserve">OS 1: </w:t>
      </w:r>
      <w:r w:rsidR="00F37833">
        <w:rPr>
          <w:sz w:val="52"/>
        </w:rPr>
        <w:t>S</w:t>
      </w:r>
      <w:r w:rsidR="00F37833" w:rsidRPr="00F37833">
        <w:rPr>
          <w:sz w:val="52"/>
        </w:rPr>
        <w:t xml:space="preserve">ostenere un reddito agricolo sostenibile e la resilienza del settore agricolo in tutta l'Unione per migliorare la sicurezza alimentare a lungo termine e la diversità agricola, nonché garantire la sostenibilità economica della produzione agricola </w:t>
      </w:r>
    </w:p>
    <w:p w14:paraId="5BC5E27A" w14:textId="77777777" w:rsidR="00204A57" w:rsidRPr="00204A57" w:rsidRDefault="00204A57" w:rsidP="00204A57"/>
    <w:p w14:paraId="1F61C079" w14:textId="0600FFA7" w:rsidR="00554B1A" w:rsidRDefault="00554B1A" w:rsidP="00554B1A"/>
    <w:p w14:paraId="6F5C56B3" w14:textId="77777777" w:rsidR="00837890" w:rsidRDefault="00837890" w:rsidP="00554B1A"/>
    <w:p w14:paraId="1C343E09" w14:textId="7970ADC9" w:rsidR="00554B1A" w:rsidRPr="00101EC6" w:rsidRDefault="00FE53A6" w:rsidP="00837890">
      <w:pPr>
        <w:pStyle w:val="Titolo"/>
        <w:jc w:val="center"/>
        <w:rPr>
          <w:i/>
          <w:sz w:val="52"/>
        </w:rPr>
      </w:pPr>
      <w:bookmarkStart w:id="0" w:name="_Hlk55337399"/>
      <w:proofErr w:type="spellStart"/>
      <w:r>
        <w:rPr>
          <w:i/>
          <w:sz w:val="52"/>
        </w:rPr>
        <w:t>A</w:t>
      </w:r>
      <w:r w:rsidR="00CB1ABC">
        <w:rPr>
          <w:i/>
          <w:sz w:val="52"/>
        </w:rPr>
        <w:t>prr</w:t>
      </w:r>
      <w:r w:rsidR="00623939">
        <w:rPr>
          <w:i/>
          <w:sz w:val="52"/>
        </w:rPr>
        <w:t>o</w:t>
      </w:r>
      <w:r w:rsidR="00CB1ABC">
        <w:rPr>
          <w:i/>
          <w:sz w:val="52"/>
        </w:rPr>
        <w:t>fondimento</w:t>
      </w:r>
      <w:proofErr w:type="spellEnd"/>
      <w:r w:rsidR="00CB1ABC">
        <w:rPr>
          <w:i/>
          <w:sz w:val="52"/>
        </w:rPr>
        <w:t xml:space="preserve"> sulle</w:t>
      </w:r>
      <w:r w:rsidR="00837890" w:rsidRPr="00101EC6">
        <w:rPr>
          <w:i/>
          <w:sz w:val="52"/>
        </w:rPr>
        <w:t xml:space="preserve"> </w:t>
      </w:r>
      <w:r w:rsidR="00AB669C">
        <w:rPr>
          <w:i/>
          <w:sz w:val="52"/>
        </w:rPr>
        <w:t xml:space="preserve">principali </w:t>
      </w:r>
      <w:r w:rsidR="00837890" w:rsidRPr="00101EC6">
        <w:rPr>
          <w:i/>
          <w:sz w:val="52"/>
        </w:rPr>
        <w:t xml:space="preserve">caratteristiche </w:t>
      </w:r>
      <w:r w:rsidR="00AB669C">
        <w:rPr>
          <w:i/>
          <w:sz w:val="52"/>
        </w:rPr>
        <w:t>delle aziende agricole</w:t>
      </w:r>
      <w:r w:rsidR="00421DBB">
        <w:rPr>
          <w:i/>
          <w:sz w:val="52"/>
        </w:rPr>
        <w:t xml:space="preserve"> </w:t>
      </w:r>
    </w:p>
    <w:bookmarkEnd w:id="0"/>
    <w:p w14:paraId="28AF21CA" w14:textId="77777777" w:rsidR="00BB29D7" w:rsidRDefault="00BB29D7" w:rsidP="00BB29D7"/>
    <w:p w14:paraId="33215DB9" w14:textId="77777777" w:rsidR="00BB29D7" w:rsidRDefault="00BB29D7" w:rsidP="00BB29D7"/>
    <w:p w14:paraId="12A22879" w14:textId="77777777" w:rsidR="00BB29D7" w:rsidRDefault="00BB29D7" w:rsidP="00BB29D7"/>
    <w:p w14:paraId="29BCC04F" w14:textId="77777777" w:rsidR="00BB29D7" w:rsidRDefault="00BB29D7" w:rsidP="00BB29D7"/>
    <w:p w14:paraId="1000A6D5" w14:textId="77777777" w:rsidR="00BB29D7" w:rsidRDefault="00BB29D7" w:rsidP="00BB29D7"/>
    <w:p w14:paraId="2E1CB077" w14:textId="726DB80D" w:rsidR="00BB29D7" w:rsidRDefault="00BB29D7" w:rsidP="00BB29D7"/>
    <w:p w14:paraId="763ACBD3" w14:textId="573AF8F7" w:rsidR="00BB29D7" w:rsidRDefault="00BB29D7" w:rsidP="00BB29D7"/>
    <w:p w14:paraId="095C51C8" w14:textId="2A23743F" w:rsidR="00BB29D7" w:rsidRDefault="00BB29D7" w:rsidP="00684870"/>
    <w:p w14:paraId="06449A94" w14:textId="77777777" w:rsidR="00FA3765" w:rsidRDefault="00FA3765">
      <w:pPr>
        <w:jc w:val="left"/>
        <w:rPr>
          <w:rFonts w:asciiTheme="majorHAnsi" w:eastAsiaTheme="majorEastAsia" w:hAnsiTheme="majorHAnsi" w:cstheme="majorBidi"/>
          <w:spacing w:val="-10"/>
          <w:kern w:val="28"/>
          <w:sz w:val="52"/>
          <w:szCs w:val="56"/>
        </w:rPr>
      </w:pPr>
      <w:r>
        <w:rPr>
          <w:sz w:val="52"/>
        </w:rPr>
        <w:br w:type="page"/>
      </w:r>
    </w:p>
    <w:sdt>
      <w:sdtPr>
        <w:rPr>
          <w:rFonts w:asciiTheme="minorHAnsi" w:eastAsiaTheme="minorHAnsi" w:hAnsiTheme="minorHAnsi" w:cstheme="minorBidi"/>
          <w:color w:val="auto"/>
          <w:sz w:val="22"/>
          <w:szCs w:val="22"/>
          <w:lang w:eastAsia="en-US"/>
        </w:rPr>
        <w:id w:val="-1138181061"/>
        <w:docPartObj>
          <w:docPartGallery w:val="Table of Contents"/>
          <w:docPartUnique/>
        </w:docPartObj>
      </w:sdtPr>
      <w:sdtEndPr>
        <w:rPr>
          <w:b/>
          <w:bCs/>
        </w:rPr>
      </w:sdtEndPr>
      <w:sdtContent>
        <w:p w14:paraId="302D88E2" w14:textId="725FBE4F" w:rsidR="00225920" w:rsidRDefault="00225920">
          <w:pPr>
            <w:pStyle w:val="Titolosommario"/>
          </w:pPr>
          <w:r>
            <w:t>Sommario</w:t>
          </w:r>
        </w:p>
        <w:p w14:paraId="154A9F2B" w14:textId="197BE9B0" w:rsidR="006561B9" w:rsidRDefault="00225920">
          <w:pPr>
            <w:pStyle w:val="Sommario2"/>
            <w:tabs>
              <w:tab w:val="left" w:pos="660"/>
            </w:tabs>
            <w:rPr>
              <w:rFonts w:eastAsiaTheme="minorEastAsia"/>
              <w:noProof/>
              <w:lang w:eastAsia="it-IT"/>
            </w:rPr>
          </w:pPr>
          <w:r>
            <w:fldChar w:fldCharType="begin"/>
          </w:r>
          <w:r>
            <w:instrText xml:space="preserve"> TOC \o "1-3" \h \z \u </w:instrText>
          </w:r>
          <w:r>
            <w:fldChar w:fldCharType="separate"/>
          </w:r>
          <w:hyperlink w:anchor="_Toc56585247" w:history="1">
            <w:r w:rsidR="006561B9" w:rsidRPr="00B63219">
              <w:rPr>
                <w:rStyle w:val="Collegamentoipertestuale"/>
                <w:noProof/>
              </w:rPr>
              <w:t>1.</w:t>
            </w:r>
            <w:r w:rsidR="006561B9">
              <w:rPr>
                <w:rFonts w:eastAsiaTheme="minorEastAsia"/>
                <w:noProof/>
                <w:lang w:eastAsia="it-IT"/>
              </w:rPr>
              <w:tab/>
            </w:r>
            <w:r w:rsidR="006561B9" w:rsidRPr="00B63219">
              <w:rPr>
                <w:rStyle w:val="Collegamentoipertestuale"/>
                <w:noProof/>
              </w:rPr>
              <w:t>Aziende</w:t>
            </w:r>
            <w:r w:rsidR="006561B9">
              <w:rPr>
                <w:noProof/>
                <w:webHidden/>
              </w:rPr>
              <w:tab/>
            </w:r>
            <w:r w:rsidR="006561B9">
              <w:rPr>
                <w:noProof/>
                <w:webHidden/>
              </w:rPr>
              <w:fldChar w:fldCharType="begin"/>
            </w:r>
            <w:r w:rsidR="006561B9">
              <w:rPr>
                <w:noProof/>
                <w:webHidden/>
              </w:rPr>
              <w:instrText xml:space="preserve"> PAGEREF _Toc56585247 \h </w:instrText>
            </w:r>
            <w:r w:rsidR="006561B9">
              <w:rPr>
                <w:noProof/>
                <w:webHidden/>
              </w:rPr>
            </w:r>
            <w:r w:rsidR="006561B9">
              <w:rPr>
                <w:noProof/>
                <w:webHidden/>
              </w:rPr>
              <w:fldChar w:fldCharType="separate"/>
            </w:r>
            <w:r w:rsidR="006561B9">
              <w:rPr>
                <w:noProof/>
                <w:webHidden/>
              </w:rPr>
              <w:t>3</w:t>
            </w:r>
            <w:r w:rsidR="006561B9">
              <w:rPr>
                <w:noProof/>
                <w:webHidden/>
              </w:rPr>
              <w:fldChar w:fldCharType="end"/>
            </w:r>
          </w:hyperlink>
        </w:p>
        <w:p w14:paraId="6AC8DF2E" w14:textId="643A0DD3" w:rsidR="006561B9" w:rsidRDefault="00A32DB9">
          <w:pPr>
            <w:pStyle w:val="Sommario2"/>
            <w:tabs>
              <w:tab w:val="left" w:pos="660"/>
            </w:tabs>
            <w:rPr>
              <w:rFonts w:eastAsiaTheme="minorEastAsia"/>
              <w:noProof/>
              <w:lang w:eastAsia="it-IT"/>
            </w:rPr>
          </w:pPr>
          <w:hyperlink w:anchor="_Toc56585248" w:history="1">
            <w:r w:rsidR="006561B9" w:rsidRPr="00B63219">
              <w:rPr>
                <w:rStyle w:val="Collegamentoipertestuale"/>
                <w:noProof/>
              </w:rPr>
              <w:t>2.</w:t>
            </w:r>
            <w:r w:rsidR="006561B9">
              <w:rPr>
                <w:rFonts w:eastAsiaTheme="minorEastAsia"/>
                <w:noProof/>
                <w:lang w:eastAsia="it-IT"/>
              </w:rPr>
              <w:tab/>
            </w:r>
            <w:r w:rsidR="006561B9" w:rsidRPr="00B63219">
              <w:rPr>
                <w:rStyle w:val="Collegamentoipertestuale"/>
                <w:noProof/>
              </w:rPr>
              <w:t>Forza Lavoro</w:t>
            </w:r>
            <w:r w:rsidR="006561B9">
              <w:rPr>
                <w:noProof/>
                <w:webHidden/>
              </w:rPr>
              <w:tab/>
            </w:r>
            <w:r w:rsidR="006561B9">
              <w:rPr>
                <w:noProof/>
                <w:webHidden/>
              </w:rPr>
              <w:fldChar w:fldCharType="begin"/>
            </w:r>
            <w:r w:rsidR="006561B9">
              <w:rPr>
                <w:noProof/>
                <w:webHidden/>
              </w:rPr>
              <w:instrText xml:space="preserve"> PAGEREF _Toc56585248 \h </w:instrText>
            </w:r>
            <w:r w:rsidR="006561B9">
              <w:rPr>
                <w:noProof/>
                <w:webHidden/>
              </w:rPr>
            </w:r>
            <w:r w:rsidR="006561B9">
              <w:rPr>
                <w:noProof/>
                <w:webHidden/>
              </w:rPr>
              <w:fldChar w:fldCharType="separate"/>
            </w:r>
            <w:r w:rsidR="006561B9">
              <w:rPr>
                <w:noProof/>
                <w:webHidden/>
              </w:rPr>
              <w:t>8</w:t>
            </w:r>
            <w:r w:rsidR="006561B9">
              <w:rPr>
                <w:noProof/>
                <w:webHidden/>
              </w:rPr>
              <w:fldChar w:fldCharType="end"/>
            </w:r>
          </w:hyperlink>
        </w:p>
        <w:p w14:paraId="3726C825" w14:textId="75372CBA" w:rsidR="006561B9" w:rsidRDefault="00A32DB9">
          <w:pPr>
            <w:pStyle w:val="Sommario2"/>
            <w:tabs>
              <w:tab w:val="left" w:pos="660"/>
            </w:tabs>
            <w:rPr>
              <w:rFonts w:eastAsiaTheme="minorEastAsia"/>
              <w:noProof/>
              <w:lang w:eastAsia="it-IT"/>
            </w:rPr>
          </w:pPr>
          <w:hyperlink w:anchor="_Toc56585249" w:history="1">
            <w:r w:rsidR="006561B9" w:rsidRPr="00B63219">
              <w:rPr>
                <w:rStyle w:val="Collegamentoipertestuale"/>
                <w:noProof/>
              </w:rPr>
              <w:t>3.</w:t>
            </w:r>
            <w:r w:rsidR="006561B9">
              <w:rPr>
                <w:rFonts w:eastAsiaTheme="minorEastAsia"/>
                <w:noProof/>
                <w:lang w:eastAsia="it-IT"/>
              </w:rPr>
              <w:tab/>
            </w:r>
            <w:r w:rsidR="006561B9" w:rsidRPr="00B63219">
              <w:rPr>
                <w:rStyle w:val="Collegamentoipertestuale"/>
                <w:noProof/>
              </w:rPr>
              <w:t>Coltivazioni e allevamenti</w:t>
            </w:r>
            <w:r w:rsidR="006561B9">
              <w:rPr>
                <w:noProof/>
                <w:webHidden/>
              </w:rPr>
              <w:tab/>
            </w:r>
            <w:r w:rsidR="006561B9">
              <w:rPr>
                <w:noProof/>
                <w:webHidden/>
              </w:rPr>
              <w:fldChar w:fldCharType="begin"/>
            </w:r>
            <w:r w:rsidR="006561B9">
              <w:rPr>
                <w:noProof/>
                <w:webHidden/>
              </w:rPr>
              <w:instrText xml:space="preserve"> PAGEREF _Toc56585249 \h </w:instrText>
            </w:r>
            <w:r w:rsidR="006561B9">
              <w:rPr>
                <w:noProof/>
                <w:webHidden/>
              </w:rPr>
            </w:r>
            <w:r w:rsidR="006561B9">
              <w:rPr>
                <w:noProof/>
                <w:webHidden/>
              </w:rPr>
              <w:fldChar w:fldCharType="separate"/>
            </w:r>
            <w:r w:rsidR="006561B9">
              <w:rPr>
                <w:noProof/>
                <w:webHidden/>
              </w:rPr>
              <w:t>10</w:t>
            </w:r>
            <w:r w:rsidR="006561B9">
              <w:rPr>
                <w:noProof/>
                <w:webHidden/>
              </w:rPr>
              <w:fldChar w:fldCharType="end"/>
            </w:r>
          </w:hyperlink>
        </w:p>
        <w:p w14:paraId="65D90496" w14:textId="516F42E5" w:rsidR="006561B9" w:rsidRDefault="00A32DB9">
          <w:pPr>
            <w:pStyle w:val="Sommario2"/>
            <w:tabs>
              <w:tab w:val="left" w:pos="660"/>
            </w:tabs>
            <w:rPr>
              <w:rFonts w:eastAsiaTheme="minorEastAsia"/>
              <w:noProof/>
              <w:lang w:eastAsia="it-IT"/>
            </w:rPr>
          </w:pPr>
          <w:hyperlink w:anchor="_Toc56585250" w:history="1">
            <w:r w:rsidR="006561B9" w:rsidRPr="00B63219">
              <w:rPr>
                <w:rStyle w:val="Collegamentoipertestuale"/>
                <w:noProof/>
              </w:rPr>
              <w:t>4.</w:t>
            </w:r>
            <w:r w:rsidR="006561B9">
              <w:rPr>
                <w:rFonts w:eastAsiaTheme="minorEastAsia"/>
                <w:noProof/>
                <w:lang w:eastAsia="it-IT"/>
              </w:rPr>
              <w:tab/>
            </w:r>
            <w:r w:rsidR="006561B9" w:rsidRPr="00B63219">
              <w:rPr>
                <w:rStyle w:val="Collegamentoipertestuale"/>
                <w:noProof/>
              </w:rPr>
              <w:t>Il mercato fondiario</w:t>
            </w:r>
            <w:r w:rsidR="006561B9">
              <w:rPr>
                <w:noProof/>
                <w:webHidden/>
              </w:rPr>
              <w:tab/>
            </w:r>
            <w:r w:rsidR="006561B9">
              <w:rPr>
                <w:noProof/>
                <w:webHidden/>
              </w:rPr>
              <w:fldChar w:fldCharType="begin"/>
            </w:r>
            <w:r w:rsidR="006561B9">
              <w:rPr>
                <w:noProof/>
                <w:webHidden/>
              </w:rPr>
              <w:instrText xml:space="preserve"> PAGEREF _Toc56585250 \h </w:instrText>
            </w:r>
            <w:r w:rsidR="006561B9">
              <w:rPr>
                <w:noProof/>
                <w:webHidden/>
              </w:rPr>
            </w:r>
            <w:r w:rsidR="006561B9">
              <w:rPr>
                <w:noProof/>
                <w:webHidden/>
              </w:rPr>
              <w:fldChar w:fldCharType="separate"/>
            </w:r>
            <w:r w:rsidR="006561B9">
              <w:rPr>
                <w:noProof/>
                <w:webHidden/>
              </w:rPr>
              <w:t>13</w:t>
            </w:r>
            <w:r w:rsidR="006561B9">
              <w:rPr>
                <w:noProof/>
                <w:webHidden/>
              </w:rPr>
              <w:fldChar w:fldCharType="end"/>
            </w:r>
          </w:hyperlink>
        </w:p>
        <w:p w14:paraId="5191E3D4" w14:textId="08622FAA" w:rsidR="006561B9" w:rsidRDefault="00A32DB9">
          <w:pPr>
            <w:pStyle w:val="Sommario2"/>
            <w:tabs>
              <w:tab w:val="left" w:pos="660"/>
            </w:tabs>
            <w:rPr>
              <w:rFonts w:eastAsiaTheme="minorEastAsia"/>
              <w:noProof/>
              <w:lang w:eastAsia="it-IT"/>
            </w:rPr>
          </w:pPr>
          <w:hyperlink w:anchor="_Toc56585251" w:history="1">
            <w:r w:rsidR="006561B9" w:rsidRPr="00B63219">
              <w:rPr>
                <w:rStyle w:val="Collegamentoipertestuale"/>
                <w:noProof/>
              </w:rPr>
              <w:t>5.</w:t>
            </w:r>
            <w:r w:rsidR="006561B9">
              <w:rPr>
                <w:rFonts w:eastAsiaTheme="minorEastAsia"/>
                <w:noProof/>
                <w:lang w:eastAsia="it-IT"/>
              </w:rPr>
              <w:tab/>
            </w:r>
            <w:r w:rsidR="006561B9" w:rsidRPr="00B63219">
              <w:rPr>
                <w:rStyle w:val="Collegamentoipertestuale"/>
                <w:noProof/>
              </w:rPr>
              <w:t>Il settore forestale</w:t>
            </w:r>
            <w:r w:rsidR="006561B9">
              <w:rPr>
                <w:noProof/>
                <w:webHidden/>
              </w:rPr>
              <w:tab/>
            </w:r>
            <w:r w:rsidR="006561B9">
              <w:rPr>
                <w:noProof/>
                <w:webHidden/>
              </w:rPr>
              <w:fldChar w:fldCharType="begin"/>
            </w:r>
            <w:r w:rsidR="006561B9">
              <w:rPr>
                <w:noProof/>
                <w:webHidden/>
              </w:rPr>
              <w:instrText xml:space="preserve"> PAGEREF _Toc56585251 \h </w:instrText>
            </w:r>
            <w:r w:rsidR="006561B9">
              <w:rPr>
                <w:noProof/>
                <w:webHidden/>
              </w:rPr>
            </w:r>
            <w:r w:rsidR="006561B9">
              <w:rPr>
                <w:noProof/>
                <w:webHidden/>
              </w:rPr>
              <w:fldChar w:fldCharType="separate"/>
            </w:r>
            <w:r w:rsidR="006561B9">
              <w:rPr>
                <w:noProof/>
                <w:webHidden/>
              </w:rPr>
              <w:t>15</w:t>
            </w:r>
            <w:r w:rsidR="006561B9">
              <w:rPr>
                <w:noProof/>
                <w:webHidden/>
              </w:rPr>
              <w:fldChar w:fldCharType="end"/>
            </w:r>
          </w:hyperlink>
        </w:p>
        <w:p w14:paraId="64DE2716" w14:textId="7981A759" w:rsidR="006561B9" w:rsidRDefault="00A32DB9">
          <w:pPr>
            <w:pStyle w:val="Sommario2"/>
            <w:rPr>
              <w:rFonts w:eastAsiaTheme="minorEastAsia"/>
              <w:noProof/>
              <w:lang w:eastAsia="it-IT"/>
            </w:rPr>
          </w:pPr>
          <w:hyperlink w:anchor="_Toc56585252" w:history="1">
            <w:r w:rsidR="006561B9" w:rsidRPr="00B63219">
              <w:rPr>
                <w:rStyle w:val="Collegamentoipertestuale"/>
                <w:noProof/>
              </w:rPr>
              <w:t>Siti web e banche dati</w:t>
            </w:r>
            <w:r w:rsidR="006561B9">
              <w:rPr>
                <w:noProof/>
                <w:webHidden/>
              </w:rPr>
              <w:tab/>
            </w:r>
            <w:r w:rsidR="006561B9">
              <w:rPr>
                <w:noProof/>
                <w:webHidden/>
              </w:rPr>
              <w:fldChar w:fldCharType="begin"/>
            </w:r>
            <w:r w:rsidR="006561B9">
              <w:rPr>
                <w:noProof/>
                <w:webHidden/>
              </w:rPr>
              <w:instrText xml:space="preserve"> PAGEREF _Toc56585252 \h </w:instrText>
            </w:r>
            <w:r w:rsidR="006561B9">
              <w:rPr>
                <w:noProof/>
                <w:webHidden/>
              </w:rPr>
            </w:r>
            <w:r w:rsidR="006561B9">
              <w:rPr>
                <w:noProof/>
                <w:webHidden/>
              </w:rPr>
              <w:fldChar w:fldCharType="separate"/>
            </w:r>
            <w:r w:rsidR="006561B9">
              <w:rPr>
                <w:noProof/>
                <w:webHidden/>
              </w:rPr>
              <w:t>18</w:t>
            </w:r>
            <w:r w:rsidR="006561B9">
              <w:rPr>
                <w:noProof/>
                <w:webHidden/>
              </w:rPr>
              <w:fldChar w:fldCharType="end"/>
            </w:r>
          </w:hyperlink>
        </w:p>
        <w:p w14:paraId="398E667C" w14:textId="172B0BA9" w:rsidR="006561B9" w:rsidRDefault="00A32DB9">
          <w:pPr>
            <w:pStyle w:val="Sommario2"/>
            <w:rPr>
              <w:rFonts w:eastAsiaTheme="minorEastAsia"/>
              <w:noProof/>
              <w:lang w:eastAsia="it-IT"/>
            </w:rPr>
          </w:pPr>
          <w:hyperlink w:anchor="_Toc56585253" w:history="1">
            <w:r w:rsidR="006561B9" w:rsidRPr="00B63219">
              <w:rPr>
                <w:rStyle w:val="Collegamentoipertestuale"/>
                <w:noProof/>
              </w:rPr>
              <w:t>Pubblicazioni di riferimento</w:t>
            </w:r>
            <w:r w:rsidR="006561B9">
              <w:rPr>
                <w:noProof/>
                <w:webHidden/>
              </w:rPr>
              <w:tab/>
            </w:r>
            <w:r w:rsidR="006561B9">
              <w:rPr>
                <w:noProof/>
                <w:webHidden/>
              </w:rPr>
              <w:fldChar w:fldCharType="begin"/>
            </w:r>
            <w:r w:rsidR="006561B9">
              <w:rPr>
                <w:noProof/>
                <w:webHidden/>
              </w:rPr>
              <w:instrText xml:space="preserve"> PAGEREF _Toc56585253 \h </w:instrText>
            </w:r>
            <w:r w:rsidR="006561B9">
              <w:rPr>
                <w:noProof/>
                <w:webHidden/>
              </w:rPr>
            </w:r>
            <w:r w:rsidR="006561B9">
              <w:rPr>
                <w:noProof/>
                <w:webHidden/>
              </w:rPr>
              <w:fldChar w:fldCharType="separate"/>
            </w:r>
            <w:r w:rsidR="006561B9">
              <w:rPr>
                <w:noProof/>
                <w:webHidden/>
              </w:rPr>
              <w:t>18</w:t>
            </w:r>
            <w:r w:rsidR="006561B9">
              <w:rPr>
                <w:noProof/>
                <w:webHidden/>
              </w:rPr>
              <w:fldChar w:fldCharType="end"/>
            </w:r>
          </w:hyperlink>
        </w:p>
        <w:p w14:paraId="5DE91693" w14:textId="26FE87AD" w:rsidR="00225920" w:rsidRDefault="00225920">
          <w:r>
            <w:rPr>
              <w:b/>
              <w:bCs/>
            </w:rPr>
            <w:fldChar w:fldCharType="end"/>
          </w:r>
        </w:p>
      </w:sdtContent>
    </w:sdt>
    <w:p w14:paraId="648D52E7" w14:textId="27F52AF9" w:rsidR="00D658F6" w:rsidRPr="00601D0C" w:rsidRDefault="00D658F6" w:rsidP="004B50F9">
      <w:pPr>
        <w:spacing w:before="120" w:after="0"/>
      </w:pPr>
    </w:p>
    <w:p w14:paraId="5DD6EB57" w14:textId="190F5674" w:rsidR="00601D0C" w:rsidRDefault="00601D0C" w:rsidP="00601D0C">
      <w:pPr>
        <w:spacing w:before="120" w:after="0"/>
      </w:pPr>
    </w:p>
    <w:p w14:paraId="19FFBBFE" w14:textId="02DBCF73" w:rsidR="000F2EEE" w:rsidRDefault="000F2EEE" w:rsidP="00DC2FA1">
      <w:pPr>
        <w:rPr>
          <w:i/>
          <w:sz w:val="20"/>
        </w:rPr>
      </w:pPr>
    </w:p>
    <w:p w14:paraId="45B22FE4" w14:textId="439E38CB" w:rsidR="000F2EEE" w:rsidRDefault="002826F8" w:rsidP="002826F8">
      <w:pPr>
        <w:pBdr>
          <w:top w:val="single" w:sz="4" w:space="1" w:color="365F91"/>
          <w:left w:val="single" w:sz="4" w:space="4" w:color="365F91"/>
          <w:bottom w:val="single" w:sz="4" w:space="1" w:color="365F91"/>
          <w:right w:val="single" w:sz="4" w:space="4" w:color="365F91"/>
        </w:pBdr>
        <w:rPr>
          <w:i/>
          <w:color w:val="365F91"/>
          <w:sz w:val="28"/>
          <w:szCs w:val="28"/>
        </w:rPr>
      </w:pPr>
      <w:bookmarkStart w:id="1" w:name="_Hlk18320127"/>
      <w:r w:rsidRPr="002826F8">
        <w:rPr>
          <w:i/>
          <w:color w:val="365F91"/>
          <w:sz w:val="28"/>
          <w:szCs w:val="28"/>
        </w:rPr>
        <w:t>Avvertenze</w:t>
      </w:r>
    </w:p>
    <w:p w14:paraId="3A43D9D8" w14:textId="14BEE4DE" w:rsidR="00BD207E" w:rsidRDefault="00932BAA" w:rsidP="00DF3F49">
      <w:pPr>
        <w:pStyle w:val="Testonotaapidipagina"/>
        <w:pBdr>
          <w:top w:val="single" w:sz="4" w:space="1" w:color="365F91"/>
          <w:left w:val="single" w:sz="4" w:space="4" w:color="365F91"/>
          <w:bottom w:val="single" w:sz="4" w:space="1" w:color="365F91"/>
          <w:right w:val="single" w:sz="4" w:space="4" w:color="365F91"/>
        </w:pBdr>
        <w:tabs>
          <w:tab w:val="left" w:pos="6521"/>
        </w:tabs>
        <w:rPr>
          <w:b/>
          <w:i/>
        </w:rPr>
      </w:pPr>
      <w:r>
        <w:rPr>
          <w:b/>
          <w:i/>
        </w:rPr>
        <w:t xml:space="preserve">I </w:t>
      </w:r>
      <w:r w:rsidR="00DF3F49" w:rsidRPr="00DF3F49">
        <w:rPr>
          <w:b/>
          <w:i/>
        </w:rPr>
        <w:t xml:space="preserve">dati </w:t>
      </w:r>
      <w:r w:rsidR="00366D38">
        <w:rPr>
          <w:b/>
          <w:i/>
        </w:rPr>
        <w:t xml:space="preserve">utilizzati </w:t>
      </w:r>
      <w:r w:rsidR="00590199">
        <w:rPr>
          <w:b/>
          <w:i/>
        </w:rPr>
        <w:t xml:space="preserve">nel presente lavoro e </w:t>
      </w:r>
      <w:r w:rsidR="00DF3F49" w:rsidRPr="00DF3F49">
        <w:rPr>
          <w:b/>
          <w:i/>
        </w:rPr>
        <w:t>relativi</w:t>
      </w:r>
      <w:r w:rsidR="007E028B">
        <w:rPr>
          <w:b/>
          <w:i/>
        </w:rPr>
        <w:t>, in particolare,</w:t>
      </w:r>
      <w:r w:rsidR="00DF3F49" w:rsidRPr="00DF3F49">
        <w:rPr>
          <w:b/>
          <w:i/>
        </w:rPr>
        <w:t xml:space="preserve"> </w:t>
      </w:r>
      <w:r w:rsidR="003131E9">
        <w:rPr>
          <w:b/>
          <w:i/>
        </w:rPr>
        <w:t>a</w:t>
      </w:r>
      <w:r w:rsidR="00DF3F49" w:rsidRPr="00DF3F49">
        <w:rPr>
          <w:b/>
          <w:i/>
        </w:rPr>
        <w:t xml:space="preserve">l numero </w:t>
      </w:r>
      <w:r w:rsidR="008C3464">
        <w:rPr>
          <w:b/>
          <w:i/>
        </w:rPr>
        <w:t>di</w:t>
      </w:r>
      <w:r w:rsidR="00DF3F49" w:rsidRPr="00DF3F49">
        <w:rPr>
          <w:b/>
          <w:i/>
        </w:rPr>
        <w:t xml:space="preserve"> aziende agricole, superfici, forze lavoro e unità di bestiame, </w:t>
      </w:r>
      <w:r w:rsidR="006167D2">
        <w:rPr>
          <w:b/>
          <w:i/>
        </w:rPr>
        <w:t>fanno</w:t>
      </w:r>
      <w:r w:rsidR="00DF3F49" w:rsidRPr="00DF3F49">
        <w:rPr>
          <w:b/>
          <w:i/>
        </w:rPr>
        <w:t xml:space="preserve"> riferimento </w:t>
      </w:r>
      <w:r w:rsidR="006167D2">
        <w:rPr>
          <w:b/>
          <w:i/>
        </w:rPr>
        <w:t>alle statistiche ufficiali</w:t>
      </w:r>
      <w:r w:rsidR="00DF3F49" w:rsidRPr="00DF3F49">
        <w:rPr>
          <w:b/>
          <w:i/>
        </w:rPr>
        <w:t xml:space="preserve"> re</w:t>
      </w:r>
      <w:r w:rsidR="00BB371F">
        <w:rPr>
          <w:b/>
          <w:i/>
        </w:rPr>
        <w:t>se</w:t>
      </w:r>
      <w:r w:rsidR="00DF3F49" w:rsidRPr="00DF3F49">
        <w:rPr>
          <w:b/>
          <w:i/>
        </w:rPr>
        <w:t xml:space="preserve"> disponibili da </w:t>
      </w:r>
      <w:r w:rsidR="000656F5">
        <w:rPr>
          <w:b/>
          <w:i/>
        </w:rPr>
        <w:t>Istat</w:t>
      </w:r>
      <w:r w:rsidR="00BD207E">
        <w:rPr>
          <w:b/>
          <w:i/>
        </w:rPr>
        <w:t xml:space="preserve">. </w:t>
      </w:r>
      <w:r w:rsidR="005447EF">
        <w:rPr>
          <w:b/>
          <w:i/>
        </w:rPr>
        <w:t>Le altre fonti statistiche utilizzate</w:t>
      </w:r>
      <w:r w:rsidR="00BB371F">
        <w:rPr>
          <w:b/>
          <w:i/>
        </w:rPr>
        <w:t xml:space="preserve"> nel lavoro</w:t>
      </w:r>
      <w:r w:rsidR="005447EF">
        <w:rPr>
          <w:b/>
          <w:i/>
        </w:rPr>
        <w:t xml:space="preserve"> sono la </w:t>
      </w:r>
      <w:r w:rsidR="00580CCA">
        <w:rPr>
          <w:b/>
          <w:i/>
        </w:rPr>
        <w:t xml:space="preserve">banca dati RICA e </w:t>
      </w:r>
      <w:r w:rsidR="00C54716">
        <w:rPr>
          <w:b/>
          <w:i/>
        </w:rPr>
        <w:t xml:space="preserve">gli archivi amministrativi </w:t>
      </w:r>
      <w:proofErr w:type="spellStart"/>
      <w:r w:rsidR="00C54716">
        <w:rPr>
          <w:b/>
          <w:i/>
        </w:rPr>
        <w:t>Movimprese</w:t>
      </w:r>
      <w:proofErr w:type="spellEnd"/>
      <w:r w:rsidR="00C54716">
        <w:rPr>
          <w:b/>
          <w:i/>
        </w:rPr>
        <w:t>-Infocamere.</w:t>
      </w:r>
      <w:r w:rsidR="004C7092">
        <w:rPr>
          <w:b/>
          <w:i/>
        </w:rPr>
        <w:t xml:space="preserve"> </w:t>
      </w:r>
    </w:p>
    <w:p w14:paraId="27F59D96" w14:textId="08D47F51" w:rsidR="00DF3F49" w:rsidRDefault="004B726A" w:rsidP="00DF3F49">
      <w:pPr>
        <w:pStyle w:val="Testonotaapidipagina"/>
        <w:pBdr>
          <w:top w:val="single" w:sz="4" w:space="1" w:color="365F91"/>
          <w:left w:val="single" w:sz="4" w:space="4" w:color="365F91"/>
          <w:bottom w:val="single" w:sz="4" w:space="1" w:color="365F91"/>
          <w:right w:val="single" w:sz="4" w:space="4" w:color="365F91"/>
        </w:pBdr>
        <w:tabs>
          <w:tab w:val="left" w:pos="6521"/>
        </w:tabs>
        <w:rPr>
          <w:b/>
          <w:i/>
        </w:rPr>
      </w:pPr>
      <w:r>
        <w:rPr>
          <w:b/>
          <w:i/>
        </w:rPr>
        <w:t>Al fine di</w:t>
      </w:r>
      <w:r w:rsidR="003A63CF" w:rsidRPr="00DF3F49">
        <w:rPr>
          <w:b/>
          <w:i/>
        </w:rPr>
        <w:t xml:space="preserve"> </w:t>
      </w:r>
      <w:r w:rsidR="003A63CF">
        <w:rPr>
          <w:b/>
          <w:i/>
        </w:rPr>
        <w:t xml:space="preserve">garantire la dovuta </w:t>
      </w:r>
      <w:r w:rsidR="003A63CF" w:rsidRPr="00DF3F49">
        <w:rPr>
          <w:b/>
          <w:i/>
        </w:rPr>
        <w:t xml:space="preserve">coerenza con la definizione degli indicatori comuni e con il trattamento dei dati </w:t>
      </w:r>
      <w:r w:rsidR="009263BC">
        <w:rPr>
          <w:b/>
          <w:i/>
        </w:rPr>
        <w:t>proposto</w:t>
      </w:r>
      <w:r w:rsidR="009263BC" w:rsidRPr="00DF3F49">
        <w:rPr>
          <w:b/>
          <w:i/>
        </w:rPr>
        <w:t xml:space="preserve"> </w:t>
      </w:r>
      <w:r w:rsidR="003A63CF" w:rsidRPr="00DF3F49">
        <w:rPr>
          <w:b/>
          <w:i/>
        </w:rPr>
        <w:t>dai Servizi della Commissione nella stesura dell’</w:t>
      </w:r>
      <w:proofErr w:type="spellStart"/>
      <w:r w:rsidR="003A63CF" w:rsidRPr="00DF3F49">
        <w:rPr>
          <w:b/>
          <w:i/>
        </w:rPr>
        <w:t>Analytical</w:t>
      </w:r>
      <w:proofErr w:type="spellEnd"/>
      <w:r w:rsidR="003A63CF" w:rsidRPr="00DF3F49">
        <w:rPr>
          <w:b/>
          <w:i/>
        </w:rPr>
        <w:t xml:space="preserve"> </w:t>
      </w:r>
      <w:proofErr w:type="spellStart"/>
      <w:r w:rsidR="003A63CF" w:rsidRPr="00DF3F49">
        <w:rPr>
          <w:b/>
          <w:i/>
        </w:rPr>
        <w:t>Factsheet</w:t>
      </w:r>
      <w:proofErr w:type="spellEnd"/>
      <w:r w:rsidR="003A63CF" w:rsidRPr="00DF3F49">
        <w:rPr>
          <w:b/>
          <w:i/>
        </w:rPr>
        <w:t xml:space="preserve"> per l’Italia</w:t>
      </w:r>
      <w:r w:rsidR="001E6695">
        <w:rPr>
          <w:b/>
          <w:i/>
        </w:rPr>
        <w:t xml:space="preserve">, si è ritenuto opportuno </w:t>
      </w:r>
      <w:r w:rsidR="00236689">
        <w:rPr>
          <w:b/>
          <w:i/>
        </w:rPr>
        <w:t xml:space="preserve">fare ricorso alle statistiche </w:t>
      </w:r>
      <w:r w:rsidR="001B5E89">
        <w:rPr>
          <w:b/>
          <w:i/>
        </w:rPr>
        <w:t>offerte dal</w:t>
      </w:r>
      <w:r w:rsidR="005E4675">
        <w:rPr>
          <w:b/>
          <w:i/>
        </w:rPr>
        <w:t>l</w:t>
      </w:r>
      <w:r w:rsidR="00952B0A">
        <w:rPr>
          <w:b/>
          <w:i/>
        </w:rPr>
        <w:t>’Eurostat</w:t>
      </w:r>
      <w:r w:rsidR="001B5E89">
        <w:rPr>
          <w:b/>
          <w:i/>
        </w:rPr>
        <w:t xml:space="preserve"> </w:t>
      </w:r>
      <w:r w:rsidR="001B5E89" w:rsidRPr="00DF3F49">
        <w:rPr>
          <w:b/>
          <w:i/>
        </w:rPr>
        <w:t xml:space="preserve">(Farm </w:t>
      </w:r>
      <w:proofErr w:type="spellStart"/>
      <w:r w:rsidR="001B5E89" w:rsidRPr="00DF3F49">
        <w:rPr>
          <w:b/>
          <w:i/>
        </w:rPr>
        <w:t>structure</w:t>
      </w:r>
      <w:proofErr w:type="spellEnd"/>
      <w:r w:rsidR="001B5E89" w:rsidRPr="00DF3F49">
        <w:rPr>
          <w:b/>
          <w:i/>
        </w:rPr>
        <w:t xml:space="preserve"> survey - FSS)</w:t>
      </w:r>
      <w:r w:rsidR="001B5E89">
        <w:rPr>
          <w:b/>
          <w:i/>
        </w:rPr>
        <w:t xml:space="preserve">. Tale opzione garantisce </w:t>
      </w:r>
      <w:r w:rsidR="008C55CE">
        <w:rPr>
          <w:b/>
          <w:i/>
        </w:rPr>
        <w:t xml:space="preserve">altresì </w:t>
      </w:r>
      <w:r w:rsidR="001B5E89">
        <w:rPr>
          <w:b/>
          <w:i/>
        </w:rPr>
        <w:t xml:space="preserve">la confrontabilità </w:t>
      </w:r>
      <w:r w:rsidR="00F9515E">
        <w:rPr>
          <w:b/>
          <w:i/>
        </w:rPr>
        <w:t xml:space="preserve">degli </w:t>
      </w:r>
      <w:r w:rsidR="001B5E89">
        <w:rPr>
          <w:b/>
          <w:i/>
        </w:rPr>
        <w:t>indicator</w:t>
      </w:r>
      <w:r w:rsidR="00F9515E">
        <w:rPr>
          <w:b/>
          <w:i/>
        </w:rPr>
        <w:t>i</w:t>
      </w:r>
      <w:r w:rsidR="001B5E89">
        <w:rPr>
          <w:b/>
          <w:i/>
        </w:rPr>
        <w:t xml:space="preserve"> con gli altri Stati membri. </w:t>
      </w:r>
      <w:r w:rsidR="00DF3F49" w:rsidRPr="00DF3F49">
        <w:rPr>
          <w:b/>
          <w:i/>
        </w:rPr>
        <w:t>Si fa presente</w:t>
      </w:r>
      <w:r w:rsidR="001B5E89">
        <w:rPr>
          <w:b/>
          <w:i/>
        </w:rPr>
        <w:t>, tuttavia,</w:t>
      </w:r>
      <w:r w:rsidR="00DF3F49" w:rsidRPr="00DF3F49">
        <w:rPr>
          <w:b/>
          <w:i/>
        </w:rPr>
        <w:t xml:space="preserve"> che per il 2013 i dati Eurostat per l’Italia fanno riferimento a un universo più ridotto che esclude le aziende più piccole</w:t>
      </w:r>
      <w:r w:rsidR="006C2759">
        <w:rPr>
          <w:b/>
          <w:i/>
        </w:rPr>
        <w:t xml:space="preserve"> (</w:t>
      </w:r>
      <w:r w:rsidR="00017E72">
        <w:rPr>
          <w:b/>
          <w:i/>
        </w:rPr>
        <w:t xml:space="preserve">c.d. </w:t>
      </w:r>
      <w:r w:rsidR="006C2759">
        <w:rPr>
          <w:b/>
          <w:i/>
        </w:rPr>
        <w:t>universo UE)</w:t>
      </w:r>
      <w:r w:rsidR="003512AA">
        <w:rPr>
          <w:b/>
          <w:i/>
        </w:rPr>
        <w:t>, pertanto,</w:t>
      </w:r>
      <w:r w:rsidR="00DF3F49" w:rsidRPr="00DF3F49">
        <w:rPr>
          <w:b/>
          <w:i/>
        </w:rPr>
        <w:t xml:space="preserve"> </w:t>
      </w:r>
      <w:r w:rsidR="009F6B5D" w:rsidRPr="009F6B5D">
        <w:rPr>
          <w:b/>
          <w:i/>
        </w:rPr>
        <w:t>non sono confrontabili con quelli Istat delle Strutture delle produzioni agricole (SPA) riferiti al</w:t>
      </w:r>
      <w:r w:rsidR="001955ED">
        <w:rPr>
          <w:b/>
          <w:i/>
        </w:rPr>
        <w:t xml:space="preserve"> </w:t>
      </w:r>
      <w:r w:rsidR="009F6B5D" w:rsidRPr="009F6B5D">
        <w:rPr>
          <w:b/>
          <w:i/>
        </w:rPr>
        <w:t>medesimo anno</w:t>
      </w:r>
      <w:r w:rsidR="00716B60">
        <w:rPr>
          <w:b/>
          <w:i/>
        </w:rPr>
        <w:t>,</w:t>
      </w:r>
      <w:r w:rsidR="001955ED">
        <w:rPr>
          <w:b/>
          <w:i/>
        </w:rPr>
        <w:t xml:space="preserve"> pubblicati nel sito dati.istat.it</w:t>
      </w:r>
      <w:r w:rsidR="006C2759">
        <w:rPr>
          <w:b/>
          <w:i/>
        </w:rPr>
        <w:t>;</w:t>
      </w:r>
      <w:r w:rsidR="009F6B5D" w:rsidRPr="009F6B5D">
        <w:rPr>
          <w:b/>
          <w:i/>
        </w:rPr>
        <w:t xml:space="preserve"> né </w:t>
      </w:r>
      <w:r w:rsidR="006C2759">
        <w:rPr>
          <w:b/>
          <w:i/>
        </w:rPr>
        <w:t xml:space="preserve">sono confrontabili </w:t>
      </w:r>
      <w:r w:rsidR="009F6B5D" w:rsidRPr="009F6B5D">
        <w:rPr>
          <w:b/>
          <w:i/>
        </w:rPr>
        <w:t>con i dati censuari del 2010</w:t>
      </w:r>
      <w:r w:rsidR="001955ED">
        <w:rPr>
          <w:b/>
          <w:i/>
        </w:rPr>
        <w:t xml:space="preserve">, pubblicati </w:t>
      </w:r>
      <w:r w:rsidR="006C2759">
        <w:rPr>
          <w:b/>
          <w:i/>
        </w:rPr>
        <w:t xml:space="preserve">sia </w:t>
      </w:r>
      <w:r w:rsidR="00716B60">
        <w:rPr>
          <w:b/>
          <w:i/>
        </w:rPr>
        <w:t>in</w:t>
      </w:r>
      <w:r w:rsidR="006C2759">
        <w:rPr>
          <w:b/>
          <w:i/>
        </w:rPr>
        <w:t xml:space="preserve"> Eurostat sia </w:t>
      </w:r>
      <w:r w:rsidR="001955ED">
        <w:rPr>
          <w:b/>
          <w:i/>
        </w:rPr>
        <w:t>in dati.istat.it</w:t>
      </w:r>
      <w:r w:rsidR="009F6B5D" w:rsidRPr="009F6B5D">
        <w:rPr>
          <w:b/>
          <w:i/>
        </w:rPr>
        <w:t>; l’indagine Istat del 2016 ha invece la stessa copertura statistica del dato Eurostat 2013</w:t>
      </w:r>
      <w:r w:rsidR="006C2759">
        <w:rPr>
          <w:b/>
          <w:i/>
        </w:rPr>
        <w:t xml:space="preserve"> (universo UE)</w:t>
      </w:r>
      <w:r w:rsidR="00DF3F49" w:rsidRPr="00DF3F49">
        <w:rPr>
          <w:b/>
          <w:i/>
        </w:rPr>
        <w:t xml:space="preserve">. </w:t>
      </w:r>
      <w:r w:rsidR="002E6010">
        <w:rPr>
          <w:b/>
          <w:i/>
        </w:rPr>
        <w:t>Cfr. i</w:t>
      </w:r>
      <w:r w:rsidR="00491E52">
        <w:rPr>
          <w:b/>
          <w:i/>
        </w:rPr>
        <w:t>l paragrafo</w:t>
      </w:r>
      <w:r w:rsidR="002E6010">
        <w:rPr>
          <w:b/>
          <w:i/>
        </w:rPr>
        <w:t xml:space="preserve"> </w:t>
      </w:r>
      <w:r w:rsidR="00491E52">
        <w:rPr>
          <w:b/>
          <w:i/>
        </w:rPr>
        <w:t>C</w:t>
      </w:r>
      <w:r w:rsidR="002E6010">
        <w:rPr>
          <w:b/>
          <w:i/>
        </w:rPr>
        <w:t>enni metodologici alla fine del documento.</w:t>
      </w:r>
      <w:r w:rsidR="00DF3F49" w:rsidRPr="00DF3F49">
        <w:rPr>
          <w:b/>
          <w:i/>
        </w:rPr>
        <w:t xml:space="preserve"> </w:t>
      </w:r>
    </w:p>
    <w:p w14:paraId="5B10FED6" w14:textId="77777777" w:rsidR="00932BAA" w:rsidRPr="00DF3F49" w:rsidRDefault="00932BAA" w:rsidP="00DF3F49">
      <w:pPr>
        <w:pStyle w:val="Testonotaapidipagina"/>
        <w:pBdr>
          <w:top w:val="single" w:sz="4" w:space="1" w:color="365F91"/>
          <w:left w:val="single" w:sz="4" w:space="4" w:color="365F91"/>
          <w:bottom w:val="single" w:sz="4" w:space="1" w:color="365F91"/>
          <w:right w:val="single" w:sz="4" w:space="4" w:color="365F91"/>
        </w:pBdr>
        <w:tabs>
          <w:tab w:val="left" w:pos="6521"/>
        </w:tabs>
        <w:rPr>
          <w:b/>
          <w:i/>
        </w:rPr>
      </w:pPr>
    </w:p>
    <w:p w14:paraId="61A61702" w14:textId="0C30552F" w:rsidR="002826F8" w:rsidRPr="00DF3F49" w:rsidRDefault="002826F8" w:rsidP="002826F8">
      <w:pPr>
        <w:pStyle w:val="Testonotaapidipagina"/>
        <w:pBdr>
          <w:top w:val="single" w:sz="4" w:space="1" w:color="365F91"/>
          <w:left w:val="single" w:sz="4" w:space="4" w:color="365F91"/>
          <w:bottom w:val="single" w:sz="4" w:space="1" w:color="365F91"/>
          <w:right w:val="single" w:sz="4" w:space="4" w:color="365F91"/>
        </w:pBdr>
        <w:tabs>
          <w:tab w:val="left" w:pos="6521"/>
        </w:tabs>
        <w:rPr>
          <w:b/>
          <w:i/>
        </w:rPr>
      </w:pPr>
      <w:r w:rsidRPr="00DF3F49">
        <w:rPr>
          <w:b/>
          <w:i/>
        </w:rPr>
        <w:t xml:space="preserve">Per l’individuazione degli indicatori correlati agli obiettivi specifici si è fatto riferimento all’Allegato 1 alla Proposta di Regolamento sul sostegno ai </w:t>
      </w:r>
      <w:r w:rsidR="00F9515E">
        <w:rPr>
          <w:b/>
          <w:i/>
        </w:rPr>
        <w:t>P</w:t>
      </w:r>
      <w:r w:rsidRPr="00DF3F49">
        <w:rPr>
          <w:b/>
          <w:i/>
        </w:rPr>
        <w:t>iani strategici della PAC COM (2018) 392 finale, mentre le indicazioni metodologiche della Commissione sugli indicatori sono contenute nei seguenti documenti:</w:t>
      </w:r>
    </w:p>
    <w:p w14:paraId="3BCD8384" w14:textId="05A56A81" w:rsidR="002826F8" w:rsidRPr="00DF3F49" w:rsidRDefault="00DF3F49" w:rsidP="00052C52">
      <w:pPr>
        <w:pStyle w:val="Testonotaapidipagina"/>
        <w:numPr>
          <w:ilvl w:val="0"/>
          <w:numId w:val="7"/>
        </w:numPr>
        <w:pBdr>
          <w:top w:val="single" w:sz="4" w:space="1" w:color="365F91"/>
          <w:left w:val="single" w:sz="4" w:space="4" w:color="365F91"/>
          <w:bottom w:val="single" w:sz="4" w:space="1" w:color="365F91"/>
          <w:right w:val="single" w:sz="4" w:space="4" w:color="365F91"/>
        </w:pBdr>
        <w:tabs>
          <w:tab w:val="left" w:pos="6521"/>
        </w:tabs>
        <w:rPr>
          <w:b/>
          <w:i/>
          <w:lang w:val="en-GB"/>
        </w:rPr>
      </w:pPr>
      <w:r w:rsidRPr="00DF3F49">
        <w:rPr>
          <w:b/>
          <w:i/>
          <w:lang w:val="en-GB"/>
        </w:rPr>
        <w:t>p</w:t>
      </w:r>
      <w:r w:rsidR="002826F8" w:rsidRPr="00DF3F49">
        <w:rPr>
          <w:b/>
          <w:i/>
          <w:lang w:val="en-GB"/>
        </w:rPr>
        <w:t xml:space="preserve">er </w:t>
      </w:r>
      <w:proofErr w:type="spellStart"/>
      <w:r w:rsidR="002826F8" w:rsidRPr="00DF3F49">
        <w:rPr>
          <w:b/>
          <w:i/>
          <w:lang w:val="en-GB"/>
        </w:rPr>
        <w:t>gli</w:t>
      </w:r>
      <w:proofErr w:type="spellEnd"/>
      <w:r w:rsidR="002826F8" w:rsidRPr="00DF3F49">
        <w:rPr>
          <w:b/>
          <w:i/>
          <w:lang w:val="en-GB"/>
        </w:rPr>
        <w:t xml:space="preserve"> </w:t>
      </w:r>
      <w:proofErr w:type="spellStart"/>
      <w:r w:rsidR="002826F8" w:rsidRPr="00567A35">
        <w:rPr>
          <w:b/>
          <w:i/>
          <w:u w:val="single"/>
          <w:lang w:val="en-GB"/>
        </w:rPr>
        <w:t>indicatori</w:t>
      </w:r>
      <w:proofErr w:type="spellEnd"/>
      <w:r w:rsidR="002826F8" w:rsidRPr="00567A35">
        <w:rPr>
          <w:b/>
          <w:i/>
          <w:u w:val="single"/>
          <w:lang w:val="en-GB"/>
        </w:rPr>
        <w:t xml:space="preserve"> di </w:t>
      </w:r>
      <w:proofErr w:type="spellStart"/>
      <w:r w:rsidR="002826F8" w:rsidRPr="00567A35">
        <w:rPr>
          <w:b/>
          <w:i/>
          <w:u w:val="single"/>
          <w:lang w:val="en-GB"/>
        </w:rPr>
        <w:t>contesto</w:t>
      </w:r>
      <w:proofErr w:type="spellEnd"/>
      <w:r w:rsidR="002826F8" w:rsidRPr="00567A35">
        <w:rPr>
          <w:b/>
          <w:i/>
          <w:u w:val="single"/>
          <w:lang w:val="en-GB"/>
        </w:rPr>
        <w:t xml:space="preserve"> e </w:t>
      </w:r>
      <w:proofErr w:type="spellStart"/>
      <w:r w:rsidR="002826F8" w:rsidRPr="00567A35">
        <w:rPr>
          <w:b/>
          <w:i/>
          <w:u w:val="single"/>
          <w:lang w:val="en-GB"/>
        </w:rPr>
        <w:t>impatto</w:t>
      </w:r>
      <w:proofErr w:type="spellEnd"/>
      <w:r w:rsidR="002826F8" w:rsidRPr="00DF3F49">
        <w:rPr>
          <w:b/>
          <w:i/>
          <w:lang w:val="en-GB"/>
        </w:rPr>
        <w:t>: Working Document WK 2051/2019 ADD 1 “Draft list of context and impact indicators for the Performance Monitoring and Evaluation Framework” presented by the Commission to the Working Party on Horizontal Agricultural Questions (CAP reform) on 13 February 2019;</w:t>
      </w:r>
    </w:p>
    <w:p w14:paraId="563B25FC" w14:textId="5B681944" w:rsidR="002826F8" w:rsidRPr="00DF3F49" w:rsidRDefault="00DF3F49" w:rsidP="00052C52">
      <w:pPr>
        <w:pStyle w:val="Testonotaapidipagina"/>
        <w:numPr>
          <w:ilvl w:val="0"/>
          <w:numId w:val="7"/>
        </w:numPr>
        <w:pBdr>
          <w:top w:val="single" w:sz="4" w:space="1" w:color="365F91"/>
          <w:left w:val="single" w:sz="4" w:space="4" w:color="365F91"/>
          <w:bottom w:val="single" w:sz="4" w:space="1" w:color="365F91"/>
          <w:right w:val="single" w:sz="4" w:space="4" w:color="365F91"/>
        </w:pBdr>
        <w:tabs>
          <w:tab w:val="left" w:pos="6521"/>
        </w:tabs>
        <w:rPr>
          <w:b/>
          <w:i/>
          <w:color w:val="000000" w:themeColor="text1"/>
          <w:lang w:val="en-GB"/>
        </w:rPr>
      </w:pPr>
      <w:r w:rsidRPr="00DF3F49">
        <w:rPr>
          <w:b/>
          <w:i/>
          <w:color w:val="000000" w:themeColor="text1"/>
          <w:lang w:val="en-GB"/>
        </w:rPr>
        <w:t>p</w:t>
      </w:r>
      <w:r w:rsidR="002826F8" w:rsidRPr="00DF3F49">
        <w:rPr>
          <w:b/>
          <w:i/>
          <w:color w:val="000000" w:themeColor="text1"/>
          <w:lang w:val="en-GB"/>
        </w:rPr>
        <w:t xml:space="preserve">er </w:t>
      </w:r>
      <w:proofErr w:type="spellStart"/>
      <w:r w:rsidR="002826F8" w:rsidRPr="00DF3F49">
        <w:rPr>
          <w:b/>
          <w:i/>
          <w:color w:val="000000" w:themeColor="text1"/>
          <w:lang w:val="en-GB"/>
        </w:rPr>
        <w:t>gli</w:t>
      </w:r>
      <w:proofErr w:type="spellEnd"/>
      <w:r w:rsidR="002826F8" w:rsidRPr="00DF3F49">
        <w:rPr>
          <w:b/>
          <w:i/>
          <w:color w:val="000000" w:themeColor="text1"/>
          <w:lang w:val="en-GB"/>
        </w:rPr>
        <w:t xml:space="preserve"> </w:t>
      </w:r>
      <w:proofErr w:type="spellStart"/>
      <w:r w:rsidR="002826F8" w:rsidRPr="00567A35">
        <w:rPr>
          <w:b/>
          <w:i/>
          <w:color w:val="000000" w:themeColor="text1"/>
          <w:u w:val="single"/>
          <w:lang w:val="en-GB"/>
        </w:rPr>
        <w:t>indicatori</w:t>
      </w:r>
      <w:proofErr w:type="spellEnd"/>
      <w:r w:rsidR="002826F8" w:rsidRPr="00567A35">
        <w:rPr>
          <w:b/>
          <w:i/>
          <w:color w:val="000000" w:themeColor="text1"/>
          <w:u w:val="single"/>
          <w:lang w:val="en-GB"/>
        </w:rPr>
        <w:t xml:space="preserve"> di </w:t>
      </w:r>
      <w:proofErr w:type="spellStart"/>
      <w:r w:rsidR="002826F8" w:rsidRPr="00567A35">
        <w:rPr>
          <w:b/>
          <w:i/>
          <w:color w:val="000000" w:themeColor="text1"/>
          <w:u w:val="single"/>
          <w:lang w:val="en-GB"/>
        </w:rPr>
        <w:t>risultato</w:t>
      </w:r>
      <w:proofErr w:type="spellEnd"/>
      <w:r w:rsidR="002826F8" w:rsidRPr="00567A35">
        <w:rPr>
          <w:b/>
          <w:i/>
          <w:color w:val="000000" w:themeColor="text1"/>
          <w:u w:val="single"/>
          <w:lang w:val="en-GB"/>
        </w:rPr>
        <w:t xml:space="preserve"> (e di output)</w:t>
      </w:r>
      <w:r w:rsidR="002826F8" w:rsidRPr="00DF3F49">
        <w:rPr>
          <w:b/>
          <w:i/>
          <w:color w:val="000000" w:themeColor="text1"/>
          <w:lang w:val="en-GB"/>
        </w:rPr>
        <w:t>: Working Document WK 4812/2019 INIT “Fiches on output and result indicators” presented by the Commission to the Working Party on Horizontal Agricultural Questions (CAP reform) on 08 April 2019.</w:t>
      </w:r>
    </w:p>
    <w:p w14:paraId="4B89CE03" w14:textId="530A91F0" w:rsidR="000F2EEE" w:rsidRPr="00DF3F49" w:rsidRDefault="002826F8" w:rsidP="00DF3F49">
      <w:pPr>
        <w:pStyle w:val="Testonotaapidipagina"/>
        <w:pBdr>
          <w:top w:val="single" w:sz="4" w:space="1" w:color="365F91"/>
          <w:left w:val="single" w:sz="4" w:space="4" w:color="365F91"/>
          <w:bottom w:val="single" w:sz="4" w:space="1" w:color="365F91"/>
          <w:right w:val="single" w:sz="4" w:space="4" w:color="365F91"/>
        </w:pBdr>
        <w:tabs>
          <w:tab w:val="left" w:pos="6521"/>
        </w:tabs>
        <w:rPr>
          <w:b/>
          <w:i/>
        </w:rPr>
      </w:pPr>
      <w:r w:rsidRPr="00DF3F49">
        <w:rPr>
          <w:b/>
          <w:i/>
        </w:rPr>
        <w:t xml:space="preserve">Nel presente documento si utilizza la numerazione degli indicatori del PMEF. La corrispondenza con gli indicatori che fanno parte anche dell’attuale CMEF è riportata </w:t>
      </w:r>
      <w:r w:rsidR="00567A35">
        <w:rPr>
          <w:b/>
          <w:i/>
        </w:rPr>
        <w:t>nell’allegato I</w:t>
      </w:r>
      <w:r w:rsidRPr="00DF3F49">
        <w:rPr>
          <w:b/>
          <w:i/>
        </w:rPr>
        <w:t>.</w:t>
      </w:r>
    </w:p>
    <w:bookmarkEnd w:id="1"/>
    <w:p w14:paraId="0DF6C6DA" w14:textId="6E5CACFA" w:rsidR="00D94CBA" w:rsidRDefault="00BF33A8" w:rsidP="004317FB">
      <w:pPr>
        <w:pStyle w:val="Fontetabellagrafico"/>
        <w:spacing w:before="60"/>
      </w:pPr>
      <w:r>
        <w:rPr>
          <w:sz w:val="20"/>
          <w:szCs w:val="20"/>
        </w:rPr>
        <w:t>a.</w:t>
      </w:r>
      <w:r w:rsidR="00D94CBA">
        <w:br w:type="page"/>
      </w:r>
    </w:p>
    <w:p w14:paraId="18303FF6" w14:textId="679C371E" w:rsidR="00554B1A" w:rsidRPr="00AB669C" w:rsidRDefault="00436401" w:rsidP="00975484">
      <w:pPr>
        <w:pStyle w:val="Titolo2"/>
        <w:numPr>
          <w:ilvl w:val="0"/>
          <w:numId w:val="1"/>
        </w:numPr>
      </w:pPr>
      <w:bookmarkStart w:id="2" w:name="_Toc12968097"/>
      <w:bookmarkStart w:id="3" w:name="_Toc56585247"/>
      <w:r w:rsidRPr="00AB669C">
        <w:lastRenderedPageBreak/>
        <w:t>Aziende</w:t>
      </w:r>
      <w:bookmarkEnd w:id="2"/>
      <w:bookmarkEnd w:id="3"/>
    </w:p>
    <w:p w14:paraId="26F20E51" w14:textId="77777777" w:rsidR="00F24877" w:rsidRPr="00592716" w:rsidRDefault="00554B1A" w:rsidP="00052C52">
      <w:pPr>
        <w:pStyle w:val="Paragrafoelenco"/>
        <w:numPr>
          <w:ilvl w:val="0"/>
          <w:numId w:val="2"/>
        </w:numPr>
        <w:rPr>
          <w:color w:val="000000" w:themeColor="text1"/>
        </w:rPr>
      </w:pPr>
      <w:r w:rsidRPr="00592716">
        <w:rPr>
          <w:color w:val="000000" w:themeColor="text1"/>
        </w:rPr>
        <w:t xml:space="preserve">Secondo i dati </w:t>
      </w:r>
      <w:r w:rsidR="0039546B" w:rsidRPr="00592716">
        <w:rPr>
          <w:color w:val="000000" w:themeColor="text1"/>
        </w:rPr>
        <w:t>Istat</w:t>
      </w:r>
      <w:r w:rsidRPr="00592716">
        <w:rPr>
          <w:color w:val="000000" w:themeColor="text1"/>
        </w:rPr>
        <w:t>, al 2016 in Italia vi sono 1.145.680 aziende agricole pari all’11% del totale dell’UE a 28 (10.467.760 unità), distribuite su una superficie di 12.598.16</w:t>
      </w:r>
      <w:r w:rsidR="008C2EFB" w:rsidRPr="00592716">
        <w:rPr>
          <w:color w:val="000000" w:themeColor="text1"/>
        </w:rPr>
        <w:t>1</w:t>
      </w:r>
      <w:r w:rsidRPr="00592716">
        <w:rPr>
          <w:color w:val="000000" w:themeColor="text1"/>
        </w:rPr>
        <w:t xml:space="preserve"> ettari (7% del totale UE a 28). </w:t>
      </w:r>
      <w:r w:rsidR="00F24877" w:rsidRPr="00592716">
        <w:rPr>
          <w:color w:val="000000" w:themeColor="text1"/>
        </w:rPr>
        <w:t>Oltre la metà delle aziende agricole è localizzata nelle regioni meridionali (Nord: 24,5%; Centro: 15,6%; Sud e Isole: 59,9%).</w:t>
      </w:r>
    </w:p>
    <w:p w14:paraId="76EA0081" w14:textId="5F55B67B" w:rsidR="00554B1A" w:rsidRPr="00592716" w:rsidRDefault="00554B1A" w:rsidP="00052C52">
      <w:pPr>
        <w:pStyle w:val="Paragrafoelenco"/>
        <w:numPr>
          <w:ilvl w:val="0"/>
          <w:numId w:val="2"/>
        </w:numPr>
        <w:rPr>
          <w:color w:val="000000" w:themeColor="text1"/>
        </w:rPr>
      </w:pPr>
      <w:r w:rsidRPr="00592716">
        <w:rPr>
          <w:color w:val="000000" w:themeColor="text1"/>
        </w:rPr>
        <w:t>L’Italia rappresenta il terzo Stato membro in termini di numerosità di aziende dopo Polonia (13%) e Romania (33%), mentre in termini di SAU si colloca al sesto posto dopo Francia, Spagna, Germania, Regno Unito e Polonia.</w:t>
      </w:r>
    </w:p>
    <w:p w14:paraId="7CD35DC1" w14:textId="77777777" w:rsidR="00CF1013" w:rsidRPr="00592716" w:rsidRDefault="00CF1013" w:rsidP="00052C52">
      <w:pPr>
        <w:pStyle w:val="Paragrafoelenco"/>
        <w:numPr>
          <w:ilvl w:val="0"/>
          <w:numId w:val="2"/>
        </w:numPr>
        <w:rPr>
          <w:color w:val="000000" w:themeColor="text1"/>
        </w:rPr>
      </w:pPr>
      <w:r w:rsidRPr="00592716">
        <w:rPr>
          <w:color w:val="000000" w:themeColor="text1"/>
        </w:rPr>
        <w:t xml:space="preserve">Il settore agricolo italiano continua a essere caratterizzato da strutture di dimensioni ridotte: nel 2016, le aziende con meno di 5 ettari rappresentano il 62% del totale e coltivano appena l’8% della SAU nazionale mentre le grandi aziende, con SAU maggiore di 50 ettari, pur rappresentando solo il 4% del totale detengono il 43% circa della SAU. </w:t>
      </w:r>
    </w:p>
    <w:p w14:paraId="53C0B191" w14:textId="178CFCFD" w:rsidR="00CF1013" w:rsidRDefault="00CF1013" w:rsidP="00052C52">
      <w:pPr>
        <w:pStyle w:val="Paragrafoelenco"/>
        <w:numPr>
          <w:ilvl w:val="0"/>
          <w:numId w:val="2"/>
        </w:numPr>
        <w:rPr>
          <w:color w:val="000000" w:themeColor="text1"/>
        </w:rPr>
      </w:pPr>
      <w:r w:rsidRPr="00592716">
        <w:rPr>
          <w:color w:val="000000" w:themeColor="text1"/>
        </w:rPr>
        <w:t>La maggior parte delle aziende (77,5% del totale) è concentrata nella classe dimensionale di superficie compresa tra 1 e 10 ettari contro il 25% rilevato nella media UE</w:t>
      </w:r>
      <w:r w:rsidR="00036D12" w:rsidRPr="00592716">
        <w:rPr>
          <w:color w:val="000000" w:themeColor="text1"/>
        </w:rPr>
        <w:t>-</w:t>
      </w:r>
      <w:r w:rsidRPr="00592716">
        <w:rPr>
          <w:color w:val="000000" w:themeColor="text1"/>
        </w:rPr>
        <w:t xml:space="preserve">28. </w:t>
      </w:r>
    </w:p>
    <w:p w14:paraId="702C7587" w14:textId="08B3B32B" w:rsidR="006373FE" w:rsidRPr="006561B9" w:rsidRDefault="006373FE" w:rsidP="00052C52">
      <w:pPr>
        <w:pStyle w:val="Paragrafoelenco"/>
        <w:numPr>
          <w:ilvl w:val="0"/>
          <w:numId w:val="2"/>
        </w:numPr>
        <w:rPr>
          <w:color w:val="000000" w:themeColor="text1"/>
        </w:rPr>
      </w:pPr>
      <w:r>
        <w:rPr>
          <w:color w:val="000000" w:themeColor="text1"/>
        </w:rPr>
        <w:t xml:space="preserve">La valutazione </w:t>
      </w:r>
      <w:r w:rsidR="00803247">
        <w:rPr>
          <w:color w:val="000000" w:themeColor="text1"/>
        </w:rPr>
        <w:t>puntuale</w:t>
      </w:r>
      <w:r>
        <w:rPr>
          <w:color w:val="000000" w:themeColor="text1"/>
        </w:rPr>
        <w:t xml:space="preserve"> de</w:t>
      </w:r>
      <w:r w:rsidRPr="00A21E32">
        <w:rPr>
          <w:color w:val="000000" w:themeColor="text1"/>
        </w:rPr>
        <w:t xml:space="preserve">l processo di contrazione del numero delle aziende agricole </w:t>
      </w:r>
      <w:r>
        <w:rPr>
          <w:color w:val="000000" w:themeColor="text1"/>
        </w:rPr>
        <w:t xml:space="preserve">e della </w:t>
      </w:r>
      <w:r w:rsidR="00803247">
        <w:rPr>
          <w:color w:val="000000" w:themeColor="text1"/>
        </w:rPr>
        <w:t>SAU</w:t>
      </w:r>
      <w:r>
        <w:rPr>
          <w:color w:val="000000" w:themeColor="text1"/>
        </w:rPr>
        <w:t xml:space="preserve"> </w:t>
      </w:r>
      <w:r w:rsidR="00284CAC">
        <w:rPr>
          <w:color w:val="000000" w:themeColor="text1"/>
        </w:rPr>
        <w:t xml:space="preserve">tra il 2010 e il 2016 </w:t>
      </w:r>
      <w:r>
        <w:rPr>
          <w:color w:val="000000" w:themeColor="text1"/>
        </w:rPr>
        <w:t xml:space="preserve">è resa complessa </w:t>
      </w:r>
      <w:r w:rsidR="00284CAC">
        <w:rPr>
          <w:color w:val="000000" w:themeColor="text1"/>
        </w:rPr>
        <w:t xml:space="preserve">dalle variazioni nella copertura statistica dell’universo d’indagine </w:t>
      </w:r>
      <w:r w:rsidR="00803247">
        <w:rPr>
          <w:color w:val="000000" w:themeColor="text1"/>
        </w:rPr>
        <w:t>(cfr.  il capitolo</w:t>
      </w:r>
      <w:r w:rsidR="00284CAC">
        <w:rPr>
          <w:color w:val="000000" w:themeColor="text1"/>
        </w:rPr>
        <w:t xml:space="preserve"> Cenni metodologici</w:t>
      </w:r>
      <w:r w:rsidR="00F40C58">
        <w:rPr>
          <w:color w:val="000000" w:themeColor="text1"/>
        </w:rPr>
        <w:t>, PB 01</w:t>
      </w:r>
      <w:r w:rsidR="00803247">
        <w:rPr>
          <w:color w:val="000000" w:themeColor="text1"/>
        </w:rPr>
        <w:t>)</w:t>
      </w:r>
      <w:r w:rsidR="00432C51">
        <w:rPr>
          <w:color w:val="000000" w:themeColor="text1"/>
        </w:rPr>
        <w:t>.</w:t>
      </w:r>
      <w:r w:rsidR="00284CAC">
        <w:rPr>
          <w:color w:val="000000" w:themeColor="text1"/>
        </w:rPr>
        <w:t xml:space="preserve"> </w:t>
      </w:r>
      <w:r w:rsidR="0082281F" w:rsidRPr="00FB546D">
        <w:rPr>
          <w:color w:val="000000" w:themeColor="text1"/>
          <w:shd w:val="clear" w:color="auto" w:fill="FFFFFF" w:themeFill="background1"/>
        </w:rPr>
        <w:t>Secondo</w:t>
      </w:r>
      <w:r w:rsidR="00284CAC" w:rsidRPr="00FB546D">
        <w:rPr>
          <w:color w:val="000000" w:themeColor="text1"/>
          <w:shd w:val="clear" w:color="auto" w:fill="FFFFFF" w:themeFill="background1"/>
        </w:rPr>
        <w:t xml:space="preserve"> l</w:t>
      </w:r>
      <w:r w:rsidR="00B5183D">
        <w:rPr>
          <w:color w:val="000000" w:themeColor="text1"/>
          <w:shd w:val="clear" w:color="auto" w:fill="FFFFFF" w:themeFill="background1"/>
        </w:rPr>
        <w:t>e stime dell</w:t>
      </w:r>
      <w:r w:rsidR="00284CAC" w:rsidRPr="00FB546D">
        <w:rPr>
          <w:color w:val="000000" w:themeColor="text1"/>
          <w:shd w:val="clear" w:color="auto" w:fill="FFFFFF" w:themeFill="background1"/>
        </w:rPr>
        <w:t>’Eurostat</w:t>
      </w:r>
      <w:r w:rsidR="0082281F" w:rsidRPr="00FB546D">
        <w:rPr>
          <w:color w:val="000000" w:themeColor="text1"/>
          <w:shd w:val="clear" w:color="auto" w:fill="FFFFFF" w:themeFill="background1"/>
        </w:rPr>
        <w:t xml:space="preserve">, </w:t>
      </w:r>
      <w:r w:rsidR="00B5183D">
        <w:rPr>
          <w:color w:val="000000" w:themeColor="text1"/>
          <w:shd w:val="clear" w:color="auto" w:fill="FFFFFF" w:themeFill="background1"/>
        </w:rPr>
        <w:t xml:space="preserve">effettuate </w:t>
      </w:r>
      <w:r w:rsidR="00FB546D" w:rsidRPr="00FB546D">
        <w:rPr>
          <w:color w:val="000000" w:themeColor="text1"/>
          <w:shd w:val="clear" w:color="auto" w:fill="FFFFFF" w:themeFill="background1"/>
        </w:rPr>
        <w:t>utilizzando anche per il 2010 l’universo UE (con esclusione delle aziende più piccole, sotto 1 ettaro di SAU),</w:t>
      </w:r>
      <w:r w:rsidR="00284CAC" w:rsidRPr="00FB546D">
        <w:rPr>
          <w:color w:val="000000" w:themeColor="text1"/>
          <w:shd w:val="clear" w:color="auto" w:fill="FFFFFF" w:themeFill="background1"/>
        </w:rPr>
        <w:t xml:space="preserve"> </w:t>
      </w:r>
      <w:r w:rsidR="00FB546D" w:rsidRPr="00FB546D">
        <w:rPr>
          <w:color w:val="000000" w:themeColor="text1"/>
          <w:shd w:val="clear" w:color="auto" w:fill="FFFFFF" w:themeFill="background1"/>
        </w:rPr>
        <w:t xml:space="preserve">in Italia </w:t>
      </w:r>
      <w:r w:rsidR="00284CAC" w:rsidRPr="00FB546D">
        <w:rPr>
          <w:color w:val="000000" w:themeColor="text1"/>
          <w:shd w:val="clear" w:color="auto" w:fill="FFFFFF" w:themeFill="background1"/>
        </w:rPr>
        <w:t>la contrazione del numero di aziende tra il 2010 e il 2013</w:t>
      </w:r>
      <w:r w:rsidR="0082281F" w:rsidRPr="00FB546D">
        <w:rPr>
          <w:color w:val="000000" w:themeColor="text1"/>
          <w:shd w:val="clear" w:color="auto" w:fill="FFFFFF" w:themeFill="background1"/>
        </w:rPr>
        <w:t xml:space="preserve"> è</w:t>
      </w:r>
      <w:r w:rsidR="00284CAC" w:rsidRPr="00FB546D">
        <w:rPr>
          <w:color w:val="000000" w:themeColor="text1"/>
          <w:shd w:val="clear" w:color="auto" w:fill="FFFFFF" w:themeFill="background1"/>
        </w:rPr>
        <w:t xml:space="preserve"> </w:t>
      </w:r>
      <w:r w:rsidR="00B5183D">
        <w:rPr>
          <w:color w:val="000000" w:themeColor="text1"/>
          <w:shd w:val="clear" w:color="auto" w:fill="FFFFFF" w:themeFill="background1"/>
        </w:rPr>
        <w:t xml:space="preserve">stata </w:t>
      </w:r>
      <w:r w:rsidR="0082281F" w:rsidRPr="00FB546D">
        <w:rPr>
          <w:color w:val="000000" w:themeColor="text1"/>
          <w:shd w:val="clear" w:color="auto" w:fill="FFFFFF" w:themeFill="background1"/>
        </w:rPr>
        <w:t>de</w:t>
      </w:r>
      <w:r w:rsidR="00284CAC" w:rsidRPr="00FB546D">
        <w:rPr>
          <w:color w:val="000000" w:themeColor="text1"/>
          <w:shd w:val="clear" w:color="auto" w:fill="FFFFFF" w:themeFill="background1"/>
        </w:rPr>
        <w:t>ll’11%</w:t>
      </w:r>
      <w:r w:rsidR="00FB546D" w:rsidRPr="00FB546D">
        <w:rPr>
          <w:color w:val="000000" w:themeColor="text1"/>
          <w:shd w:val="clear" w:color="auto" w:fill="FFFFFF" w:themeFill="background1"/>
        </w:rPr>
        <w:t xml:space="preserve"> e </w:t>
      </w:r>
      <w:r w:rsidR="00251393" w:rsidRPr="00FB546D">
        <w:rPr>
          <w:color w:val="000000" w:themeColor="text1"/>
          <w:shd w:val="clear" w:color="auto" w:fill="FFFFFF" w:themeFill="background1"/>
        </w:rPr>
        <w:t xml:space="preserve">testimonia un processo di ristrutturazione </w:t>
      </w:r>
      <w:r w:rsidR="00251393" w:rsidRPr="006561B9">
        <w:rPr>
          <w:color w:val="000000" w:themeColor="text1"/>
          <w:shd w:val="clear" w:color="auto" w:fill="FFFFFF" w:themeFill="background1"/>
        </w:rPr>
        <w:t xml:space="preserve">del settore che </w:t>
      </w:r>
      <w:r w:rsidR="00B5183D" w:rsidRPr="006561B9">
        <w:rPr>
          <w:color w:val="000000" w:themeColor="text1"/>
          <w:shd w:val="clear" w:color="auto" w:fill="FFFFFF" w:themeFill="background1"/>
        </w:rPr>
        <w:t xml:space="preserve">ha </w:t>
      </w:r>
      <w:r w:rsidRPr="006561B9">
        <w:rPr>
          <w:color w:val="000000" w:themeColor="text1"/>
          <w:shd w:val="clear" w:color="auto" w:fill="FFFFFF" w:themeFill="background1"/>
        </w:rPr>
        <w:t>interessa</w:t>
      </w:r>
      <w:r w:rsidR="00B5183D" w:rsidRPr="006561B9">
        <w:rPr>
          <w:color w:val="000000" w:themeColor="text1"/>
          <w:shd w:val="clear" w:color="auto" w:fill="FFFFFF" w:themeFill="background1"/>
        </w:rPr>
        <w:t>to</w:t>
      </w:r>
      <w:r w:rsidRPr="006561B9">
        <w:rPr>
          <w:color w:val="000000" w:themeColor="text1"/>
          <w:shd w:val="clear" w:color="auto" w:fill="FFFFFF" w:themeFill="background1"/>
        </w:rPr>
        <w:t xml:space="preserve"> maggiormente le unità più piccole e fragili</w:t>
      </w:r>
      <w:r w:rsidR="00251393" w:rsidRPr="006561B9">
        <w:rPr>
          <w:color w:val="000000" w:themeColor="text1"/>
          <w:shd w:val="clear" w:color="auto" w:fill="FFFFFF" w:themeFill="background1"/>
        </w:rPr>
        <w:t xml:space="preserve"> e la forza lavoro familiare</w:t>
      </w:r>
      <w:r w:rsidR="00251393" w:rsidRPr="006561B9">
        <w:rPr>
          <w:rStyle w:val="Rimandonotaapidipagina"/>
          <w:color w:val="000000" w:themeColor="text1"/>
          <w:shd w:val="clear" w:color="auto" w:fill="FFFFFF" w:themeFill="background1"/>
        </w:rPr>
        <w:footnoteReference w:id="1"/>
      </w:r>
      <w:r w:rsidRPr="006561B9">
        <w:rPr>
          <w:color w:val="000000" w:themeColor="text1"/>
          <w:shd w:val="clear" w:color="auto" w:fill="FFFFFF" w:themeFill="background1"/>
        </w:rPr>
        <w:t xml:space="preserve">, mentre le aziende più strutturate </w:t>
      </w:r>
      <w:r w:rsidR="00B5183D" w:rsidRPr="006561B9">
        <w:rPr>
          <w:color w:val="000000" w:themeColor="text1"/>
          <w:shd w:val="clear" w:color="auto" w:fill="FFFFFF" w:themeFill="background1"/>
        </w:rPr>
        <w:t>hanno mostrato</w:t>
      </w:r>
      <w:r w:rsidRPr="006561B9">
        <w:rPr>
          <w:color w:val="000000" w:themeColor="text1"/>
          <w:shd w:val="clear" w:color="auto" w:fill="FFFFFF" w:themeFill="background1"/>
        </w:rPr>
        <w:t xml:space="preserve"> una maggiore tenuta</w:t>
      </w:r>
      <w:r w:rsidR="001E2C8C" w:rsidRPr="006561B9">
        <w:rPr>
          <w:rStyle w:val="Rimandonotaapidipagina"/>
          <w:color w:val="000000" w:themeColor="text1"/>
        </w:rPr>
        <w:footnoteReference w:id="2"/>
      </w:r>
      <w:r w:rsidRPr="006561B9">
        <w:rPr>
          <w:color w:val="000000" w:themeColor="text1"/>
          <w:shd w:val="clear" w:color="auto" w:fill="FFFFFF" w:themeFill="background1"/>
        </w:rPr>
        <w:t xml:space="preserve">. </w:t>
      </w:r>
    </w:p>
    <w:p w14:paraId="40345FEE" w14:textId="1E85B9D2" w:rsidR="006C7D37" w:rsidRPr="006561B9" w:rsidRDefault="009F7378" w:rsidP="00052C52">
      <w:pPr>
        <w:pStyle w:val="Paragrafoelenco"/>
        <w:numPr>
          <w:ilvl w:val="0"/>
          <w:numId w:val="2"/>
        </w:numPr>
        <w:rPr>
          <w:color w:val="000000" w:themeColor="text1"/>
        </w:rPr>
      </w:pPr>
      <w:r w:rsidRPr="006561B9">
        <w:rPr>
          <w:color w:val="000000" w:themeColor="text1"/>
        </w:rPr>
        <w:t>Nel</w:t>
      </w:r>
      <w:r w:rsidR="006C7D37" w:rsidRPr="006561B9">
        <w:rPr>
          <w:color w:val="000000" w:themeColor="text1"/>
        </w:rPr>
        <w:t xml:space="preserve"> 201</w:t>
      </w:r>
      <w:r w:rsidR="00E8742A" w:rsidRPr="006561B9">
        <w:rPr>
          <w:color w:val="000000" w:themeColor="text1"/>
        </w:rPr>
        <w:t>8</w:t>
      </w:r>
      <w:r w:rsidR="006C7D37" w:rsidRPr="006561B9">
        <w:rPr>
          <w:color w:val="000000" w:themeColor="text1"/>
        </w:rPr>
        <w:t>, il numero di aziende dedite ad attività di coltivazione e produzione di prodotti animali</w:t>
      </w:r>
      <w:r w:rsidR="006E0150" w:rsidRPr="006561B9">
        <w:rPr>
          <w:color w:val="000000" w:themeColor="text1"/>
        </w:rPr>
        <w:t xml:space="preserve"> (inclusa la caccia)</w:t>
      </w:r>
      <w:r w:rsidR="006C7D37" w:rsidRPr="006561B9">
        <w:rPr>
          <w:color w:val="000000" w:themeColor="text1"/>
        </w:rPr>
        <w:t xml:space="preserve"> presenti nei registri camerali è pari a </w:t>
      </w:r>
      <w:r w:rsidR="00E8742A" w:rsidRPr="006561B9">
        <w:rPr>
          <w:color w:val="000000" w:themeColor="text1"/>
        </w:rPr>
        <w:t>7</w:t>
      </w:r>
      <w:r w:rsidR="006E0150" w:rsidRPr="006561B9">
        <w:rPr>
          <w:color w:val="000000" w:themeColor="text1"/>
        </w:rPr>
        <w:t>37</w:t>
      </w:r>
      <w:r w:rsidR="00E8742A" w:rsidRPr="006561B9">
        <w:rPr>
          <w:color w:val="000000" w:themeColor="text1"/>
        </w:rPr>
        <w:t>.</w:t>
      </w:r>
      <w:r w:rsidR="006E0150" w:rsidRPr="006561B9">
        <w:rPr>
          <w:color w:val="000000" w:themeColor="text1"/>
        </w:rPr>
        <w:t>642</w:t>
      </w:r>
      <w:r w:rsidR="00E8742A" w:rsidRPr="006561B9">
        <w:rPr>
          <w:color w:val="000000" w:themeColor="text1"/>
        </w:rPr>
        <w:t xml:space="preserve"> </w:t>
      </w:r>
      <w:r w:rsidR="006C7D37" w:rsidRPr="006561B9">
        <w:rPr>
          <w:color w:val="000000" w:themeColor="text1"/>
        </w:rPr>
        <w:t>unità (il 46</w:t>
      </w:r>
      <w:r w:rsidR="00E8742A" w:rsidRPr="006561B9">
        <w:rPr>
          <w:color w:val="000000" w:themeColor="text1"/>
        </w:rPr>
        <w:t>,</w:t>
      </w:r>
      <w:r w:rsidR="006E0150" w:rsidRPr="006561B9">
        <w:rPr>
          <w:color w:val="000000" w:themeColor="text1"/>
        </w:rPr>
        <w:t>1</w:t>
      </w:r>
      <w:r w:rsidR="006C7D37" w:rsidRPr="006561B9">
        <w:rPr>
          <w:color w:val="000000" w:themeColor="text1"/>
        </w:rPr>
        <w:t xml:space="preserve">% è concentrato nelle regioni meridionali). </w:t>
      </w:r>
    </w:p>
    <w:p w14:paraId="468D5FE0" w14:textId="2FAE3CED" w:rsidR="00ED12CA" w:rsidRPr="006561B9" w:rsidRDefault="006C7D37" w:rsidP="00052C52">
      <w:pPr>
        <w:pStyle w:val="Paragrafoelenco"/>
        <w:numPr>
          <w:ilvl w:val="0"/>
          <w:numId w:val="2"/>
        </w:numPr>
        <w:rPr>
          <w:color w:val="000000" w:themeColor="text1"/>
        </w:rPr>
      </w:pPr>
      <w:r w:rsidRPr="006561B9">
        <w:rPr>
          <w:color w:val="000000" w:themeColor="text1"/>
        </w:rPr>
        <w:t xml:space="preserve">Il numero </w:t>
      </w:r>
      <w:r w:rsidR="004F7CC0" w:rsidRPr="006561B9">
        <w:rPr>
          <w:color w:val="000000" w:themeColor="text1"/>
        </w:rPr>
        <w:t xml:space="preserve">di </w:t>
      </w:r>
      <w:r w:rsidRPr="006561B9">
        <w:rPr>
          <w:color w:val="000000" w:themeColor="text1"/>
        </w:rPr>
        <w:t xml:space="preserve">imprese agricole registrate </w:t>
      </w:r>
      <w:r w:rsidR="004064D9" w:rsidRPr="006561B9">
        <w:rPr>
          <w:color w:val="000000" w:themeColor="text1"/>
        </w:rPr>
        <w:t xml:space="preserve">presso le CCIAA </w:t>
      </w:r>
      <w:r w:rsidRPr="006561B9">
        <w:rPr>
          <w:color w:val="000000" w:themeColor="text1"/>
        </w:rPr>
        <w:t>nel 201</w:t>
      </w:r>
      <w:r w:rsidR="00E8742A" w:rsidRPr="006561B9">
        <w:rPr>
          <w:color w:val="000000" w:themeColor="text1"/>
        </w:rPr>
        <w:t>8</w:t>
      </w:r>
      <w:r w:rsidRPr="006561B9">
        <w:rPr>
          <w:color w:val="000000" w:themeColor="text1"/>
        </w:rPr>
        <w:t xml:space="preserve"> </w:t>
      </w:r>
      <w:r w:rsidR="004F7CC0" w:rsidRPr="006561B9">
        <w:rPr>
          <w:color w:val="000000" w:themeColor="text1"/>
        </w:rPr>
        <w:t xml:space="preserve">segna una </w:t>
      </w:r>
      <w:proofErr w:type="spellStart"/>
      <w:r w:rsidR="0042786B" w:rsidRPr="006561B9">
        <w:rPr>
          <w:color w:val="000000" w:themeColor="text1"/>
        </w:rPr>
        <w:t>diminui</w:t>
      </w:r>
      <w:r w:rsidR="004F7CC0" w:rsidRPr="006561B9">
        <w:rPr>
          <w:color w:val="000000" w:themeColor="text1"/>
        </w:rPr>
        <w:t>zione</w:t>
      </w:r>
      <w:proofErr w:type="spellEnd"/>
      <w:r w:rsidRPr="006561B9">
        <w:rPr>
          <w:color w:val="000000" w:themeColor="text1"/>
        </w:rPr>
        <w:t xml:space="preserve"> </w:t>
      </w:r>
      <w:r w:rsidR="004F7CC0" w:rsidRPr="006561B9">
        <w:rPr>
          <w:color w:val="000000" w:themeColor="text1"/>
        </w:rPr>
        <w:t xml:space="preserve">del 13% </w:t>
      </w:r>
      <w:r w:rsidRPr="006561B9">
        <w:rPr>
          <w:color w:val="000000" w:themeColor="text1"/>
        </w:rPr>
        <w:t>rispetto al 201</w:t>
      </w:r>
      <w:r w:rsidR="0042786B" w:rsidRPr="006561B9">
        <w:rPr>
          <w:color w:val="000000" w:themeColor="text1"/>
        </w:rPr>
        <w:t>0</w:t>
      </w:r>
      <w:r w:rsidRPr="006561B9">
        <w:rPr>
          <w:color w:val="000000" w:themeColor="text1"/>
        </w:rPr>
        <w:t>), determinato sia dalle ditte individuali che dalle società. Le ditte individuali continuano a rappresentare quasi il 90% delle imprese complessive del settore</w:t>
      </w:r>
      <w:r w:rsidR="0042786B" w:rsidRPr="006561B9">
        <w:rPr>
          <w:color w:val="000000" w:themeColor="text1"/>
        </w:rPr>
        <w:t xml:space="preserve"> (86,</w:t>
      </w:r>
      <w:r w:rsidR="006E0150" w:rsidRPr="006561B9">
        <w:rPr>
          <w:color w:val="000000" w:themeColor="text1"/>
        </w:rPr>
        <w:t>6</w:t>
      </w:r>
      <w:r w:rsidR="0042786B" w:rsidRPr="006561B9">
        <w:rPr>
          <w:color w:val="000000" w:themeColor="text1"/>
        </w:rPr>
        <w:t>%)</w:t>
      </w:r>
      <w:r w:rsidRPr="006561B9">
        <w:rPr>
          <w:color w:val="000000" w:themeColor="text1"/>
        </w:rPr>
        <w:t>.</w:t>
      </w:r>
      <w:r w:rsidR="006E0150" w:rsidRPr="006561B9">
        <w:rPr>
          <w:color w:val="000000" w:themeColor="text1"/>
        </w:rPr>
        <w:t xml:space="preserve"> La quota delle imprese giovan</w:t>
      </w:r>
      <w:r w:rsidR="00F73DC4" w:rsidRPr="006561B9">
        <w:rPr>
          <w:color w:val="000000" w:themeColor="text1"/>
        </w:rPr>
        <w:t>i</w:t>
      </w:r>
      <w:r w:rsidR="006E0150" w:rsidRPr="006561B9">
        <w:rPr>
          <w:color w:val="000000" w:themeColor="text1"/>
        </w:rPr>
        <w:t xml:space="preserve"> è </w:t>
      </w:r>
      <w:r w:rsidR="003C1CBE" w:rsidRPr="006561B9">
        <w:rPr>
          <w:color w:val="000000" w:themeColor="text1"/>
        </w:rPr>
        <w:t xml:space="preserve">pari al </w:t>
      </w:r>
      <w:r w:rsidR="0042786B" w:rsidRPr="006561B9">
        <w:rPr>
          <w:color w:val="000000" w:themeColor="text1"/>
        </w:rPr>
        <w:t>7</w:t>
      </w:r>
      <w:r w:rsidR="003C1CBE" w:rsidRPr="006561B9">
        <w:rPr>
          <w:color w:val="000000" w:themeColor="text1"/>
        </w:rPr>
        <w:t>,</w:t>
      </w:r>
      <w:r w:rsidR="008307E6" w:rsidRPr="006561B9">
        <w:rPr>
          <w:color w:val="000000" w:themeColor="text1"/>
        </w:rPr>
        <w:t>6</w:t>
      </w:r>
      <w:r w:rsidR="006E0150" w:rsidRPr="006561B9">
        <w:rPr>
          <w:color w:val="000000" w:themeColor="text1"/>
        </w:rPr>
        <w:t>%.</w:t>
      </w:r>
      <w:r w:rsidR="00EC3F48" w:rsidRPr="006561B9">
        <w:rPr>
          <w:color w:val="000000" w:themeColor="text1"/>
        </w:rPr>
        <w:t xml:space="preserve"> </w:t>
      </w:r>
      <w:r w:rsidR="00540F6E" w:rsidRPr="006561B9">
        <w:rPr>
          <w:color w:val="000000" w:themeColor="text1"/>
        </w:rPr>
        <w:t>La dinamica a livello nazionale del</w:t>
      </w:r>
      <w:r w:rsidR="00EC3F48" w:rsidRPr="006561B9">
        <w:rPr>
          <w:color w:val="000000" w:themeColor="text1"/>
        </w:rPr>
        <w:t xml:space="preserve">le sole iscrizioni è stata decrescente tra il 2010 e il 2014, mentre negli anni successivi </w:t>
      </w:r>
      <w:r w:rsidR="00540F6E" w:rsidRPr="006561B9">
        <w:rPr>
          <w:color w:val="000000" w:themeColor="text1"/>
        </w:rPr>
        <w:t>c’è stata una crescita,</w:t>
      </w:r>
      <w:r w:rsidR="00EC3F48" w:rsidRPr="006561B9">
        <w:rPr>
          <w:color w:val="000000" w:themeColor="text1"/>
        </w:rPr>
        <w:t xml:space="preserve"> </w:t>
      </w:r>
      <w:r w:rsidR="00540F6E" w:rsidRPr="006561B9">
        <w:rPr>
          <w:color w:val="000000" w:themeColor="text1"/>
        </w:rPr>
        <w:t>con</w:t>
      </w:r>
      <w:r w:rsidR="00EC3F48" w:rsidRPr="006561B9">
        <w:rPr>
          <w:color w:val="000000" w:themeColor="text1"/>
        </w:rPr>
        <w:t xml:space="preserve"> </w:t>
      </w:r>
      <w:r w:rsidR="00540F6E" w:rsidRPr="006561B9">
        <w:rPr>
          <w:color w:val="000000" w:themeColor="text1"/>
        </w:rPr>
        <w:t xml:space="preserve">un </w:t>
      </w:r>
      <w:r w:rsidR="00EC3F48" w:rsidRPr="006561B9">
        <w:rPr>
          <w:color w:val="000000" w:themeColor="text1"/>
        </w:rPr>
        <w:t xml:space="preserve">massimo </w:t>
      </w:r>
      <w:r w:rsidR="0065150D" w:rsidRPr="006561B9">
        <w:rPr>
          <w:color w:val="000000" w:themeColor="text1"/>
        </w:rPr>
        <w:t>nel</w:t>
      </w:r>
      <w:r w:rsidR="00540F6E" w:rsidRPr="006561B9">
        <w:rPr>
          <w:color w:val="000000" w:themeColor="text1"/>
        </w:rPr>
        <w:t xml:space="preserve"> 201</w:t>
      </w:r>
      <w:r w:rsidR="0065150D" w:rsidRPr="006561B9">
        <w:rPr>
          <w:color w:val="000000" w:themeColor="text1"/>
        </w:rPr>
        <w:t>7</w:t>
      </w:r>
      <w:r w:rsidR="00540F6E" w:rsidRPr="006561B9">
        <w:rPr>
          <w:color w:val="000000" w:themeColor="text1"/>
        </w:rPr>
        <w:t xml:space="preserve"> e una nuova leggera riduzione ne</w:t>
      </w:r>
      <w:r w:rsidR="0065150D" w:rsidRPr="006561B9">
        <w:rPr>
          <w:color w:val="000000" w:themeColor="text1"/>
        </w:rPr>
        <w:t>l 2018</w:t>
      </w:r>
      <w:r w:rsidR="00540F6E" w:rsidRPr="006561B9">
        <w:rPr>
          <w:color w:val="000000" w:themeColor="text1"/>
        </w:rPr>
        <w:t xml:space="preserve">. </w:t>
      </w:r>
      <w:r w:rsidR="0065150D" w:rsidRPr="006561B9">
        <w:rPr>
          <w:color w:val="000000" w:themeColor="text1"/>
        </w:rPr>
        <w:t>Questi dati segnalano un recupero del grado di attrattività del settore negli ultimi anni anche in una fas</w:t>
      </w:r>
      <w:r w:rsidR="000051EE" w:rsidRPr="006561B9">
        <w:rPr>
          <w:color w:val="000000" w:themeColor="text1"/>
        </w:rPr>
        <w:t>e di ripresa economica generale, trainato soprattutto dal Sud.</w:t>
      </w:r>
      <w:r w:rsidR="0065150D" w:rsidRPr="006561B9">
        <w:rPr>
          <w:color w:val="000000" w:themeColor="text1"/>
        </w:rPr>
        <w:t xml:space="preserve"> </w:t>
      </w:r>
      <w:r w:rsidR="00EC3F48" w:rsidRPr="006561B9">
        <w:rPr>
          <w:color w:val="000000" w:themeColor="text1"/>
        </w:rPr>
        <w:t xml:space="preserve">  </w:t>
      </w:r>
    </w:p>
    <w:p w14:paraId="487F4BCD" w14:textId="380B498B" w:rsidR="003C1CBE" w:rsidRPr="00AA5B3D" w:rsidRDefault="003C1CBE" w:rsidP="00052C52">
      <w:pPr>
        <w:pStyle w:val="Paragrafoelenco"/>
        <w:numPr>
          <w:ilvl w:val="0"/>
          <w:numId w:val="2"/>
        </w:numPr>
        <w:rPr>
          <w:color w:val="000000" w:themeColor="text1"/>
        </w:rPr>
      </w:pPr>
      <w:r w:rsidRPr="00AA5B3D">
        <w:rPr>
          <w:color w:val="000000" w:themeColor="text1"/>
        </w:rPr>
        <w:t xml:space="preserve">L’imprenditoria femminile nel settore primario </w:t>
      </w:r>
      <w:r w:rsidRPr="006E0150">
        <w:rPr>
          <w:color w:val="000000" w:themeColor="text1"/>
        </w:rPr>
        <w:t xml:space="preserve">interessa il </w:t>
      </w:r>
      <w:r w:rsidR="003460CC" w:rsidRPr="006E0150">
        <w:rPr>
          <w:color w:val="000000" w:themeColor="text1"/>
        </w:rPr>
        <w:t>2</w:t>
      </w:r>
      <w:r w:rsidR="006E0150" w:rsidRPr="006E0150">
        <w:rPr>
          <w:color w:val="000000" w:themeColor="text1"/>
        </w:rPr>
        <w:t>8</w:t>
      </w:r>
      <w:r w:rsidR="008307E6" w:rsidRPr="006E0150">
        <w:rPr>
          <w:color w:val="000000" w:themeColor="text1"/>
        </w:rPr>
        <w:t>,</w:t>
      </w:r>
      <w:r w:rsidR="006E0150" w:rsidRPr="006E0150">
        <w:rPr>
          <w:color w:val="000000" w:themeColor="text1"/>
        </w:rPr>
        <w:t>8</w:t>
      </w:r>
      <w:r w:rsidRPr="006E0150">
        <w:rPr>
          <w:color w:val="000000" w:themeColor="text1"/>
        </w:rPr>
        <w:t xml:space="preserve">% delle imprese, percentuale che si mantiene costante dal </w:t>
      </w:r>
      <w:r w:rsidR="008307E6" w:rsidRPr="006E0150">
        <w:rPr>
          <w:color w:val="000000" w:themeColor="text1"/>
        </w:rPr>
        <w:t xml:space="preserve">2014 </w:t>
      </w:r>
      <w:r w:rsidRPr="006E0150">
        <w:rPr>
          <w:color w:val="000000" w:themeColor="text1"/>
        </w:rPr>
        <w:t xml:space="preserve">e risulta di poco </w:t>
      </w:r>
      <w:r w:rsidR="008307E6" w:rsidRPr="006E0150">
        <w:rPr>
          <w:color w:val="000000" w:themeColor="text1"/>
        </w:rPr>
        <w:t>inferiore</w:t>
      </w:r>
      <w:r w:rsidRPr="006E0150">
        <w:rPr>
          <w:color w:val="000000" w:themeColor="text1"/>
        </w:rPr>
        <w:t xml:space="preserve"> agli altri settori</w:t>
      </w:r>
      <w:r w:rsidRPr="00AA5B3D">
        <w:rPr>
          <w:color w:val="000000" w:themeColor="text1"/>
        </w:rPr>
        <w:t xml:space="preserve"> produttivi dove mediamente il 30% delle imprese è a titolarità femminile</w:t>
      </w:r>
      <w:r w:rsidR="009E07A1">
        <w:rPr>
          <w:color w:val="000000" w:themeColor="text1"/>
        </w:rPr>
        <w:t xml:space="preserve"> (fonte </w:t>
      </w:r>
      <w:r w:rsidR="001711A9">
        <w:rPr>
          <w:color w:val="000000" w:themeColor="text1"/>
        </w:rPr>
        <w:t>Registro Imprese</w:t>
      </w:r>
      <w:r w:rsidR="009E07A1">
        <w:rPr>
          <w:color w:val="000000" w:themeColor="text1"/>
        </w:rPr>
        <w:t>)</w:t>
      </w:r>
      <w:r w:rsidRPr="00AA5B3D">
        <w:rPr>
          <w:color w:val="000000" w:themeColor="text1"/>
        </w:rPr>
        <w:t>.</w:t>
      </w:r>
    </w:p>
    <w:p w14:paraId="2D3F5E25" w14:textId="0D5A8739" w:rsidR="00702FE5" w:rsidRPr="00AA5B3D" w:rsidRDefault="00702FE5" w:rsidP="00052C52">
      <w:pPr>
        <w:pStyle w:val="Paragrafoelenco"/>
        <w:numPr>
          <w:ilvl w:val="0"/>
          <w:numId w:val="2"/>
        </w:numPr>
        <w:rPr>
          <w:color w:val="000000" w:themeColor="text1"/>
        </w:rPr>
      </w:pPr>
      <w:r w:rsidRPr="00AA5B3D">
        <w:rPr>
          <w:color w:val="000000" w:themeColor="text1"/>
        </w:rPr>
        <w:t xml:space="preserve">Le aziende agricole montane gestiscono però una proporzione </w:t>
      </w:r>
      <w:r w:rsidR="00DD10CC" w:rsidRPr="00AA5B3D">
        <w:rPr>
          <w:color w:val="000000" w:themeColor="text1"/>
        </w:rPr>
        <w:t>più grande</w:t>
      </w:r>
      <w:r w:rsidRPr="00AA5B3D">
        <w:rPr>
          <w:color w:val="000000" w:themeColor="text1"/>
        </w:rPr>
        <w:t xml:space="preserve"> di territorio, per la maggiore presenza di aree boscate e seminaturali (praterie) che rivestono un ruolo ambientale importante: queste aziende hanno una dimensione mediamente più estesa in termini di </w:t>
      </w:r>
      <w:r w:rsidR="00DD10CC" w:rsidRPr="00AA5B3D">
        <w:rPr>
          <w:color w:val="000000" w:themeColor="text1"/>
        </w:rPr>
        <w:t>SAU</w:t>
      </w:r>
      <w:r w:rsidRPr="00AA5B3D">
        <w:rPr>
          <w:color w:val="000000" w:themeColor="text1"/>
        </w:rPr>
        <w:t>, in quanto le coltivazioni sono prevalentemente estensive e a basso valore aggiunto per unità di superficie.</w:t>
      </w:r>
    </w:p>
    <w:p w14:paraId="730B6F2E" w14:textId="38515843" w:rsidR="00702FE5" w:rsidRDefault="003C2C54" w:rsidP="00052C52">
      <w:pPr>
        <w:pStyle w:val="Paragrafoelenco"/>
        <w:numPr>
          <w:ilvl w:val="0"/>
          <w:numId w:val="2"/>
        </w:numPr>
        <w:rPr>
          <w:color w:val="000000" w:themeColor="text1"/>
        </w:rPr>
      </w:pPr>
      <w:r>
        <w:rPr>
          <w:color w:val="000000" w:themeColor="text1"/>
        </w:rPr>
        <w:t>Come evidenziato da diversi autori</w:t>
      </w:r>
      <w:r w:rsidR="00027E2B">
        <w:rPr>
          <w:color w:val="000000" w:themeColor="text1"/>
        </w:rPr>
        <w:t xml:space="preserve"> (tra gli altri </w:t>
      </w:r>
      <w:r w:rsidR="00027E2B" w:rsidRPr="00027E2B">
        <w:rPr>
          <w:color w:val="000000" w:themeColor="text1"/>
        </w:rPr>
        <w:t>Cesaro &amp; Marongiu, 2013</w:t>
      </w:r>
      <w:r w:rsidR="0009484D">
        <w:rPr>
          <w:color w:val="000000" w:themeColor="text1"/>
        </w:rPr>
        <w:t>; Cagliero et al. 2018</w:t>
      </w:r>
      <w:r w:rsidR="00027E2B" w:rsidRPr="00027E2B">
        <w:rPr>
          <w:color w:val="000000" w:themeColor="text1"/>
        </w:rPr>
        <w:t>)</w:t>
      </w:r>
      <w:r>
        <w:rPr>
          <w:color w:val="000000" w:themeColor="text1"/>
        </w:rPr>
        <w:t>, l</w:t>
      </w:r>
      <w:r w:rsidR="00702FE5" w:rsidRPr="00AA5B3D">
        <w:rPr>
          <w:color w:val="000000" w:themeColor="text1"/>
        </w:rPr>
        <w:t xml:space="preserve">’agricoltura praticata nelle aree montane è significativamente diversa da quella delle aree collinari e pianeggianti, in quanto si sono sviluppate le attività produttive che meglio si adattano alle caratteristiche e alle dotazioni di questi </w:t>
      </w:r>
      <w:r w:rsidR="00EB51D3" w:rsidRPr="00AA5B3D">
        <w:rPr>
          <w:color w:val="000000" w:themeColor="text1"/>
        </w:rPr>
        <w:t>spe</w:t>
      </w:r>
      <w:r w:rsidR="00061C2B" w:rsidRPr="00AA5B3D">
        <w:rPr>
          <w:color w:val="000000" w:themeColor="text1"/>
        </w:rPr>
        <w:t xml:space="preserve">cifici </w:t>
      </w:r>
      <w:r w:rsidR="00702FE5" w:rsidRPr="00AA5B3D">
        <w:rPr>
          <w:color w:val="000000" w:themeColor="text1"/>
        </w:rPr>
        <w:t>territori</w:t>
      </w:r>
      <w:r w:rsidR="00061C2B" w:rsidRPr="00AA5B3D">
        <w:rPr>
          <w:color w:val="000000" w:themeColor="text1"/>
        </w:rPr>
        <w:t>.</w:t>
      </w:r>
    </w:p>
    <w:p w14:paraId="1ACD7C2D" w14:textId="77777777" w:rsidR="00A64904" w:rsidRDefault="00A64904" w:rsidP="00D47324">
      <w:pPr>
        <w:pStyle w:val="Paragrafoelenco"/>
        <w:numPr>
          <w:ilvl w:val="0"/>
          <w:numId w:val="2"/>
        </w:numPr>
        <w:rPr>
          <w:color w:val="000000" w:themeColor="text1"/>
        </w:rPr>
      </w:pPr>
      <w:r w:rsidRPr="00A64904">
        <w:rPr>
          <w:color w:val="000000" w:themeColor="text1"/>
        </w:rPr>
        <w:lastRenderedPageBreak/>
        <w:t xml:space="preserve">Alla contrazione numerica non corrisponde un’analoga flessione della superficie agricola. Infatti, le aziende specializzate in seminativi hanno registrato un aumento, insieme alle aziende con zootecnia e con policoltura. La diminuzione della SAU ha interessato invece le aziende miste e con ordinamento vegetale non estensivo. </w:t>
      </w:r>
    </w:p>
    <w:p w14:paraId="23B3DC41" w14:textId="62F98E1B" w:rsidR="00A800CB" w:rsidRPr="00A64904" w:rsidRDefault="00A800CB" w:rsidP="00D47324">
      <w:pPr>
        <w:pStyle w:val="Paragrafoelenco"/>
        <w:numPr>
          <w:ilvl w:val="0"/>
          <w:numId w:val="2"/>
        </w:numPr>
        <w:rPr>
          <w:color w:val="000000" w:themeColor="text1"/>
        </w:rPr>
      </w:pPr>
      <w:r w:rsidRPr="00A64904">
        <w:rPr>
          <w:color w:val="000000" w:themeColor="text1"/>
        </w:rPr>
        <w:t>Nel periodo 2010-2017, sulla base dei dati RICA, la perdita di aziende e superfici in montagna risulta consistente, in particolare nel Nord-Est.</w:t>
      </w:r>
    </w:p>
    <w:p w14:paraId="06F8810B" w14:textId="3EDB710B" w:rsidR="00A800CB" w:rsidRDefault="00A800CB" w:rsidP="00D47324">
      <w:pPr>
        <w:pStyle w:val="Paragrafoelenco"/>
        <w:numPr>
          <w:ilvl w:val="0"/>
          <w:numId w:val="2"/>
        </w:numPr>
        <w:rPr>
          <w:color w:val="000000" w:themeColor="text1"/>
        </w:rPr>
      </w:pPr>
      <w:r>
        <w:rPr>
          <w:color w:val="000000" w:themeColor="text1"/>
        </w:rPr>
        <w:t>L</w:t>
      </w:r>
      <w:r w:rsidRPr="00A800CB">
        <w:rPr>
          <w:color w:val="000000" w:themeColor="text1"/>
        </w:rPr>
        <w:t>’abbandono delle attività agricole, seguito dalla pressione antropica e dalla parallela espansione della vegetazione arbustiva e arborea che riconquista i pascoli, rappresentino le criticità principali.</w:t>
      </w:r>
    </w:p>
    <w:p w14:paraId="00C75895" w14:textId="77777777" w:rsidR="00A800CB" w:rsidRDefault="00A800CB" w:rsidP="0050792F"/>
    <w:p w14:paraId="1073B4F2" w14:textId="1921BD78" w:rsidR="009A1AC4" w:rsidRPr="00F24C87" w:rsidRDefault="009A1AC4" w:rsidP="009A1AC4">
      <w:pPr>
        <w:pStyle w:val="Titolotab-grafReport"/>
        <w:numPr>
          <w:ilvl w:val="0"/>
          <w:numId w:val="0"/>
        </w:numPr>
        <w:spacing w:after="120"/>
      </w:pPr>
      <w:r w:rsidRPr="00473AC9">
        <w:t xml:space="preserve">Tabella </w:t>
      </w:r>
      <w:r w:rsidR="00D17486">
        <w:t>1.</w:t>
      </w:r>
      <w:r w:rsidR="00A800CB">
        <w:rPr>
          <w:noProof/>
        </w:rPr>
        <w:t>2</w:t>
      </w:r>
      <w:r>
        <w:rPr>
          <w:b w:val="0"/>
          <w:noProof/>
        </w:rPr>
        <w:t xml:space="preserve"> </w:t>
      </w:r>
      <w:r>
        <w:rPr>
          <w:rFonts w:eastAsia="Times New Roman" w:cs="Calibri"/>
          <w:lang w:eastAsia="it-IT"/>
        </w:rPr>
        <w:t>Aziend</w:t>
      </w:r>
      <w:r w:rsidR="00661205">
        <w:rPr>
          <w:rFonts w:eastAsia="Times New Roman" w:cs="Calibri"/>
          <w:lang w:eastAsia="it-IT"/>
        </w:rPr>
        <w:t>e agricole e superficie utilizzata</w:t>
      </w:r>
      <w:r w:rsidR="00C05025">
        <w:rPr>
          <w:rFonts w:eastAsia="Times New Roman" w:cs="Calibri"/>
          <w:lang w:eastAsia="it-IT"/>
        </w:rPr>
        <w:t xml:space="preserve"> per regione</w:t>
      </w:r>
      <w:r w:rsidRPr="00F24C87">
        <w:rPr>
          <w:rFonts w:eastAsia="Times New Roman" w:cs="Calibri"/>
          <w:lang w:eastAsia="it-IT"/>
        </w:rPr>
        <w:t xml:space="preserve"> </w:t>
      </w:r>
      <w:r w:rsidRPr="00F24C87">
        <w:t>(anno 2016)</w:t>
      </w:r>
      <w:r w:rsidR="00BF14BF">
        <w:t xml:space="preserve"> – C.12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17"/>
        <w:gridCol w:w="1878"/>
        <w:gridCol w:w="1878"/>
        <w:gridCol w:w="1878"/>
        <w:gridCol w:w="1877"/>
      </w:tblGrid>
      <w:tr w:rsidR="00816E88" w:rsidRPr="006747A0" w14:paraId="4DFC2CA2" w14:textId="77777777" w:rsidTr="00381F3A">
        <w:trPr>
          <w:trHeight w:val="300"/>
          <w:tblHeader/>
        </w:trPr>
        <w:tc>
          <w:tcPr>
            <w:tcW w:w="1099" w:type="pct"/>
            <w:shd w:val="clear" w:color="auto" w:fill="B8CCE4"/>
            <w:noWrap/>
            <w:vAlign w:val="center"/>
          </w:tcPr>
          <w:p w14:paraId="6BD2B5D7" w14:textId="77777777" w:rsidR="00816E88" w:rsidRPr="00E417D4" w:rsidRDefault="00816E88" w:rsidP="00816E88">
            <w:pPr>
              <w:spacing w:after="0"/>
              <w:jc w:val="center"/>
              <w:rPr>
                <w:rFonts w:eastAsia="Times New Roman" w:cstheme="minorHAnsi"/>
                <w:b/>
                <w:sz w:val="20"/>
                <w:szCs w:val="24"/>
                <w:lang w:eastAsia="it-IT"/>
              </w:rPr>
            </w:pPr>
          </w:p>
        </w:tc>
        <w:tc>
          <w:tcPr>
            <w:tcW w:w="975" w:type="pct"/>
            <w:shd w:val="clear" w:color="auto" w:fill="B8CCE4"/>
            <w:noWrap/>
            <w:vAlign w:val="center"/>
          </w:tcPr>
          <w:p w14:paraId="558C660F" w14:textId="77777777" w:rsidR="00816E88" w:rsidRPr="00E417D4" w:rsidRDefault="00816E88" w:rsidP="00816E88">
            <w:pPr>
              <w:spacing w:after="0"/>
              <w:jc w:val="center"/>
              <w:rPr>
                <w:rFonts w:eastAsia="Times New Roman" w:cstheme="minorHAnsi"/>
                <w:b/>
                <w:sz w:val="20"/>
                <w:szCs w:val="24"/>
                <w:lang w:eastAsia="it-IT"/>
              </w:rPr>
            </w:pPr>
            <w:r w:rsidRPr="00E417D4">
              <w:rPr>
                <w:rFonts w:eastAsia="Times New Roman" w:cstheme="minorHAnsi"/>
                <w:b/>
                <w:sz w:val="20"/>
                <w:szCs w:val="24"/>
                <w:lang w:eastAsia="it-IT"/>
              </w:rPr>
              <w:t>Aziende (n.)</w:t>
            </w:r>
          </w:p>
        </w:tc>
        <w:tc>
          <w:tcPr>
            <w:tcW w:w="975" w:type="pct"/>
            <w:shd w:val="clear" w:color="auto" w:fill="B8CCE4"/>
            <w:noWrap/>
            <w:vAlign w:val="center"/>
          </w:tcPr>
          <w:p w14:paraId="5523B51A" w14:textId="77777777" w:rsidR="00816E88" w:rsidRPr="00E417D4" w:rsidRDefault="00816E88" w:rsidP="00816E88">
            <w:pPr>
              <w:spacing w:after="0"/>
              <w:jc w:val="center"/>
              <w:rPr>
                <w:rFonts w:eastAsia="Times New Roman" w:cstheme="minorHAnsi"/>
                <w:b/>
                <w:sz w:val="20"/>
                <w:szCs w:val="24"/>
                <w:lang w:eastAsia="it-IT"/>
              </w:rPr>
            </w:pPr>
            <w:r w:rsidRPr="00E417D4">
              <w:rPr>
                <w:rFonts w:eastAsia="Times New Roman" w:cstheme="minorHAnsi"/>
                <w:b/>
                <w:sz w:val="20"/>
                <w:szCs w:val="24"/>
                <w:lang w:eastAsia="it-IT"/>
              </w:rPr>
              <w:t>SAU (ha)</w:t>
            </w:r>
          </w:p>
        </w:tc>
        <w:tc>
          <w:tcPr>
            <w:tcW w:w="975" w:type="pct"/>
            <w:shd w:val="clear" w:color="auto" w:fill="B8CCE4"/>
            <w:vAlign w:val="center"/>
          </w:tcPr>
          <w:p w14:paraId="6591A887" w14:textId="2F89DF32" w:rsidR="00816E88" w:rsidRPr="00E417D4" w:rsidRDefault="0000418A" w:rsidP="00816E88">
            <w:pPr>
              <w:spacing w:after="0"/>
              <w:jc w:val="center"/>
              <w:rPr>
                <w:rFonts w:eastAsia="Times New Roman" w:cstheme="minorHAnsi"/>
                <w:b/>
                <w:sz w:val="20"/>
                <w:szCs w:val="24"/>
                <w:lang w:eastAsia="it-IT"/>
              </w:rPr>
            </w:pPr>
            <w:r>
              <w:rPr>
                <w:rFonts w:eastAsia="Times New Roman" w:cstheme="minorHAnsi"/>
                <w:b/>
                <w:sz w:val="20"/>
                <w:szCs w:val="24"/>
                <w:lang w:eastAsia="it-IT"/>
              </w:rPr>
              <w:t>SAU</w:t>
            </w:r>
            <w:r w:rsidR="00224DBD">
              <w:rPr>
                <w:rFonts w:eastAsia="Times New Roman" w:cstheme="minorHAnsi"/>
                <w:b/>
                <w:sz w:val="20"/>
                <w:szCs w:val="24"/>
                <w:lang w:eastAsia="it-IT"/>
              </w:rPr>
              <w:t xml:space="preserve"> media aziendale</w:t>
            </w:r>
          </w:p>
        </w:tc>
        <w:tc>
          <w:tcPr>
            <w:tcW w:w="975" w:type="pct"/>
            <w:shd w:val="clear" w:color="auto" w:fill="B8CCE4"/>
            <w:noWrap/>
            <w:vAlign w:val="center"/>
          </w:tcPr>
          <w:p w14:paraId="7925E6BE" w14:textId="77777777" w:rsidR="00816E88" w:rsidRPr="00E417D4" w:rsidRDefault="00816E88" w:rsidP="00816E88">
            <w:pPr>
              <w:spacing w:after="0"/>
              <w:jc w:val="center"/>
              <w:rPr>
                <w:rFonts w:eastAsia="Times New Roman" w:cstheme="minorHAnsi"/>
                <w:b/>
                <w:sz w:val="20"/>
                <w:szCs w:val="24"/>
                <w:lang w:eastAsia="it-IT"/>
              </w:rPr>
            </w:pPr>
            <w:r w:rsidRPr="00E417D4">
              <w:rPr>
                <w:rFonts w:eastAsia="Times New Roman" w:cstheme="minorHAnsi"/>
                <w:b/>
                <w:sz w:val="20"/>
                <w:szCs w:val="24"/>
                <w:lang w:eastAsia="it-IT"/>
              </w:rPr>
              <w:t>SAT (ha)</w:t>
            </w:r>
          </w:p>
        </w:tc>
      </w:tr>
      <w:tr w:rsidR="00381F3A" w:rsidRPr="006747A0" w14:paraId="1C55257F" w14:textId="77777777" w:rsidTr="00381F3A">
        <w:trPr>
          <w:trHeight w:val="187"/>
        </w:trPr>
        <w:tc>
          <w:tcPr>
            <w:tcW w:w="1099" w:type="pct"/>
            <w:shd w:val="clear" w:color="auto" w:fill="auto"/>
            <w:noWrap/>
            <w:vAlign w:val="center"/>
            <w:hideMark/>
          </w:tcPr>
          <w:p w14:paraId="15E01768" w14:textId="2ADBEEF8"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 xml:space="preserve">Piemonte  </w:t>
            </w:r>
          </w:p>
        </w:tc>
        <w:tc>
          <w:tcPr>
            <w:tcW w:w="975" w:type="pct"/>
            <w:shd w:val="clear" w:color="auto" w:fill="auto"/>
            <w:noWrap/>
            <w:vAlign w:val="center"/>
            <w:hideMark/>
          </w:tcPr>
          <w:p w14:paraId="50EEB50A"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49.965</w:t>
            </w:r>
          </w:p>
        </w:tc>
        <w:tc>
          <w:tcPr>
            <w:tcW w:w="975" w:type="pct"/>
            <w:shd w:val="clear" w:color="auto" w:fill="auto"/>
            <w:noWrap/>
            <w:vAlign w:val="center"/>
            <w:hideMark/>
          </w:tcPr>
          <w:p w14:paraId="6552E633"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960.445</w:t>
            </w:r>
          </w:p>
        </w:tc>
        <w:tc>
          <w:tcPr>
            <w:tcW w:w="975" w:type="pct"/>
            <w:shd w:val="clear" w:color="auto" w:fill="auto"/>
            <w:noWrap/>
            <w:vAlign w:val="center"/>
          </w:tcPr>
          <w:p w14:paraId="38562E62" w14:textId="17E48CA5"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19,2</w:t>
            </w:r>
          </w:p>
        </w:tc>
        <w:tc>
          <w:tcPr>
            <w:tcW w:w="975" w:type="pct"/>
            <w:shd w:val="clear" w:color="auto" w:fill="auto"/>
            <w:noWrap/>
            <w:vAlign w:val="center"/>
            <w:hideMark/>
          </w:tcPr>
          <w:p w14:paraId="5D3E491B"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1.271.687</w:t>
            </w:r>
          </w:p>
        </w:tc>
      </w:tr>
      <w:tr w:rsidR="00381F3A" w:rsidRPr="006747A0" w14:paraId="645B6CF9" w14:textId="77777777" w:rsidTr="00381F3A">
        <w:trPr>
          <w:trHeight w:val="187"/>
        </w:trPr>
        <w:tc>
          <w:tcPr>
            <w:tcW w:w="1099" w:type="pct"/>
            <w:shd w:val="clear" w:color="auto" w:fill="auto"/>
            <w:noWrap/>
            <w:vAlign w:val="center"/>
            <w:hideMark/>
          </w:tcPr>
          <w:p w14:paraId="098C2AF8" w14:textId="526B755D"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Valle d</w:t>
            </w:r>
            <w:r w:rsidRPr="00136C8F">
              <w:rPr>
                <w:rFonts w:eastAsia="Times New Roman" w:cstheme="minorHAnsi"/>
                <w:sz w:val="20"/>
                <w:szCs w:val="24"/>
                <w:lang w:eastAsia="it-IT"/>
              </w:rPr>
              <w:t>’</w:t>
            </w:r>
            <w:r w:rsidRPr="006747A0">
              <w:rPr>
                <w:rFonts w:eastAsia="Times New Roman" w:cstheme="minorHAnsi"/>
                <w:sz w:val="20"/>
                <w:szCs w:val="24"/>
                <w:lang w:eastAsia="it-IT"/>
              </w:rPr>
              <w:t xml:space="preserve">Aosta  </w:t>
            </w:r>
          </w:p>
        </w:tc>
        <w:tc>
          <w:tcPr>
            <w:tcW w:w="975" w:type="pct"/>
            <w:shd w:val="clear" w:color="auto" w:fill="auto"/>
            <w:noWrap/>
            <w:vAlign w:val="center"/>
            <w:hideMark/>
          </w:tcPr>
          <w:p w14:paraId="6159178D"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2.320</w:t>
            </w:r>
          </w:p>
        </w:tc>
        <w:tc>
          <w:tcPr>
            <w:tcW w:w="975" w:type="pct"/>
            <w:shd w:val="clear" w:color="auto" w:fill="auto"/>
            <w:noWrap/>
            <w:vAlign w:val="center"/>
            <w:hideMark/>
          </w:tcPr>
          <w:p w14:paraId="619CDE34"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52.856</w:t>
            </w:r>
          </w:p>
        </w:tc>
        <w:tc>
          <w:tcPr>
            <w:tcW w:w="975" w:type="pct"/>
            <w:shd w:val="clear" w:color="auto" w:fill="auto"/>
            <w:noWrap/>
            <w:vAlign w:val="center"/>
          </w:tcPr>
          <w:p w14:paraId="5A0563C1" w14:textId="35F46464"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22,8</w:t>
            </w:r>
          </w:p>
        </w:tc>
        <w:tc>
          <w:tcPr>
            <w:tcW w:w="975" w:type="pct"/>
            <w:shd w:val="clear" w:color="auto" w:fill="auto"/>
            <w:noWrap/>
            <w:vAlign w:val="center"/>
            <w:hideMark/>
          </w:tcPr>
          <w:p w14:paraId="1BD0CE6A"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108.687</w:t>
            </w:r>
          </w:p>
        </w:tc>
      </w:tr>
      <w:tr w:rsidR="00381F3A" w:rsidRPr="006747A0" w14:paraId="3338696C" w14:textId="77777777" w:rsidTr="00381F3A">
        <w:trPr>
          <w:trHeight w:val="187"/>
        </w:trPr>
        <w:tc>
          <w:tcPr>
            <w:tcW w:w="1099" w:type="pct"/>
            <w:shd w:val="clear" w:color="auto" w:fill="auto"/>
            <w:noWrap/>
            <w:vAlign w:val="center"/>
            <w:hideMark/>
          </w:tcPr>
          <w:p w14:paraId="22708B9D" w14:textId="7F823F62"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 xml:space="preserve">Liguria  </w:t>
            </w:r>
          </w:p>
        </w:tc>
        <w:tc>
          <w:tcPr>
            <w:tcW w:w="975" w:type="pct"/>
            <w:shd w:val="clear" w:color="auto" w:fill="auto"/>
            <w:noWrap/>
            <w:vAlign w:val="center"/>
            <w:hideMark/>
          </w:tcPr>
          <w:p w14:paraId="52A8C2E0"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8.872</w:t>
            </w:r>
          </w:p>
        </w:tc>
        <w:tc>
          <w:tcPr>
            <w:tcW w:w="975" w:type="pct"/>
            <w:shd w:val="clear" w:color="auto" w:fill="auto"/>
            <w:noWrap/>
            <w:vAlign w:val="center"/>
            <w:hideMark/>
          </w:tcPr>
          <w:p w14:paraId="1D62A011"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38.592</w:t>
            </w:r>
          </w:p>
        </w:tc>
        <w:tc>
          <w:tcPr>
            <w:tcW w:w="975" w:type="pct"/>
            <w:shd w:val="clear" w:color="auto" w:fill="auto"/>
            <w:noWrap/>
            <w:vAlign w:val="center"/>
          </w:tcPr>
          <w:p w14:paraId="6BA35C81" w14:textId="7BBC30FB"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4,3</w:t>
            </w:r>
          </w:p>
        </w:tc>
        <w:tc>
          <w:tcPr>
            <w:tcW w:w="975" w:type="pct"/>
            <w:shd w:val="clear" w:color="auto" w:fill="auto"/>
            <w:noWrap/>
            <w:vAlign w:val="center"/>
            <w:hideMark/>
          </w:tcPr>
          <w:p w14:paraId="7520A0C5"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77.018</w:t>
            </w:r>
          </w:p>
        </w:tc>
      </w:tr>
      <w:tr w:rsidR="00381F3A" w:rsidRPr="006747A0" w14:paraId="35547E75" w14:textId="77777777" w:rsidTr="00381F3A">
        <w:trPr>
          <w:trHeight w:val="187"/>
        </w:trPr>
        <w:tc>
          <w:tcPr>
            <w:tcW w:w="1099" w:type="pct"/>
            <w:shd w:val="clear" w:color="auto" w:fill="auto"/>
            <w:noWrap/>
            <w:vAlign w:val="center"/>
            <w:hideMark/>
          </w:tcPr>
          <w:p w14:paraId="1631217D" w14:textId="42C68132"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 xml:space="preserve">Lombardia  </w:t>
            </w:r>
          </w:p>
        </w:tc>
        <w:tc>
          <w:tcPr>
            <w:tcW w:w="975" w:type="pct"/>
            <w:shd w:val="clear" w:color="auto" w:fill="auto"/>
            <w:noWrap/>
            <w:vAlign w:val="center"/>
            <w:hideMark/>
          </w:tcPr>
          <w:p w14:paraId="75DE764C"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41.120</w:t>
            </w:r>
          </w:p>
        </w:tc>
        <w:tc>
          <w:tcPr>
            <w:tcW w:w="975" w:type="pct"/>
            <w:shd w:val="clear" w:color="auto" w:fill="auto"/>
            <w:noWrap/>
            <w:vAlign w:val="center"/>
            <w:hideMark/>
          </w:tcPr>
          <w:p w14:paraId="64B657FB"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958.378</w:t>
            </w:r>
          </w:p>
        </w:tc>
        <w:tc>
          <w:tcPr>
            <w:tcW w:w="975" w:type="pct"/>
            <w:shd w:val="clear" w:color="auto" w:fill="auto"/>
            <w:noWrap/>
            <w:vAlign w:val="center"/>
          </w:tcPr>
          <w:p w14:paraId="425A1B2A" w14:textId="7DB01985"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23,3</w:t>
            </w:r>
          </w:p>
        </w:tc>
        <w:tc>
          <w:tcPr>
            <w:tcW w:w="975" w:type="pct"/>
            <w:shd w:val="clear" w:color="auto" w:fill="auto"/>
            <w:noWrap/>
            <w:vAlign w:val="center"/>
            <w:hideMark/>
          </w:tcPr>
          <w:p w14:paraId="15D0F214"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1.155.845</w:t>
            </w:r>
          </w:p>
        </w:tc>
      </w:tr>
      <w:tr w:rsidR="00381F3A" w:rsidRPr="006747A0" w14:paraId="5278C0EC" w14:textId="77777777" w:rsidTr="00381F3A">
        <w:trPr>
          <w:trHeight w:val="187"/>
        </w:trPr>
        <w:tc>
          <w:tcPr>
            <w:tcW w:w="1099" w:type="pct"/>
            <w:shd w:val="clear" w:color="auto" w:fill="auto"/>
            <w:noWrap/>
            <w:vAlign w:val="center"/>
            <w:hideMark/>
          </w:tcPr>
          <w:p w14:paraId="0584129E" w14:textId="545738E6"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Trent</w:t>
            </w:r>
            <w:r w:rsidRPr="00136C8F">
              <w:rPr>
                <w:rFonts w:eastAsia="Times New Roman" w:cstheme="minorHAnsi"/>
                <w:sz w:val="20"/>
                <w:szCs w:val="24"/>
                <w:lang w:eastAsia="it-IT"/>
              </w:rPr>
              <w:t>ino A.A.</w:t>
            </w:r>
          </w:p>
        </w:tc>
        <w:tc>
          <w:tcPr>
            <w:tcW w:w="975" w:type="pct"/>
            <w:shd w:val="clear" w:color="auto" w:fill="auto"/>
            <w:noWrap/>
            <w:vAlign w:val="center"/>
            <w:hideMark/>
          </w:tcPr>
          <w:p w14:paraId="36CAEF25"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24.935</w:t>
            </w:r>
          </w:p>
        </w:tc>
        <w:tc>
          <w:tcPr>
            <w:tcW w:w="975" w:type="pct"/>
            <w:shd w:val="clear" w:color="auto" w:fill="auto"/>
            <w:noWrap/>
            <w:vAlign w:val="center"/>
            <w:hideMark/>
          </w:tcPr>
          <w:p w14:paraId="555BEA84"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336.607</w:t>
            </w:r>
          </w:p>
        </w:tc>
        <w:tc>
          <w:tcPr>
            <w:tcW w:w="975" w:type="pct"/>
            <w:shd w:val="clear" w:color="auto" w:fill="auto"/>
            <w:noWrap/>
            <w:vAlign w:val="center"/>
          </w:tcPr>
          <w:p w14:paraId="4240AD88" w14:textId="67D00BC2"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13,5</w:t>
            </w:r>
          </w:p>
        </w:tc>
        <w:tc>
          <w:tcPr>
            <w:tcW w:w="975" w:type="pct"/>
            <w:shd w:val="clear" w:color="auto" w:fill="auto"/>
            <w:noWrap/>
            <w:vAlign w:val="center"/>
            <w:hideMark/>
          </w:tcPr>
          <w:p w14:paraId="464E239B"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732.391</w:t>
            </w:r>
          </w:p>
        </w:tc>
      </w:tr>
      <w:tr w:rsidR="00381F3A" w:rsidRPr="006747A0" w14:paraId="4267ABF0" w14:textId="77777777" w:rsidTr="00381F3A">
        <w:trPr>
          <w:trHeight w:val="187"/>
        </w:trPr>
        <w:tc>
          <w:tcPr>
            <w:tcW w:w="1099" w:type="pct"/>
            <w:shd w:val="clear" w:color="auto" w:fill="auto"/>
            <w:noWrap/>
            <w:vAlign w:val="center"/>
            <w:hideMark/>
          </w:tcPr>
          <w:p w14:paraId="7D8E1265" w14:textId="312EB250"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 xml:space="preserve">Veneto  </w:t>
            </w:r>
          </w:p>
        </w:tc>
        <w:tc>
          <w:tcPr>
            <w:tcW w:w="975" w:type="pct"/>
            <w:shd w:val="clear" w:color="auto" w:fill="auto"/>
            <w:noWrap/>
            <w:vAlign w:val="center"/>
            <w:hideMark/>
          </w:tcPr>
          <w:p w14:paraId="4E64A5C6"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74.884</w:t>
            </w:r>
          </w:p>
        </w:tc>
        <w:tc>
          <w:tcPr>
            <w:tcW w:w="975" w:type="pct"/>
            <w:shd w:val="clear" w:color="auto" w:fill="auto"/>
            <w:noWrap/>
            <w:vAlign w:val="center"/>
            <w:hideMark/>
          </w:tcPr>
          <w:p w14:paraId="423F1210"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781.633</w:t>
            </w:r>
          </w:p>
        </w:tc>
        <w:tc>
          <w:tcPr>
            <w:tcW w:w="975" w:type="pct"/>
            <w:shd w:val="clear" w:color="auto" w:fill="auto"/>
            <w:noWrap/>
            <w:vAlign w:val="center"/>
          </w:tcPr>
          <w:p w14:paraId="08A4C0D0" w14:textId="336008D7"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10,4</w:t>
            </w:r>
          </w:p>
        </w:tc>
        <w:tc>
          <w:tcPr>
            <w:tcW w:w="975" w:type="pct"/>
            <w:shd w:val="clear" w:color="auto" w:fill="auto"/>
            <w:noWrap/>
            <w:vAlign w:val="center"/>
            <w:hideMark/>
          </w:tcPr>
          <w:p w14:paraId="3385AC9A"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1.018.182</w:t>
            </w:r>
          </w:p>
        </w:tc>
      </w:tr>
      <w:tr w:rsidR="00381F3A" w:rsidRPr="006747A0" w14:paraId="2646D4E2" w14:textId="77777777" w:rsidTr="00381F3A">
        <w:trPr>
          <w:trHeight w:val="187"/>
        </w:trPr>
        <w:tc>
          <w:tcPr>
            <w:tcW w:w="1099" w:type="pct"/>
            <w:shd w:val="clear" w:color="auto" w:fill="auto"/>
            <w:noWrap/>
            <w:vAlign w:val="center"/>
            <w:hideMark/>
          </w:tcPr>
          <w:p w14:paraId="1E3BDB80" w14:textId="5EEED687"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Friuli</w:t>
            </w:r>
            <w:r w:rsidRPr="00136C8F">
              <w:rPr>
                <w:rFonts w:eastAsia="Times New Roman" w:cstheme="minorHAnsi"/>
                <w:sz w:val="20"/>
                <w:szCs w:val="24"/>
                <w:lang w:eastAsia="it-IT"/>
              </w:rPr>
              <w:t xml:space="preserve"> </w:t>
            </w:r>
            <w:r w:rsidRPr="006747A0">
              <w:rPr>
                <w:rFonts w:eastAsia="Times New Roman" w:cstheme="minorHAnsi"/>
                <w:sz w:val="20"/>
                <w:szCs w:val="24"/>
                <w:lang w:eastAsia="it-IT"/>
              </w:rPr>
              <w:t>-</w:t>
            </w:r>
            <w:r w:rsidRPr="00136C8F">
              <w:rPr>
                <w:rFonts w:eastAsia="Times New Roman" w:cstheme="minorHAnsi"/>
                <w:sz w:val="20"/>
                <w:szCs w:val="24"/>
                <w:lang w:eastAsia="it-IT"/>
              </w:rPr>
              <w:t xml:space="preserve"> </w:t>
            </w:r>
            <w:r w:rsidRPr="006747A0">
              <w:rPr>
                <w:rFonts w:eastAsia="Times New Roman" w:cstheme="minorHAnsi"/>
                <w:sz w:val="20"/>
                <w:szCs w:val="24"/>
                <w:lang w:eastAsia="it-IT"/>
              </w:rPr>
              <w:t>V</w:t>
            </w:r>
            <w:r w:rsidRPr="00136C8F">
              <w:rPr>
                <w:rFonts w:eastAsia="Times New Roman" w:cstheme="minorHAnsi"/>
                <w:sz w:val="20"/>
                <w:szCs w:val="24"/>
                <w:lang w:eastAsia="it-IT"/>
              </w:rPr>
              <w:t>.G.</w:t>
            </w:r>
          </w:p>
        </w:tc>
        <w:tc>
          <w:tcPr>
            <w:tcW w:w="975" w:type="pct"/>
            <w:shd w:val="clear" w:color="auto" w:fill="auto"/>
            <w:noWrap/>
            <w:vAlign w:val="center"/>
            <w:hideMark/>
          </w:tcPr>
          <w:p w14:paraId="796071A6"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18.611</w:t>
            </w:r>
          </w:p>
        </w:tc>
        <w:tc>
          <w:tcPr>
            <w:tcW w:w="975" w:type="pct"/>
            <w:shd w:val="clear" w:color="auto" w:fill="auto"/>
            <w:noWrap/>
            <w:vAlign w:val="center"/>
            <w:hideMark/>
          </w:tcPr>
          <w:p w14:paraId="62F58C41"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231.442</w:t>
            </w:r>
          </w:p>
        </w:tc>
        <w:tc>
          <w:tcPr>
            <w:tcW w:w="975" w:type="pct"/>
            <w:shd w:val="clear" w:color="auto" w:fill="auto"/>
            <w:noWrap/>
            <w:vAlign w:val="center"/>
          </w:tcPr>
          <w:p w14:paraId="0112722F" w14:textId="063FE126"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12,4</w:t>
            </w:r>
          </w:p>
        </w:tc>
        <w:tc>
          <w:tcPr>
            <w:tcW w:w="975" w:type="pct"/>
            <w:shd w:val="clear" w:color="auto" w:fill="auto"/>
            <w:noWrap/>
            <w:vAlign w:val="center"/>
            <w:hideMark/>
          </w:tcPr>
          <w:p w14:paraId="3BB31D03"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276.735</w:t>
            </w:r>
          </w:p>
        </w:tc>
      </w:tr>
      <w:tr w:rsidR="00381F3A" w:rsidRPr="006747A0" w14:paraId="4BE3CE5D" w14:textId="77777777" w:rsidTr="00381F3A">
        <w:trPr>
          <w:trHeight w:val="187"/>
        </w:trPr>
        <w:tc>
          <w:tcPr>
            <w:tcW w:w="1099" w:type="pct"/>
            <w:shd w:val="clear" w:color="auto" w:fill="auto"/>
            <w:noWrap/>
            <w:vAlign w:val="center"/>
            <w:hideMark/>
          </w:tcPr>
          <w:p w14:paraId="0661BB58" w14:textId="0BA8EB03"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Emilia</w:t>
            </w:r>
            <w:r w:rsidRPr="00136C8F">
              <w:rPr>
                <w:rFonts w:eastAsia="Times New Roman" w:cstheme="minorHAnsi"/>
                <w:sz w:val="20"/>
                <w:szCs w:val="24"/>
                <w:lang w:eastAsia="it-IT"/>
              </w:rPr>
              <w:t xml:space="preserve"> - </w:t>
            </w:r>
            <w:r w:rsidRPr="006747A0">
              <w:rPr>
                <w:rFonts w:eastAsia="Times New Roman" w:cstheme="minorHAnsi"/>
                <w:sz w:val="20"/>
                <w:szCs w:val="24"/>
                <w:lang w:eastAsia="it-IT"/>
              </w:rPr>
              <w:t>R</w:t>
            </w:r>
            <w:r w:rsidRPr="00136C8F">
              <w:rPr>
                <w:rFonts w:eastAsia="Times New Roman" w:cstheme="minorHAnsi"/>
                <w:sz w:val="20"/>
                <w:szCs w:val="24"/>
                <w:lang w:eastAsia="it-IT"/>
              </w:rPr>
              <w:t>.</w:t>
            </w:r>
            <w:r w:rsidRPr="006747A0">
              <w:rPr>
                <w:rFonts w:eastAsia="Times New Roman" w:cstheme="minorHAnsi"/>
                <w:sz w:val="20"/>
                <w:szCs w:val="24"/>
                <w:lang w:eastAsia="it-IT"/>
              </w:rPr>
              <w:t xml:space="preserve">  </w:t>
            </w:r>
          </w:p>
        </w:tc>
        <w:tc>
          <w:tcPr>
            <w:tcW w:w="975" w:type="pct"/>
            <w:shd w:val="clear" w:color="auto" w:fill="auto"/>
            <w:noWrap/>
            <w:vAlign w:val="center"/>
            <w:hideMark/>
          </w:tcPr>
          <w:p w14:paraId="6E5CDF41"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59.674</w:t>
            </w:r>
          </w:p>
        </w:tc>
        <w:tc>
          <w:tcPr>
            <w:tcW w:w="975" w:type="pct"/>
            <w:shd w:val="clear" w:color="auto" w:fill="auto"/>
            <w:noWrap/>
            <w:vAlign w:val="center"/>
            <w:hideMark/>
          </w:tcPr>
          <w:p w14:paraId="6A2AADC2"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1.081.217</w:t>
            </w:r>
          </w:p>
        </w:tc>
        <w:tc>
          <w:tcPr>
            <w:tcW w:w="975" w:type="pct"/>
            <w:shd w:val="clear" w:color="auto" w:fill="auto"/>
            <w:noWrap/>
            <w:vAlign w:val="center"/>
          </w:tcPr>
          <w:p w14:paraId="0258DA73" w14:textId="5BAD1564"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18,1</w:t>
            </w:r>
          </w:p>
        </w:tc>
        <w:tc>
          <w:tcPr>
            <w:tcW w:w="975" w:type="pct"/>
            <w:shd w:val="clear" w:color="auto" w:fill="auto"/>
            <w:noWrap/>
            <w:vAlign w:val="center"/>
            <w:hideMark/>
          </w:tcPr>
          <w:p w14:paraId="25C121A1"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1.443.455</w:t>
            </w:r>
          </w:p>
        </w:tc>
      </w:tr>
      <w:tr w:rsidR="00381F3A" w:rsidRPr="006747A0" w14:paraId="277A9F76" w14:textId="77777777" w:rsidTr="00381F3A">
        <w:trPr>
          <w:trHeight w:val="187"/>
        </w:trPr>
        <w:tc>
          <w:tcPr>
            <w:tcW w:w="1099" w:type="pct"/>
            <w:shd w:val="clear" w:color="auto" w:fill="auto"/>
            <w:noWrap/>
            <w:vAlign w:val="center"/>
            <w:hideMark/>
          </w:tcPr>
          <w:p w14:paraId="7D70B341" w14:textId="6A4C9021"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 xml:space="preserve">Toscana  </w:t>
            </w:r>
          </w:p>
        </w:tc>
        <w:tc>
          <w:tcPr>
            <w:tcW w:w="975" w:type="pct"/>
            <w:shd w:val="clear" w:color="auto" w:fill="auto"/>
            <w:noWrap/>
            <w:vAlign w:val="center"/>
            <w:hideMark/>
          </w:tcPr>
          <w:p w14:paraId="6799ACE9"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45.116</w:t>
            </w:r>
          </w:p>
        </w:tc>
        <w:tc>
          <w:tcPr>
            <w:tcW w:w="975" w:type="pct"/>
            <w:shd w:val="clear" w:color="auto" w:fill="auto"/>
            <w:noWrap/>
            <w:vAlign w:val="center"/>
            <w:hideMark/>
          </w:tcPr>
          <w:p w14:paraId="370F6EDA"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660.597</w:t>
            </w:r>
          </w:p>
        </w:tc>
        <w:tc>
          <w:tcPr>
            <w:tcW w:w="975" w:type="pct"/>
            <w:shd w:val="clear" w:color="auto" w:fill="auto"/>
            <w:noWrap/>
            <w:vAlign w:val="center"/>
          </w:tcPr>
          <w:p w14:paraId="661C6AFF" w14:textId="1A1A8C13"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14,6</w:t>
            </w:r>
          </w:p>
        </w:tc>
        <w:tc>
          <w:tcPr>
            <w:tcW w:w="975" w:type="pct"/>
            <w:shd w:val="clear" w:color="auto" w:fill="auto"/>
            <w:noWrap/>
            <w:vAlign w:val="center"/>
            <w:hideMark/>
          </w:tcPr>
          <w:p w14:paraId="6B41B59D"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1.238.548</w:t>
            </w:r>
          </w:p>
        </w:tc>
      </w:tr>
      <w:tr w:rsidR="00381F3A" w:rsidRPr="006747A0" w14:paraId="65436D6E" w14:textId="77777777" w:rsidTr="00381F3A">
        <w:trPr>
          <w:trHeight w:val="187"/>
        </w:trPr>
        <w:tc>
          <w:tcPr>
            <w:tcW w:w="1099" w:type="pct"/>
            <w:shd w:val="clear" w:color="auto" w:fill="auto"/>
            <w:noWrap/>
            <w:vAlign w:val="center"/>
            <w:hideMark/>
          </w:tcPr>
          <w:p w14:paraId="264436F4" w14:textId="16422B1E"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 xml:space="preserve">Umbria  </w:t>
            </w:r>
          </w:p>
        </w:tc>
        <w:tc>
          <w:tcPr>
            <w:tcW w:w="975" w:type="pct"/>
            <w:shd w:val="clear" w:color="auto" w:fill="auto"/>
            <w:noWrap/>
            <w:vAlign w:val="center"/>
            <w:hideMark/>
          </w:tcPr>
          <w:p w14:paraId="21FCF440"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28.650</w:t>
            </w:r>
          </w:p>
        </w:tc>
        <w:tc>
          <w:tcPr>
            <w:tcW w:w="975" w:type="pct"/>
            <w:shd w:val="clear" w:color="auto" w:fill="auto"/>
            <w:noWrap/>
            <w:vAlign w:val="center"/>
            <w:hideMark/>
          </w:tcPr>
          <w:p w14:paraId="414455F8"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334.618</w:t>
            </w:r>
          </w:p>
        </w:tc>
        <w:tc>
          <w:tcPr>
            <w:tcW w:w="975" w:type="pct"/>
            <w:shd w:val="clear" w:color="auto" w:fill="auto"/>
            <w:noWrap/>
            <w:vAlign w:val="center"/>
          </w:tcPr>
          <w:p w14:paraId="75A2E741" w14:textId="077C7A37"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11,7</w:t>
            </w:r>
          </w:p>
        </w:tc>
        <w:tc>
          <w:tcPr>
            <w:tcW w:w="975" w:type="pct"/>
            <w:shd w:val="clear" w:color="auto" w:fill="auto"/>
            <w:noWrap/>
            <w:vAlign w:val="center"/>
            <w:hideMark/>
          </w:tcPr>
          <w:p w14:paraId="058EA0E1"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517.089</w:t>
            </w:r>
          </w:p>
        </w:tc>
      </w:tr>
      <w:tr w:rsidR="00381F3A" w:rsidRPr="006747A0" w14:paraId="20B6B4E8" w14:textId="77777777" w:rsidTr="00381F3A">
        <w:trPr>
          <w:trHeight w:val="187"/>
        </w:trPr>
        <w:tc>
          <w:tcPr>
            <w:tcW w:w="1099" w:type="pct"/>
            <w:shd w:val="clear" w:color="auto" w:fill="auto"/>
            <w:noWrap/>
            <w:vAlign w:val="center"/>
            <w:hideMark/>
          </w:tcPr>
          <w:p w14:paraId="66CA0414" w14:textId="037CCB4F"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 xml:space="preserve">Marche  </w:t>
            </w:r>
          </w:p>
        </w:tc>
        <w:tc>
          <w:tcPr>
            <w:tcW w:w="975" w:type="pct"/>
            <w:shd w:val="clear" w:color="auto" w:fill="auto"/>
            <w:noWrap/>
            <w:vAlign w:val="center"/>
            <w:hideMark/>
          </w:tcPr>
          <w:p w14:paraId="6F0B5B6A"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36.783</w:t>
            </w:r>
          </w:p>
        </w:tc>
        <w:tc>
          <w:tcPr>
            <w:tcW w:w="975" w:type="pct"/>
            <w:shd w:val="clear" w:color="auto" w:fill="auto"/>
            <w:noWrap/>
            <w:vAlign w:val="center"/>
            <w:hideMark/>
          </w:tcPr>
          <w:p w14:paraId="324F0744"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471.004</w:t>
            </w:r>
          </w:p>
        </w:tc>
        <w:tc>
          <w:tcPr>
            <w:tcW w:w="975" w:type="pct"/>
            <w:shd w:val="clear" w:color="auto" w:fill="auto"/>
            <w:noWrap/>
            <w:vAlign w:val="center"/>
          </w:tcPr>
          <w:p w14:paraId="1CD68BBB" w14:textId="4D694421"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12,8</w:t>
            </w:r>
          </w:p>
        </w:tc>
        <w:tc>
          <w:tcPr>
            <w:tcW w:w="975" w:type="pct"/>
            <w:shd w:val="clear" w:color="auto" w:fill="auto"/>
            <w:noWrap/>
            <w:vAlign w:val="center"/>
            <w:hideMark/>
          </w:tcPr>
          <w:p w14:paraId="6DBB381B"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620.043</w:t>
            </w:r>
          </w:p>
        </w:tc>
      </w:tr>
      <w:tr w:rsidR="00381F3A" w:rsidRPr="006747A0" w14:paraId="363D807A" w14:textId="77777777" w:rsidTr="00381F3A">
        <w:trPr>
          <w:trHeight w:val="187"/>
        </w:trPr>
        <w:tc>
          <w:tcPr>
            <w:tcW w:w="1099" w:type="pct"/>
            <w:shd w:val="clear" w:color="auto" w:fill="auto"/>
            <w:noWrap/>
            <w:vAlign w:val="center"/>
            <w:hideMark/>
          </w:tcPr>
          <w:p w14:paraId="1C46DC95" w14:textId="65904C05"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 xml:space="preserve">Lazio  </w:t>
            </w:r>
          </w:p>
        </w:tc>
        <w:tc>
          <w:tcPr>
            <w:tcW w:w="975" w:type="pct"/>
            <w:shd w:val="clear" w:color="auto" w:fill="auto"/>
            <w:noWrap/>
            <w:vAlign w:val="center"/>
            <w:hideMark/>
          </w:tcPr>
          <w:p w14:paraId="658911B9"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68.295</w:t>
            </w:r>
          </w:p>
        </w:tc>
        <w:tc>
          <w:tcPr>
            <w:tcW w:w="975" w:type="pct"/>
            <w:shd w:val="clear" w:color="auto" w:fill="auto"/>
            <w:noWrap/>
            <w:vAlign w:val="center"/>
            <w:hideMark/>
          </w:tcPr>
          <w:p w14:paraId="1C6C889F"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622.086</w:t>
            </w:r>
          </w:p>
        </w:tc>
        <w:tc>
          <w:tcPr>
            <w:tcW w:w="975" w:type="pct"/>
            <w:shd w:val="clear" w:color="auto" w:fill="auto"/>
            <w:noWrap/>
            <w:vAlign w:val="center"/>
          </w:tcPr>
          <w:p w14:paraId="0AC20725" w14:textId="5A679003"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9,1</w:t>
            </w:r>
          </w:p>
        </w:tc>
        <w:tc>
          <w:tcPr>
            <w:tcW w:w="975" w:type="pct"/>
            <w:shd w:val="clear" w:color="auto" w:fill="auto"/>
            <w:noWrap/>
            <w:vAlign w:val="center"/>
            <w:hideMark/>
          </w:tcPr>
          <w:p w14:paraId="5098BF94"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827.588</w:t>
            </w:r>
          </w:p>
        </w:tc>
      </w:tr>
      <w:tr w:rsidR="00381F3A" w:rsidRPr="006747A0" w14:paraId="7BF1B16D" w14:textId="77777777" w:rsidTr="00381F3A">
        <w:trPr>
          <w:trHeight w:val="187"/>
        </w:trPr>
        <w:tc>
          <w:tcPr>
            <w:tcW w:w="1099" w:type="pct"/>
            <w:shd w:val="clear" w:color="auto" w:fill="auto"/>
            <w:noWrap/>
            <w:vAlign w:val="center"/>
            <w:hideMark/>
          </w:tcPr>
          <w:p w14:paraId="70768935" w14:textId="6BC1501A"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 xml:space="preserve">Abruzzo  </w:t>
            </w:r>
          </w:p>
        </w:tc>
        <w:tc>
          <w:tcPr>
            <w:tcW w:w="975" w:type="pct"/>
            <w:shd w:val="clear" w:color="auto" w:fill="auto"/>
            <w:noWrap/>
            <w:vAlign w:val="center"/>
            <w:hideMark/>
          </w:tcPr>
          <w:p w14:paraId="0E7A9BA3"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43.098</w:t>
            </w:r>
          </w:p>
        </w:tc>
        <w:tc>
          <w:tcPr>
            <w:tcW w:w="975" w:type="pct"/>
            <w:shd w:val="clear" w:color="auto" w:fill="auto"/>
            <w:noWrap/>
            <w:vAlign w:val="center"/>
            <w:hideMark/>
          </w:tcPr>
          <w:p w14:paraId="00B7FAC1"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374.904</w:t>
            </w:r>
          </w:p>
        </w:tc>
        <w:tc>
          <w:tcPr>
            <w:tcW w:w="975" w:type="pct"/>
            <w:shd w:val="clear" w:color="auto" w:fill="auto"/>
            <w:noWrap/>
            <w:vAlign w:val="center"/>
          </w:tcPr>
          <w:p w14:paraId="2D1B7530" w14:textId="520C9DC1"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8,7</w:t>
            </w:r>
          </w:p>
        </w:tc>
        <w:tc>
          <w:tcPr>
            <w:tcW w:w="975" w:type="pct"/>
            <w:shd w:val="clear" w:color="auto" w:fill="auto"/>
            <w:noWrap/>
            <w:vAlign w:val="center"/>
            <w:hideMark/>
          </w:tcPr>
          <w:p w14:paraId="116B7953"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530.005</w:t>
            </w:r>
          </w:p>
        </w:tc>
      </w:tr>
      <w:tr w:rsidR="00381F3A" w:rsidRPr="006747A0" w14:paraId="32F5CD33" w14:textId="77777777" w:rsidTr="00381F3A">
        <w:trPr>
          <w:trHeight w:val="187"/>
        </w:trPr>
        <w:tc>
          <w:tcPr>
            <w:tcW w:w="1099" w:type="pct"/>
            <w:shd w:val="clear" w:color="auto" w:fill="auto"/>
            <w:noWrap/>
            <w:vAlign w:val="center"/>
            <w:hideMark/>
          </w:tcPr>
          <w:p w14:paraId="0230ABDF" w14:textId="722AF20C"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 xml:space="preserve">Molise  </w:t>
            </w:r>
          </w:p>
        </w:tc>
        <w:tc>
          <w:tcPr>
            <w:tcW w:w="975" w:type="pct"/>
            <w:shd w:val="clear" w:color="auto" w:fill="auto"/>
            <w:noWrap/>
            <w:vAlign w:val="center"/>
            <w:hideMark/>
          </w:tcPr>
          <w:p w14:paraId="203E3480"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20.871</w:t>
            </w:r>
          </w:p>
        </w:tc>
        <w:tc>
          <w:tcPr>
            <w:tcW w:w="975" w:type="pct"/>
            <w:shd w:val="clear" w:color="auto" w:fill="auto"/>
            <w:noWrap/>
            <w:vAlign w:val="center"/>
            <w:hideMark/>
          </w:tcPr>
          <w:p w14:paraId="3A599124"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192.189</w:t>
            </w:r>
          </w:p>
        </w:tc>
        <w:tc>
          <w:tcPr>
            <w:tcW w:w="975" w:type="pct"/>
            <w:shd w:val="clear" w:color="auto" w:fill="auto"/>
            <w:noWrap/>
            <w:vAlign w:val="center"/>
          </w:tcPr>
          <w:p w14:paraId="1921F702" w14:textId="490CC6B6"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9,2</w:t>
            </w:r>
          </w:p>
        </w:tc>
        <w:tc>
          <w:tcPr>
            <w:tcW w:w="975" w:type="pct"/>
            <w:shd w:val="clear" w:color="auto" w:fill="auto"/>
            <w:noWrap/>
            <w:vAlign w:val="center"/>
            <w:hideMark/>
          </w:tcPr>
          <w:p w14:paraId="470DD4E7"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230.035</w:t>
            </w:r>
          </w:p>
        </w:tc>
      </w:tr>
      <w:tr w:rsidR="00381F3A" w:rsidRPr="006747A0" w14:paraId="69476782" w14:textId="77777777" w:rsidTr="00381F3A">
        <w:trPr>
          <w:trHeight w:val="187"/>
        </w:trPr>
        <w:tc>
          <w:tcPr>
            <w:tcW w:w="1099" w:type="pct"/>
            <w:shd w:val="clear" w:color="auto" w:fill="auto"/>
            <w:noWrap/>
            <w:vAlign w:val="center"/>
            <w:hideMark/>
          </w:tcPr>
          <w:p w14:paraId="1ACDF92B" w14:textId="7494B942"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 xml:space="preserve">Campania  </w:t>
            </w:r>
          </w:p>
        </w:tc>
        <w:tc>
          <w:tcPr>
            <w:tcW w:w="975" w:type="pct"/>
            <w:shd w:val="clear" w:color="auto" w:fill="auto"/>
            <w:noWrap/>
            <w:vAlign w:val="center"/>
            <w:hideMark/>
          </w:tcPr>
          <w:p w14:paraId="6ADC9FB7"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86.594</w:t>
            </w:r>
          </w:p>
        </w:tc>
        <w:tc>
          <w:tcPr>
            <w:tcW w:w="975" w:type="pct"/>
            <w:shd w:val="clear" w:color="auto" w:fill="auto"/>
            <w:noWrap/>
            <w:vAlign w:val="center"/>
            <w:hideMark/>
          </w:tcPr>
          <w:p w14:paraId="5F160560"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527.394</w:t>
            </w:r>
          </w:p>
        </w:tc>
        <w:tc>
          <w:tcPr>
            <w:tcW w:w="975" w:type="pct"/>
            <w:shd w:val="clear" w:color="auto" w:fill="auto"/>
            <w:noWrap/>
            <w:vAlign w:val="center"/>
          </w:tcPr>
          <w:p w14:paraId="6AD9252A" w14:textId="0A30068B"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6,1</w:t>
            </w:r>
          </w:p>
        </w:tc>
        <w:tc>
          <w:tcPr>
            <w:tcW w:w="975" w:type="pct"/>
            <w:shd w:val="clear" w:color="auto" w:fill="auto"/>
            <w:noWrap/>
            <w:vAlign w:val="center"/>
            <w:hideMark/>
          </w:tcPr>
          <w:p w14:paraId="2773AEAD"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682.965</w:t>
            </w:r>
          </w:p>
        </w:tc>
      </w:tr>
      <w:tr w:rsidR="00381F3A" w:rsidRPr="006747A0" w14:paraId="7CDD11F6" w14:textId="77777777" w:rsidTr="00381F3A">
        <w:trPr>
          <w:trHeight w:val="187"/>
        </w:trPr>
        <w:tc>
          <w:tcPr>
            <w:tcW w:w="1099" w:type="pct"/>
            <w:shd w:val="clear" w:color="auto" w:fill="auto"/>
            <w:noWrap/>
            <w:vAlign w:val="center"/>
            <w:hideMark/>
          </w:tcPr>
          <w:p w14:paraId="735ADE7C" w14:textId="0893FF68"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 xml:space="preserve">Puglia  </w:t>
            </w:r>
          </w:p>
        </w:tc>
        <w:tc>
          <w:tcPr>
            <w:tcW w:w="975" w:type="pct"/>
            <w:shd w:val="clear" w:color="auto" w:fill="auto"/>
            <w:noWrap/>
            <w:vAlign w:val="center"/>
            <w:hideMark/>
          </w:tcPr>
          <w:p w14:paraId="00162958"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195.795</w:t>
            </w:r>
          </w:p>
        </w:tc>
        <w:tc>
          <w:tcPr>
            <w:tcW w:w="975" w:type="pct"/>
            <w:shd w:val="clear" w:color="auto" w:fill="auto"/>
            <w:noWrap/>
            <w:vAlign w:val="center"/>
            <w:hideMark/>
          </w:tcPr>
          <w:p w14:paraId="520A7642"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1.285.274</w:t>
            </w:r>
          </w:p>
        </w:tc>
        <w:tc>
          <w:tcPr>
            <w:tcW w:w="975" w:type="pct"/>
            <w:shd w:val="clear" w:color="auto" w:fill="auto"/>
            <w:noWrap/>
            <w:vAlign w:val="center"/>
          </w:tcPr>
          <w:p w14:paraId="7667912C" w14:textId="6F77AE7A"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6,6</w:t>
            </w:r>
          </w:p>
        </w:tc>
        <w:tc>
          <w:tcPr>
            <w:tcW w:w="975" w:type="pct"/>
            <w:shd w:val="clear" w:color="auto" w:fill="auto"/>
            <w:noWrap/>
            <w:vAlign w:val="center"/>
            <w:hideMark/>
          </w:tcPr>
          <w:p w14:paraId="7E3944F5"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1.387.868</w:t>
            </w:r>
          </w:p>
        </w:tc>
      </w:tr>
      <w:tr w:rsidR="00381F3A" w:rsidRPr="006747A0" w14:paraId="4C348362" w14:textId="77777777" w:rsidTr="00381F3A">
        <w:trPr>
          <w:trHeight w:val="187"/>
        </w:trPr>
        <w:tc>
          <w:tcPr>
            <w:tcW w:w="1099" w:type="pct"/>
            <w:shd w:val="clear" w:color="auto" w:fill="auto"/>
            <w:noWrap/>
            <w:vAlign w:val="center"/>
            <w:hideMark/>
          </w:tcPr>
          <w:p w14:paraId="480704E0" w14:textId="30B9F7F2"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 xml:space="preserve">Basilicata  </w:t>
            </w:r>
          </w:p>
        </w:tc>
        <w:tc>
          <w:tcPr>
            <w:tcW w:w="975" w:type="pct"/>
            <w:shd w:val="clear" w:color="auto" w:fill="auto"/>
            <w:noWrap/>
            <w:vAlign w:val="center"/>
            <w:hideMark/>
          </w:tcPr>
          <w:p w14:paraId="5052DE9D"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38.776</w:t>
            </w:r>
          </w:p>
        </w:tc>
        <w:tc>
          <w:tcPr>
            <w:tcW w:w="975" w:type="pct"/>
            <w:shd w:val="clear" w:color="auto" w:fill="auto"/>
            <w:noWrap/>
            <w:vAlign w:val="center"/>
            <w:hideMark/>
          </w:tcPr>
          <w:p w14:paraId="40871AEF"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490.468</w:t>
            </w:r>
          </w:p>
        </w:tc>
        <w:tc>
          <w:tcPr>
            <w:tcW w:w="975" w:type="pct"/>
            <w:shd w:val="clear" w:color="auto" w:fill="auto"/>
            <w:noWrap/>
            <w:vAlign w:val="center"/>
          </w:tcPr>
          <w:p w14:paraId="1A210E0E" w14:textId="5D6D700F"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12,6</w:t>
            </w:r>
          </w:p>
        </w:tc>
        <w:tc>
          <w:tcPr>
            <w:tcW w:w="975" w:type="pct"/>
            <w:shd w:val="clear" w:color="auto" w:fill="auto"/>
            <w:noWrap/>
            <w:vAlign w:val="center"/>
            <w:hideMark/>
          </w:tcPr>
          <w:p w14:paraId="0124F0A7"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599.355</w:t>
            </w:r>
          </w:p>
        </w:tc>
      </w:tr>
      <w:tr w:rsidR="00381F3A" w:rsidRPr="006747A0" w14:paraId="7C966568" w14:textId="77777777" w:rsidTr="00381F3A">
        <w:trPr>
          <w:trHeight w:val="187"/>
        </w:trPr>
        <w:tc>
          <w:tcPr>
            <w:tcW w:w="1099" w:type="pct"/>
            <w:shd w:val="clear" w:color="auto" w:fill="auto"/>
            <w:noWrap/>
            <w:vAlign w:val="center"/>
            <w:hideMark/>
          </w:tcPr>
          <w:p w14:paraId="15A11A09" w14:textId="6969DD79"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 xml:space="preserve">Calabria  </w:t>
            </w:r>
          </w:p>
        </w:tc>
        <w:tc>
          <w:tcPr>
            <w:tcW w:w="975" w:type="pct"/>
            <w:shd w:val="clear" w:color="auto" w:fill="auto"/>
            <w:noWrap/>
            <w:vAlign w:val="center"/>
            <w:hideMark/>
          </w:tcPr>
          <w:p w14:paraId="607084D0"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99.332</w:t>
            </w:r>
          </w:p>
        </w:tc>
        <w:tc>
          <w:tcPr>
            <w:tcW w:w="975" w:type="pct"/>
            <w:shd w:val="clear" w:color="auto" w:fill="auto"/>
            <w:noWrap/>
            <w:vAlign w:val="center"/>
            <w:hideMark/>
          </w:tcPr>
          <w:p w14:paraId="4B8394FB"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572.148</w:t>
            </w:r>
          </w:p>
        </w:tc>
        <w:tc>
          <w:tcPr>
            <w:tcW w:w="975" w:type="pct"/>
            <w:shd w:val="clear" w:color="auto" w:fill="auto"/>
            <w:noWrap/>
            <w:vAlign w:val="center"/>
          </w:tcPr>
          <w:p w14:paraId="11F74DC2" w14:textId="4A70E576"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5,8</w:t>
            </w:r>
          </w:p>
        </w:tc>
        <w:tc>
          <w:tcPr>
            <w:tcW w:w="975" w:type="pct"/>
            <w:shd w:val="clear" w:color="auto" w:fill="auto"/>
            <w:noWrap/>
            <w:vAlign w:val="center"/>
            <w:hideMark/>
          </w:tcPr>
          <w:p w14:paraId="576EC685"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732.009</w:t>
            </w:r>
          </w:p>
        </w:tc>
      </w:tr>
      <w:tr w:rsidR="00381F3A" w:rsidRPr="006747A0" w14:paraId="1AD466F8" w14:textId="77777777" w:rsidTr="00381F3A">
        <w:trPr>
          <w:trHeight w:val="187"/>
        </w:trPr>
        <w:tc>
          <w:tcPr>
            <w:tcW w:w="1099" w:type="pct"/>
            <w:shd w:val="clear" w:color="auto" w:fill="auto"/>
            <w:noWrap/>
            <w:vAlign w:val="center"/>
            <w:hideMark/>
          </w:tcPr>
          <w:p w14:paraId="30BD3AD9" w14:textId="0410FA93"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 xml:space="preserve">Sicilia  </w:t>
            </w:r>
          </w:p>
        </w:tc>
        <w:tc>
          <w:tcPr>
            <w:tcW w:w="975" w:type="pct"/>
            <w:shd w:val="clear" w:color="auto" w:fill="auto"/>
            <w:noWrap/>
            <w:vAlign w:val="center"/>
            <w:hideMark/>
          </w:tcPr>
          <w:p w14:paraId="6687583E"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153.503</w:t>
            </w:r>
          </w:p>
        </w:tc>
        <w:tc>
          <w:tcPr>
            <w:tcW w:w="975" w:type="pct"/>
            <w:shd w:val="clear" w:color="auto" w:fill="auto"/>
            <w:noWrap/>
            <w:vAlign w:val="center"/>
            <w:hideMark/>
          </w:tcPr>
          <w:p w14:paraId="53042790"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1.438.685</w:t>
            </w:r>
          </w:p>
        </w:tc>
        <w:tc>
          <w:tcPr>
            <w:tcW w:w="975" w:type="pct"/>
            <w:shd w:val="clear" w:color="auto" w:fill="auto"/>
            <w:noWrap/>
            <w:vAlign w:val="center"/>
          </w:tcPr>
          <w:p w14:paraId="616EACEE" w14:textId="681FBCED"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9,4</w:t>
            </w:r>
          </w:p>
        </w:tc>
        <w:tc>
          <w:tcPr>
            <w:tcW w:w="975" w:type="pct"/>
            <w:shd w:val="clear" w:color="auto" w:fill="auto"/>
            <w:noWrap/>
            <w:vAlign w:val="center"/>
            <w:hideMark/>
          </w:tcPr>
          <w:p w14:paraId="6DED1CB2"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1.612.010</w:t>
            </w:r>
          </w:p>
        </w:tc>
      </w:tr>
      <w:tr w:rsidR="00381F3A" w:rsidRPr="006747A0" w14:paraId="443B2C8C" w14:textId="77777777" w:rsidTr="00381F3A">
        <w:trPr>
          <w:trHeight w:val="187"/>
        </w:trPr>
        <w:tc>
          <w:tcPr>
            <w:tcW w:w="1099" w:type="pct"/>
            <w:shd w:val="clear" w:color="auto" w:fill="auto"/>
            <w:noWrap/>
            <w:vAlign w:val="center"/>
            <w:hideMark/>
          </w:tcPr>
          <w:p w14:paraId="617F01D2" w14:textId="7F2686DE" w:rsidR="00381F3A" w:rsidRPr="006747A0" w:rsidRDefault="00381F3A" w:rsidP="00381F3A">
            <w:pPr>
              <w:spacing w:after="0"/>
              <w:jc w:val="left"/>
              <w:rPr>
                <w:rFonts w:eastAsia="Times New Roman" w:cstheme="minorHAnsi"/>
                <w:sz w:val="20"/>
                <w:szCs w:val="24"/>
                <w:lang w:eastAsia="it-IT"/>
              </w:rPr>
            </w:pPr>
            <w:r w:rsidRPr="006747A0">
              <w:rPr>
                <w:rFonts w:eastAsia="Times New Roman" w:cstheme="minorHAnsi"/>
                <w:sz w:val="20"/>
                <w:szCs w:val="24"/>
                <w:lang w:eastAsia="it-IT"/>
              </w:rPr>
              <w:t xml:space="preserve">Sardegna  </w:t>
            </w:r>
          </w:p>
        </w:tc>
        <w:tc>
          <w:tcPr>
            <w:tcW w:w="975" w:type="pct"/>
            <w:shd w:val="clear" w:color="auto" w:fill="auto"/>
            <w:noWrap/>
            <w:vAlign w:val="center"/>
            <w:hideMark/>
          </w:tcPr>
          <w:p w14:paraId="6075CB4D"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48.511</w:t>
            </w:r>
          </w:p>
        </w:tc>
        <w:tc>
          <w:tcPr>
            <w:tcW w:w="975" w:type="pct"/>
            <w:shd w:val="clear" w:color="auto" w:fill="auto"/>
            <w:noWrap/>
            <w:vAlign w:val="center"/>
            <w:hideMark/>
          </w:tcPr>
          <w:p w14:paraId="3A90F1AD"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1.187.624</w:t>
            </w:r>
          </w:p>
        </w:tc>
        <w:tc>
          <w:tcPr>
            <w:tcW w:w="975" w:type="pct"/>
            <w:shd w:val="clear" w:color="auto" w:fill="auto"/>
            <w:noWrap/>
            <w:vAlign w:val="center"/>
          </w:tcPr>
          <w:p w14:paraId="65943B7C" w14:textId="249FC0DE" w:rsidR="00381F3A" w:rsidRPr="006747A0" w:rsidRDefault="00381F3A" w:rsidP="00381F3A">
            <w:pPr>
              <w:spacing w:after="0"/>
              <w:jc w:val="right"/>
              <w:rPr>
                <w:rFonts w:eastAsia="Times New Roman" w:cstheme="minorHAnsi"/>
                <w:sz w:val="20"/>
                <w:szCs w:val="24"/>
                <w:lang w:eastAsia="it-IT"/>
              </w:rPr>
            </w:pPr>
            <w:r w:rsidRPr="00381F3A">
              <w:rPr>
                <w:rFonts w:eastAsia="Times New Roman" w:cstheme="minorHAnsi"/>
                <w:sz w:val="20"/>
                <w:szCs w:val="24"/>
                <w:lang w:eastAsia="it-IT"/>
              </w:rPr>
              <w:t>24,5</w:t>
            </w:r>
          </w:p>
        </w:tc>
        <w:tc>
          <w:tcPr>
            <w:tcW w:w="975" w:type="pct"/>
            <w:shd w:val="clear" w:color="auto" w:fill="auto"/>
            <w:noWrap/>
            <w:vAlign w:val="center"/>
            <w:hideMark/>
          </w:tcPr>
          <w:p w14:paraId="02BAE263" w14:textId="77777777" w:rsidR="00381F3A" w:rsidRPr="006747A0" w:rsidRDefault="00381F3A" w:rsidP="00381F3A">
            <w:pPr>
              <w:spacing w:after="0"/>
              <w:jc w:val="right"/>
              <w:rPr>
                <w:rFonts w:eastAsia="Times New Roman" w:cstheme="minorHAnsi"/>
                <w:sz w:val="20"/>
                <w:szCs w:val="24"/>
                <w:lang w:eastAsia="it-IT"/>
              </w:rPr>
            </w:pPr>
            <w:r w:rsidRPr="006747A0">
              <w:rPr>
                <w:rFonts w:eastAsia="Times New Roman" w:cstheme="minorHAnsi"/>
                <w:sz w:val="20"/>
                <w:szCs w:val="24"/>
                <w:lang w:eastAsia="it-IT"/>
              </w:rPr>
              <w:t>1.463.957</w:t>
            </w:r>
          </w:p>
        </w:tc>
      </w:tr>
      <w:tr w:rsidR="00381F3A" w:rsidRPr="006747A0" w14:paraId="138401C8" w14:textId="77777777" w:rsidTr="00381F3A">
        <w:trPr>
          <w:trHeight w:val="187"/>
        </w:trPr>
        <w:tc>
          <w:tcPr>
            <w:tcW w:w="1099" w:type="pct"/>
            <w:shd w:val="clear" w:color="auto" w:fill="auto"/>
            <w:noWrap/>
            <w:vAlign w:val="center"/>
            <w:hideMark/>
          </w:tcPr>
          <w:p w14:paraId="2D28CC34" w14:textId="41B60690" w:rsidR="00381F3A" w:rsidRPr="006747A0" w:rsidRDefault="00381F3A" w:rsidP="00381F3A">
            <w:pPr>
              <w:spacing w:after="0"/>
              <w:jc w:val="left"/>
              <w:rPr>
                <w:rFonts w:eastAsia="Times New Roman" w:cstheme="minorHAnsi"/>
                <w:b/>
                <w:sz w:val="20"/>
                <w:szCs w:val="24"/>
                <w:lang w:eastAsia="it-IT"/>
              </w:rPr>
            </w:pPr>
            <w:r w:rsidRPr="006747A0">
              <w:rPr>
                <w:rFonts w:eastAsia="Times New Roman" w:cstheme="minorHAnsi"/>
                <w:b/>
                <w:sz w:val="20"/>
                <w:szCs w:val="24"/>
                <w:lang w:eastAsia="it-IT"/>
              </w:rPr>
              <w:t xml:space="preserve">Italia  </w:t>
            </w:r>
          </w:p>
        </w:tc>
        <w:tc>
          <w:tcPr>
            <w:tcW w:w="975" w:type="pct"/>
            <w:shd w:val="clear" w:color="auto" w:fill="auto"/>
            <w:noWrap/>
            <w:vAlign w:val="center"/>
            <w:hideMark/>
          </w:tcPr>
          <w:p w14:paraId="112EBC76" w14:textId="77777777" w:rsidR="00381F3A" w:rsidRPr="00AA5B3D" w:rsidRDefault="00381F3A" w:rsidP="00381F3A">
            <w:pPr>
              <w:spacing w:after="0"/>
              <w:jc w:val="right"/>
              <w:rPr>
                <w:rFonts w:eastAsia="Times New Roman" w:cstheme="minorHAnsi"/>
                <w:b/>
                <w:sz w:val="20"/>
                <w:szCs w:val="24"/>
                <w:lang w:eastAsia="it-IT"/>
              </w:rPr>
            </w:pPr>
            <w:r w:rsidRPr="00AA5B3D">
              <w:rPr>
                <w:rFonts w:eastAsia="Times New Roman" w:cstheme="minorHAnsi"/>
                <w:b/>
                <w:sz w:val="20"/>
                <w:szCs w:val="24"/>
                <w:lang w:eastAsia="it-IT"/>
              </w:rPr>
              <w:t>1.145.705</w:t>
            </w:r>
          </w:p>
        </w:tc>
        <w:tc>
          <w:tcPr>
            <w:tcW w:w="975" w:type="pct"/>
            <w:shd w:val="clear" w:color="auto" w:fill="auto"/>
            <w:noWrap/>
            <w:vAlign w:val="center"/>
            <w:hideMark/>
          </w:tcPr>
          <w:p w14:paraId="3CAB5AEE" w14:textId="77777777" w:rsidR="00381F3A" w:rsidRPr="00AA5B3D" w:rsidRDefault="00381F3A" w:rsidP="00381F3A">
            <w:pPr>
              <w:spacing w:after="0"/>
              <w:jc w:val="right"/>
              <w:rPr>
                <w:rFonts w:eastAsia="Times New Roman" w:cstheme="minorHAnsi"/>
                <w:b/>
                <w:sz w:val="20"/>
                <w:szCs w:val="24"/>
                <w:lang w:eastAsia="it-IT"/>
              </w:rPr>
            </w:pPr>
            <w:r w:rsidRPr="00AA5B3D">
              <w:rPr>
                <w:rFonts w:eastAsia="Times New Roman" w:cstheme="minorHAnsi"/>
                <w:b/>
                <w:sz w:val="20"/>
                <w:szCs w:val="24"/>
                <w:lang w:eastAsia="it-IT"/>
              </w:rPr>
              <w:t>12.598.161</w:t>
            </w:r>
          </w:p>
        </w:tc>
        <w:tc>
          <w:tcPr>
            <w:tcW w:w="975" w:type="pct"/>
            <w:shd w:val="clear" w:color="auto" w:fill="auto"/>
            <w:noWrap/>
            <w:vAlign w:val="center"/>
          </w:tcPr>
          <w:p w14:paraId="14CC3BB3" w14:textId="1FB6C64A" w:rsidR="00381F3A" w:rsidRPr="00AA5B3D" w:rsidRDefault="00381F3A" w:rsidP="00381F3A">
            <w:pPr>
              <w:spacing w:after="0"/>
              <w:jc w:val="right"/>
              <w:rPr>
                <w:rFonts w:eastAsia="Times New Roman" w:cstheme="minorHAnsi"/>
                <w:b/>
                <w:sz w:val="20"/>
                <w:szCs w:val="24"/>
                <w:lang w:eastAsia="it-IT"/>
              </w:rPr>
            </w:pPr>
            <w:r w:rsidRPr="00AA5B3D">
              <w:rPr>
                <w:rFonts w:eastAsia="Times New Roman" w:cstheme="minorHAnsi"/>
                <w:b/>
                <w:sz w:val="20"/>
                <w:szCs w:val="24"/>
                <w:lang w:eastAsia="it-IT"/>
              </w:rPr>
              <w:t>11,0</w:t>
            </w:r>
          </w:p>
        </w:tc>
        <w:tc>
          <w:tcPr>
            <w:tcW w:w="975" w:type="pct"/>
            <w:shd w:val="clear" w:color="auto" w:fill="auto"/>
            <w:noWrap/>
            <w:vAlign w:val="center"/>
            <w:hideMark/>
          </w:tcPr>
          <w:p w14:paraId="7A1AF054" w14:textId="77777777" w:rsidR="00381F3A" w:rsidRPr="00AA5B3D" w:rsidRDefault="00381F3A" w:rsidP="00381F3A">
            <w:pPr>
              <w:spacing w:after="0"/>
              <w:jc w:val="right"/>
              <w:rPr>
                <w:rFonts w:eastAsia="Times New Roman" w:cstheme="minorHAnsi"/>
                <w:b/>
                <w:sz w:val="20"/>
                <w:szCs w:val="24"/>
                <w:lang w:eastAsia="it-IT"/>
              </w:rPr>
            </w:pPr>
            <w:r w:rsidRPr="00AA5B3D">
              <w:rPr>
                <w:rFonts w:eastAsia="Times New Roman" w:cstheme="minorHAnsi"/>
                <w:b/>
                <w:sz w:val="20"/>
                <w:szCs w:val="24"/>
                <w:lang w:eastAsia="it-IT"/>
              </w:rPr>
              <w:t>16.525.472</w:t>
            </w:r>
          </w:p>
        </w:tc>
      </w:tr>
    </w:tbl>
    <w:p w14:paraId="2B52DA45" w14:textId="67FBD02A" w:rsidR="006747A0" w:rsidRDefault="006747A0" w:rsidP="008846B0">
      <w:pPr>
        <w:pStyle w:val="Fontetabellagrafico"/>
        <w:spacing w:before="60"/>
        <w:rPr>
          <w:sz w:val="20"/>
          <w:szCs w:val="20"/>
        </w:rPr>
      </w:pPr>
      <w:r w:rsidRPr="002567B6">
        <w:rPr>
          <w:sz w:val="20"/>
          <w:szCs w:val="20"/>
        </w:rPr>
        <w:t>Fonte: ISTAT</w:t>
      </w:r>
      <w:r w:rsidR="007C3A4D">
        <w:rPr>
          <w:sz w:val="20"/>
          <w:szCs w:val="20"/>
        </w:rPr>
        <w:t>,</w:t>
      </w:r>
      <w:r w:rsidR="003D457C">
        <w:rPr>
          <w:sz w:val="20"/>
          <w:szCs w:val="20"/>
        </w:rPr>
        <w:t xml:space="preserve"> tratto da CREA (2019) L’agricoltura italiana conta 2018  </w:t>
      </w:r>
    </w:p>
    <w:p w14:paraId="01E8C1D7" w14:textId="130B5284" w:rsidR="00FD3D7A" w:rsidRDefault="00FD3D7A">
      <w:pPr>
        <w:jc w:val="left"/>
        <w:rPr>
          <w:sz w:val="20"/>
          <w:szCs w:val="20"/>
        </w:rPr>
      </w:pPr>
    </w:p>
    <w:p w14:paraId="25F0A955" w14:textId="653D1DA4" w:rsidR="00F73DC4" w:rsidRDefault="00F73DC4" w:rsidP="00F73DC4">
      <w:pPr>
        <w:pStyle w:val="Titolotab-grafReport"/>
        <w:numPr>
          <w:ilvl w:val="0"/>
          <w:numId w:val="0"/>
        </w:numPr>
        <w:spacing w:after="120"/>
      </w:pPr>
      <w:r w:rsidRPr="006561B9">
        <w:t>Tabella 1.2 Principali caratteristiche strutturali delle aziende italiane - 2016</w:t>
      </w:r>
    </w:p>
    <w:tbl>
      <w:tblPr>
        <w:tblW w:w="5000" w:type="pct"/>
        <w:tblCellMar>
          <w:left w:w="70" w:type="dxa"/>
          <w:right w:w="70" w:type="dxa"/>
        </w:tblCellMar>
        <w:tblLook w:val="04A0" w:firstRow="1" w:lastRow="0" w:firstColumn="1" w:lastColumn="0" w:noHBand="0" w:noVBand="1"/>
      </w:tblPr>
      <w:tblGrid>
        <w:gridCol w:w="4324"/>
        <w:gridCol w:w="1226"/>
        <w:gridCol w:w="530"/>
        <w:gridCol w:w="867"/>
        <w:gridCol w:w="1302"/>
        <w:gridCol w:w="530"/>
        <w:gridCol w:w="849"/>
      </w:tblGrid>
      <w:tr w:rsidR="00F73DC4" w:rsidRPr="00A800CB" w14:paraId="0A3744F6" w14:textId="77777777" w:rsidTr="00D47324">
        <w:trPr>
          <w:trHeight w:val="290"/>
        </w:trPr>
        <w:tc>
          <w:tcPr>
            <w:tcW w:w="2246" w:type="pct"/>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1C9CF55A" w14:textId="77777777" w:rsidR="00F73DC4" w:rsidRPr="00A800CB" w:rsidRDefault="00F73DC4" w:rsidP="00D47324">
            <w:pPr>
              <w:spacing w:after="0"/>
              <w:jc w:val="left"/>
              <w:rPr>
                <w:rFonts w:ascii="Calibri" w:eastAsia="Times New Roman" w:hAnsi="Calibri" w:cs="Calibri"/>
                <w:color w:val="000000"/>
                <w:lang w:eastAsia="it-IT"/>
              </w:rPr>
            </w:pPr>
            <w:r w:rsidRPr="00A800CB">
              <w:rPr>
                <w:rFonts w:ascii="Calibri" w:eastAsia="Times New Roman" w:hAnsi="Calibri" w:cs="Calibri"/>
                <w:color w:val="000000"/>
                <w:lang w:eastAsia="it-IT"/>
              </w:rPr>
              <w:t> </w:t>
            </w:r>
          </w:p>
        </w:tc>
        <w:tc>
          <w:tcPr>
            <w:tcW w:w="1362" w:type="pct"/>
            <w:gridSpan w:val="3"/>
            <w:tcBorders>
              <w:top w:val="single" w:sz="4" w:space="0" w:color="auto"/>
              <w:left w:val="nil"/>
              <w:bottom w:val="single" w:sz="4" w:space="0" w:color="auto"/>
              <w:right w:val="single" w:sz="4" w:space="0" w:color="auto"/>
            </w:tcBorders>
            <w:shd w:val="clear" w:color="000000" w:fill="B4C6E7"/>
            <w:noWrap/>
            <w:vAlign w:val="bottom"/>
            <w:hideMark/>
          </w:tcPr>
          <w:p w14:paraId="4C7D3E82" w14:textId="77777777" w:rsidR="00F73DC4" w:rsidRPr="00A800CB" w:rsidRDefault="00F73DC4" w:rsidP="00D47324">
            <w:pPr>
              <w:spacing w:after="0"/>
              <w:jc w:val="center"/>
              <w:rPr>
                <w:rFonts w:ascii="Calibri" w:eastAsia="Times New Roman" w:hAnsi="Calibri" w:cs="Calibri"/>
                <w:b/>
                <w:bCs/>
                <w:color w:val="000000"/>
                <w:lang w:eastAsia="it-IT"/>
              </w:rPr>
            </w:pPr>
            <w:r w:rsidRPr="00A800CB">
              <w:rPr>
                <w:rFonts w:ascii="Calibri" w:eastAsia="Times New Roman" w:hAnsi="Calibri" w:cs="Calibri"/>
                <w:b/>
                <w:bCs/>
                <w:color w:val="000000"/>
                <w:lang w:eastAsia="it-IT"/>
              </w:rPr>
              <w:t>Aziende</w:t>
            </w:r>
          </w:p>
        </w:tc>
        <w:tc>
          <w:tcPr>
            <w:tcW w:w="1392" w:type="pct"/>
            <w:gridSpan w:val="3"/>
            <w:tcBorders>
              <w:top w:val="single" w:sz="4" w:space="0" w:color="auto"/>
              <w:left w:val="nil"/>
              <w:bottom w:val="single" w:sz="4" w:space="0" w:color="auto"/>
              <w:right w:val="single" w:sz="4" w:space="0" w:color="000000"/>
            </w:tcBorders>
            <w:shd w:val="clear" w:color="000000" w:fill="B4C6E7"/>
            <w:noWrap/>
            <w:vAlign w:val="bottom"/>
            <w:hideMark/>
          </w:tcPr>
          <w:p w14:paraId="7BD3DFA2" w14:textId="77777777" w:rsidR="00F73DC4" w:rsidRPr="00A800CB" w:rsidRDefault="00F73DC4" w:rsidP="00D47324">
            <w:pPr>
              <w:spacing w:after="0"/>
              <w:jc w:val="center"/>
              <w:rPr>
                <w:rFonts w:ascii="Calibri" w:eastAsia="Times New Roman" w:hAnsi="Calibri" w:cs="Calibri"/>
                <w:b/>
                <w:bCs/>
                <w:color w:val="000000"/>
                <w:lang w:eastAsia="it-IT"/>
              </w:rPr>
            </w:pPr>
            <w:r w:rsidRPr="00A800CB">
              <w:rPr>
                <w:rFonts w:ascii="Calibri" w:eastAsia="Times New Roman" w:hAnsi="Calibri" w:cs="Calibri"/>
                <w:b/>
                <w:bCs/>
                <w:color w:val="000000"/>
                <w:lang w:eastAsia="it-IT"/>
              </w:rPr>
              <w:t>SAU</w:t>
            </w:r>
          </w:p>
        </w:tc>
      </w:tr>
      <w:tr w:rsidR="00F73DC4" w:rsidRPr="00A800CB" w14:paraId="448CC9E6" w14:textId="77777777" w:rsidTr="00D47324">
        <w:trPr>
          <w:trHeight w:val="290"/>
        </w:trPr>
        <w:tc>
          <w:tcPr>
            <w:tcW w:w="2246" w:type="pct"/>
            <w:tcBorders>
              <w:top w:val="nil"/>
              <w:left w:val="single" w:sz="4" w:space="0" w:color="auto"/>
              <w:bottom w:val="single" w:sz="4" w:space="0" w:color="auto"/>
              <w:right w:val="single" w:sz="4" w:space="0" w:color="auto"/>
            </w:tcBorders>
            <w:shd w:val="clear" w:color="000000" w:fill="B8CCE4"/>
            <w:noWrap/>
            <w:vAlign w:val="center"/>
            <w:hideMark/>
          </w:tcPr>
          <w:p w14:paraId="055D55A1" w14:textId="77777777" w:rsidR="00F73DC4" w:rsidRPr="00A800CB" w:rsidRDefault="00F73DC4" w:rsidP="00D47324">
            <w:pPr>
              <w:spacing w:after="0"/>
              <w:jc w:val="center"/>
              <w:rPr>
                <w:rFonts w:ascii="Calibri" w:eastAsia="Times New Roman" w:hAnsi="Calibri" w:cs="Calibri"/>
                <w:b/>
                <w:bCs/>
                <w:color w:val="000000"/>
                <w:sz w:val="20"/>
                <w:szCs w:val="20"/>
                <w:lang w:eastAsia="it-IT"/>
              </w:rPr>
            </w:pPr>
            <w:r w:rsidRPr="00A800CB">
              <w:rPr>
                <w:rFonts w:ascii="Calibri" w:eastAsia="Times New Roman" w:hAnsi="Calibri" w:cs="Calibri"/>
                <w:b/>
                <w:bCs/>
                <w:color w:val="000000"/>
                <w:sz w:val="20"/>
                <w:szCs w:val="20"/>
                <w:lang w:eastAsia="it-IT"/>
              </w:rPr>
              <w:t>Orientamento tecnico</w:t>
            </w:r>
          </w:p>
        </w:tc>
        <w:tc>
          <w:tcPr>
            <w:tcW w:w="637" w:type="pct"/>
            <w:tcBorders>
              <w:top w:val="nil"/>
              <w:left w:val="nil"/>
              <w:bottom w:val="single" w:sz="4" w:space="0" w:color="auto"/>
              <w:right w:val="single" w:sz="4" w:space="0" w:color="auto"/>
            </w:tcBorders>
            <w:shd w:val="clear" w:color="000000" w:fill="B8CCE4"/>
            <w:noWrap/>
            <w:vAlign w:val="center"/>
            <w:hideMark/>
          </w:tcPr>
          <w:p w14:paraId="68AAC72B" w14:textId="77777777" w:rsidR="00F73DC4" w:rsidRPr="00A800CB" w:rsidRDefault="00F73DC4" w:rsidP="00D47324">
            <w:pPr>
              <w:spacing w:after="0"/>
              <w:jc w:val="center"/>
              <w:rPr>
                <w:rFonts w:ascii="Calibri" w:eastAsia="Times New Roman" w:hAnsi="Calibri" w:cs="Calibri"/>
                <w:b/>
                <w:bCs/>
                <w:color w:val="000000"/>
                <w:sz w:val="20"/>
                <w:szCs w:val="20"/>
                <w:lang w:eastAsia="it-IT"/>
              </w:rPr>
            </w:pPr>
            <w:r w:rsidRPr="00A800CB">
              <w:rPr>
                <w:rFonts w:ascii="Calibri" w:eastAsia="Times New Roman" w:hAnsi="Calibri" w:cs="Calibri"/>
                <w:b/>
                <w:bCs/>
                <w:color w:val="000000"/>
                <w:sz w:val="20"/>
                <w:szCs w:val="20"/>
                <w:lang w:eastAsia="it-IT"/>
              </w:rPr>
              <w:t>VA</w:t>
            </w:r>
          </w:p>
        </w:tc>
        <w:tc>
          <w:tcPr>
            <w:tcW w:w="275" w:type="pct"/>
            <w:tcBorders>
              <w:top w:val="nil"/>
              <w:left w:val="nil"/>
              <w:bottom w:val="single" w:sz="4" w:space="0" w:color="auto"/>
              <w:right w:val="single" w:sz="4" w:space="0" w:color="auto"/>
            </w:tcBorders>
            <w:shd w:val="clear" w:color="000000" w:fill="B8CCE4"/>
            <w:noWrap/>
            <w:vAlign w:val="center"/>
            <w:hideMark/>
          </w:tcPr>
          <w:p w14:paraId="7AA7B9F9" w14:textId="77777777" w:rsidR="00F73DC4" w:rsidRPr="00A800CB" w:rsidRDefault="00F73DC4" w:rsidP="00D47324">
            <w:pPr>
              <w:spacing w:after="0"/>
              <w:jc w:val="center"/>
              <w:rPr>
                <w:rFonts w:ascii="Calibri" w:eastAsia="Times New Roman" w:hAnsi="Calibri" w:cs="Calibri"/>
                <w:b/>
                <w:bCs/>
                <w:color w:val="000000"/>
                <w:sz w:val="20"/>
                <w:szCs w:val="20"/>
                <w:lang w:eastAsia="it-IT"/>
              </w:rPr>
            </w:pPr>
            <w:r w:rsidRPr="00A800CB">
              <w:rPr>
                <w:rFonts w:ascii="Calibri" w:eastAsia="Times New Roman" w:hAnsi="Calibri" w:cs="Calibri"/>
                <w:b/>
                <w:bCs/>
                <w:color w:val="000000"/>
                <w:sz w:val="20"/>
                <w:szCs w:val="20"/>
                <w:lang w:eastAsia="it-IT"/>
              </w:rPr>
              <w:t>%</w:t>
            </w:r>
          </w:p>
        </w:tc>
        <w:tc>
          <w:tcPr>
            <w:tcW w:w="450" w:type="pct"/>
            <w:tcBorders>
              <w:top w:val="nil"/>
              <w:left w:val="nil"/>
              <w:bottom w:val="single" w:sz="4" w:space="0" w:color="auto"/>
              <w:right w:val="single" w:sz="4" w:space="0" w:color="auto"/>
            </w:tcBorders>
            <w:shd w:val="clear" w:color="000000" w:fill="B8CCE4"/>
            <w:noWrap/>
            <w:vAlign w:val="center"/>
            <w:hideMark/>
          </w:tcPr>
          <w:p w14:paraId="0F96813E" w14:textId="77777777" w:rsidR="00F73DC4" w:rsidRPr="00A800CB" w:rsidRDefault="00F73DC4" w:rsidP="00D47324">
            <w:pPr>
              <w:spacing w:after="0"/>
              <w:jc w:val="center"/>
              <w:rPr>
                <w:rFonts w:ascii="Calibri" w:eastAsia="Times New Roman" w:hAnsi="Calibri" w:cs="Calibri"/>
                <w:b/>
                <w:bCs/>
                <w:color w:val="000000"/>
                <w:sz w:val="20"/>
                <w:szCs w:val="20"/>
                <w:lang w:eastAsia="it-IT"/>
              </w:rPr>
            </w:pPr>
            <w:r w:rsidRPr="00A800CB">
              <w:rPr>
                <w:rFonts w:ascii="Calibri" w:eastAsia="Times New Roman" w:hAnsi="Calibri" w:cs="Calibri"/>
                <w:b/>
                <w:bCs/>
                <w:color w:val="000000"/>
                <w:sz w:val="20"/>
                <w:szCs w:val="20"/>
                <w:lang w:eastAsia="it-IT"/>
              </w:rPr>
              <w:t>2016/13</w:t>
            </w:r>
          </w:p>
        </w:tc>
        <w:tc>
          <w:tcPr>
            <w:tcW w:w="676" w:type="pct"/>
            <w:tcBorders>
              <w:top w:val="nil"/>
              <w:left w:val="nil"/>
              <w:bottom w:val="single" w:sz="4" w:space="0" w:color="auto"/>
              <w:right w:val="single" w:sz="4" w:space="0" w:color="auto"/>
            </w:tcBorders>
            <w:shd w:val="clear" w:color="000000" w:fill="B8CCE4"/>
            <w:noWrap/>
            <w:vAlign w:val="center"/>
            <w:hideMark/>
          </w:tcPr>
          <w:p w14:paraId="1BE8DDB3" w14:textId="77777777" w:rsidR="00F73DC4" w:rsidRPr="00A800CB" w:rsidRDefault="00F73DC4" w:rsidP="00D47324">
            <w:pPr>
              <w:spacing w:after="0"/>
              <w:jc w:val="center"/>
              <w:rPr>
                <w:rFonts w:ascii="Calibri" w:eastAsia="Times New Roman" w:hAnsi="Calibri" w:cs="Calibri"/>
                <w:b/>
                <w:bCs/>
                <w:color w:val="000000"/>
                <w:sz w:val="20"/>
                <w:szCs w:val="20"/>
                <w:lang w:eastAsia="it-IT"/>
              </w:rPr>
            </w:pPr>
            <w:r w:rsidRPr="00A800CB">
              <w:rPr>
                <w:rFonts w:ascii="Calibri" w:eastAsia="Times New Roman" w:hAnsi="Calibri" w:cs="Calibri"/>
                <w:b/>
                <w:bCs/>
                <w:color w:val="000000"/>
                <w:sz w:val="20"/>
                <w:szCs w:val="20"/>
                <w:lang w:eastAsia="it-IT"/>
              </w:rPr>
              <w:t>VA</w:t>
            </w:r>
          </w:p>
        </w:tc>
        <w:tc>
          <w:tcPr>
            <w:tcW w:w="275" w:type="pct"/>
            <w:tcBorders>
              <w:top w:val="nil"/>
              <w:left w:val="nil"/>
              <w:bottom w:val="single" w:sz="4" w:space="0" w:color="auto"/>
              <w:right w:val="single" w:sz="4" w:space="0" w:color="auto"/>
            </w:tcBorders>
            <w:shd w:val="clear" w:color="000000" w:fill="B8CCE4"/>
            <w:noWrap/>
            <w:vAlign w:val="center"/>
            <w:hideMark/>
          </w:tcPr>
          <w:p w14:paraId="4F8DDC04" w14:textId="77777777" w:rsidR="00F73DC4" w:rsidRPr="00A800CB" w:rsidRDefault="00F73DC4" w:rsidP="00D47324">
            <w:pPr>
              <w:spacing w:after="0"/>
              <w:jc w:val="center"/>
              <w:rPr>
                <w:rFonts w:ascii="Calibri" w:eastAsia="Times New Roman" w:hAnsi="Calibri" w:cs="Calibri"/>
                <w:b/>
                <w:bCs/>
                <w:color w:val="000000"/>
                <w:sz w:val="20"/>
                <w:szCs w:val="20"/>
                <w:lang w:eastAsia="it-IT"/>
              </w:rPr>
            </w:pPr>
            <w:r w:rsidRPr="00A800CB">
              <w:rPr>
                <w:rFonts w:ascii="Calibri" w:eastAsia="Times New Roman" w:hAnsi="Calibri" w:cs="Calibri"/>
                <w:b/>
                <w:bCs/>
                <w:color w:val="000000"/>
                <w:sz w:val="20"/>
                <w:szCs w:val="20"/>
                <w:lang w:eastAsia="it-IT"/>
              </w:rPr>
              <w:t>%</w:t>
            </w:r>
          </w:p>
        </w:tc>
        <w:tc>
          <w:tcPr>
            <w:tcW w:w="441" w:type="pct"/>
            <w:tcBorders>
              <w:top w:val="nil"/>
              <w:left w:val="nil"/>
              <w:bottom w:val="single" w:sz="4" w:space="0" w:color="auto"/>
              <w:right w:val="single" w:sz="4" w:space="0" w:color="auto"/>
            </w:tcBorders>
            <w:shd w:val="clear" w:color="000000" w:fill="B8CCE4"/>
            <w:noWrap/>
            <w:vAlign w:val="center"/>
            <w:hideMark/>
          </w:tcPr>
          <w:p w14:paraId="103E63F1" w14:textId="77777777" w:rsidR="00F73DC4" w:rsidRPr="00A800CB" w:rsidRDefault="00F73DC4" w:rsidP="00D47324">
            <w:pPr>
              <w:spacing w:after="0"/>
              <w:jc w:val="center"/>
              <w:rPr>
                <w:rFonts w:ascii="Calibri" w:eastAsia="Times New Roman" w:hAnsi="Calibri" w:cs="Calibri"/>
                <w:b/>
                <w:bCs/>
                <w:color w:val="000000"/>
                <w:sz w:val="20"/>
                <w:szCs w:val="20"/>
                <w:lang w:eastAsia="it-IT"/>
              </w:rPr>
            </w:pPr>
            <w:r w:rsidRPr="00A800CB">
              <w:rPr>
                <w:rFonts w:ascii="Calibri" w:eastAsia="Times New Roman" w:hAnsi="Calibri" w:cs="Calibri"/>
                <w:b/>
                <w:bCs/>
                <w:color w:val="000000"/>
                <w:sz w:val="20"/>
                <w:szCs w:val="20"/>
                <w:lang w:eastAsia="it-IT"/>
              </w:rPr>
              <w:t>2016/13</w:t>
            </w:r>
          </w:p>
        </w:tc>
      </w:tr>
      <w:tr w:rsidR="00F73DC4" w:rsidRPr="00A800CB" w14:paraId="17DBE9C6" w14:textId="77777777" w:rsidTr="00D47324">
        <w:trPr>
          <w:trHeight w:val="290"/>
        </w:trPr>
        <w:tc>
          <w:tcPr>
            <w:tcW w:w="2246" w:type="pct"/>
            <w:tcBorders>
              <w:top w:val="nil"/>
              <w:left w:val="single" w:sz="4" w:space="0" w:color="auto"/>
              <w:bottom w:val="single" w:sz="4" w:space="0" w:color="auto"/>
              <w:right w:val="single" w:sz="4" w:space="0" w:color="auto"/>
            </w:tcBorders>
            <w:shd w:val="clear" w:color="auto" w:fill="auto"/>
            <w:noWrap/>
            <w:vAlign w:val="bottom"/>
            <w:hideMark/>
          </w:tcPr>
          <w:p w14:paraId="682A62FB" w14:textId="77777777" w:rsidR="00F73DC4" w:rsidRPr="00A800CB" w:rsidRDefault="00F73DC4" w:rsidP="00D47324">
            <w:pPr>
              <w:spacing w:after="0"/>
              <w:jc w:val="left"/>
              <w:rPr>
                <w:rFonts w:ascii="Calibri" w:eastAsia="Times New Roman" w:hAnsi="Calibri" w:cs="Calibri"/>
                <w:color w:val="000000"/>
                <w:lang w:eastAsia="it-IT"/>
              </w:rPr>
            </w:pPr>
            <w:r w:rsidRPr="00A800CB">
              <w:rPr>
                <w:rFonts w:ascii="Calibri" w:eastAsia="Times New Roman" w:hAnsi="Calibri" w:cs="Calibri"/>
                <w:color w:val="000000"/>
                <w:lang w:eastAsia="it-IT"/>
              </w:rPr>
              <w:t xml:space="preserve"> aziende specializzate nei seminativi </w:t>
            </w:r>
          </w:p>
        </w:tc>
        <w:tc>
          <w:tcPr>
            <w:tcW w:w="637" w:type="pct"/>
            <w:tcBorders>
              <w:top w:val="nil"/>
              <w:left w:val="nil"/>
              <w:bottom w:val="single" w:sz="4" w:space="0" w:color="auto"/>
              <w:right w:val="single" w:sz="4" w:space="0" w:color="auto"/>
            </w:tcBorders>
            <w:shd w:val="clear" w:color="auto" w:fill="auto"/>
            <w:noWrap/>
            <w:vAlign w:val="bottom"/>
            <w:hideMark/>
          </w:tcPr>
          <w:p w14:paraId="3D241CA3"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344,468</w:t>
            </w:r>
          </w:p>
        </w:tc>
        <w:tc>
          <w:tcPr>
            <w:tcW w:w="275" w:type="pct"/>
            <w:tcBorders>
              <w:top w:val="nil"/>
              <w:left w:val="nil"/>
              <w:bottom w:val="single" w:sz="4" w:space="0" w:color="auto"/>
              <w:right w:val="single" w:sz="4" w:space="0" w:color="auto"/>
            </w:tcBorders>
            <w:shd w:val="clear" w:color="auto" w:fill="auto"/>
            <w:noWrap/>
            <w:vAlign w:val="bottom"/>
            <w:hideMark/>
          </w:tcPr>
          <w:p w14:paraId="2D6B70CF"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30,1</w:t>
            </w:r>
          </w:p>
        </w:tc>
        <w:tc>
          <w:tcPr>
            <w:tcW w:w="450" w:type="pct"/>
            <w:tcBorders>
              <w:top w:val="nil"/>
              <w:left w:val="nil"/>
              <w:bottom w:val="single" w:sz="4" w:space="0" w:color="auto"/>
              <w:right w:val="single" w:sz="4" w:space="0" w:color="auto"/>
            </w:tcBorders>
            <w:shd w:val="clear" w:color="auto" w:fill="auto"/>
            <w:noWrap/>
            <w:vAlign w:val="bottom"/>
            <w:hideMark/>
          </w:tcPr>
          <w:p w14:paraId="0DD375A4"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-6,7</w:t>
            </w:r>
          </w:p>
        </w:tc>
        <w:tc>
          <w:tcPr>
            <w:tcW w:w="676" w:type="pct"/>
            <w:tcBorders>
              <w:top w:val="nil"/>
              <w:left w:val="nil"/>
              <w:bottom w:val="single" w:sz="4" w:space="0" w:color="auto"/>
              <w:right w:val="single" w:sz="4" w:space="0" w:color="auto"/>
            </w:tcBorders>
            <w:shd w:val="clear" w:color="auto" w:fill="auto"/>
            <w:noWrap/>
            <w:vAlign w:val="bottom"/>
            <w:hideMark/>
          </w:tcPr>
          <w:p w14:paraId="0454D026"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 xml:space="preserve"> 4,791,3</w:t>
            </w:r>
            <w:r>
              <w:rPr>
                <w:rFonts w:ascii="Calibri" w:eastAsia="Times New Roman" w:hAnsi="Calibri" w:cs="Calibri"/>
                <w:color w:val="000000"/>
                <w:lang w:eastAsia="it-IT"/>
              </w:rPr>
              <w:t>5</w:t>
            </w:r>
          </w:p>
        </w:tc>
        <w:tc>
          <w:tcPr>
            <w:tcW w:w="275" w:type="pct"/>
            <w:tcBorders>
              <w:top w:val="nil"/>
              <w:left w:val="nil"/>
              <w:bottom w:val="single" w:sz="4" w:space="0" w:color="auto"/>
              <w:right w:val="single" w:sz="4" w:space="0" w:color="auto"/>
            </w:tcBorders>
            <w:shd w:val="clear" w:color="auto" w:fill="auto"/>
            <w:noWrap/>
            <w:vAlign w:val="bottom"/>
            <w:hideMark/>
          </w:tcPr>
          <w:p w14:paraId="44C204CA"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38</w:t>
            </w:r>
          </w:p>
        </w:tc>
        <w:tc>
          <w:tcPr>
            <w:tcW w:w="441" w:type="pct"/>
            <w:tcBorders>
              <w:top w:val="nil"/>
              <w:left w:val="nil"/>
              <w:bottom w:val="single" w:sz="4" w:space="0" w:color="auto"/>
              <w:right w:val="single" w:sz="4" w:space="0" w:color="auto"/>
            </w:tcBorders>
            <w:shd w:val="clear" w:color="auto" w:fill="auto"/>
            <w:noWrap/>
            <w:vAlign w:val="bottom"/>
            <w:hideMark/>
          </w:tcPr>
          <w:p w14:paraId="623EA20E"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2,6</w:t>
            </w:r>
          </w:p>
        </w:tc>
      </w:tr>
      <w:tr w:rsidR="00F73DC4" w:rsidRPr="00A800CB" w14:paraId="794935A3" w14:textId="77777777" w:rsidTr="00D47324">
        <w:trPr>
          <w:trHeight w:val="290"/>
        </w:trPr>
        <w:tc>
          <w:tcPr>
            <w:tcW w:w="2246" w:type="pct"/>
            <w:tcBorders>
              <w:top w:val="nil"/>
              <w:left w:val="single" w:sz="4" w:space="0" w:color="auto"/>
              <w:bottom w:val="single" w:sz="4" w:space="0" w:color="auto"/>
              <w:right w:val="single" w:sz="4" w:space="0" w:color="auto"/>
            </w:tcBorders>
            <w:shd w:val="clear" w:color="auto" w:fill="auto"/>
            <w:noWrap/>
            <w:vAlign w:val="bottom"/>
            <w:hideMark/>
          </w:tcPr>
          <w:p w14:paraId="6AA41FFA" w14:textId="77777777" w:rsidR="00F73DC4" w:rsidRPr="00A800CB" w:rsidRDefault="00F73DC4" w:rsidP="00D47324">
            <w:pPr>
              <w:spacing w:after="0"/>
              <w:jc w:val="left"/>
              <w:rPr>
                <w:rFonts w:ascii="Calibri" w:eastAsia="Times New Roman" w:hAnsi="Calibri" w:cs="Calibri"/>
                <w:color w:val="000000"/>
                <w:lang w:eastAsia="it-IT"/>
              </w:rPr>
            </w:pPr>
            <w:r w:rsidRPr="00A800CB">
              <w:rPr>
                <w:rFonts w:ascii="Calibri" w:eastAsia="Times New Roman" w:hAnsi="Calibri" w:cs="Calibri"/>
                <w:color w:val="000000"/>
                <w:lang w:eastAsia="it-IT"/>
              </w:rPr>
              <w:t xml:space="preserve"> aziende specializzate in ortofloricoltura </w:t>
            </w:r>
          </w:p>
        </w:tc>
        <w:tc>
          <w:tcPr>
            <w:tcW w:w="637" w:type="pct"/>
            <w:tcBorders>
              <w:top w:val="nil"/>
              <w:left w:val="nil"/>
              <w:bottom w:val="single" w:sz="4" w:space="0" w:color="auto"/>
              <w:right w:val="single" w:sz="4" w:space="0" w:color="auto"/>
            </w:tcBorders>
            <w:shd w:val="clear" w:color="auto" w:fill="auto"/>
            <w:noWrap/>
            <w:vAlign w:val="bottom"/>
            <w:hideMark/>
          </w:tcPr>
          <w:p w14:paraId="356BABDD"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21,489</w:t>
            </w:r>
          </w:p>
        </w:tc>
        <w:tc>
          <w:tcPr>
            <w:tcW w:w="275" w:type="pct"/>
            <w:tcBorders>
              <w:top w:val="nil"/>
              <w:left w:val="nil"/>
              <w:bottom w:val="single" w:sz="4" w:space="0" w:color="auto"/>
              <w:right w:val="single" w:sz="4" w:space="0" w:color="auto"/>
            </w:tcBorders>
            <w:shd w:val="clear" w:color="auto" w:fill="auto"/>
            <w:noWrap/>
            <w:vAlign w:val="bottom"/>
            <w:hideMark/>
          </w:tcPr>
          <w:p w14:paraId="7EAD024A"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1,9</w:t>
            </w:r>
          </w:p>
        </w:tc>
        <w:tc>
          <w:tcPr>
            <w:tcW w:w="450" w:type="pct"/>
            <w:tcBorders>
              <w:top w:val="nil"/>
              <w:left w:val="nil"/>
              <w:bottom w:val="single" w:sz="4" w:space="0" w:color="auto"/>
              <w:right w:val="single" w:sz="4" w:space="0" w:color="auto"/>
            </w:tcBorders>
            <w:shd w:val="clear" w:color="auto" w:fill="auto"/>
            <w:noWrap/>
            <w:vAlign w:val="bottom"/>
            <w:hideMark/>
          </w:tcPr>
          <w:p w14:paraId="4E3DDC40"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-42,5</w:t>
            </w:r>
          </w:p>
        </w:tc>
        <w:tc>
          <w:tcPr>
            <w:tcW w:w="676" w:type="pct"/>
            <w:tcBorders>
              <w:top w:val="nil"/>
              <w:left w:val="nil"/>
              <w:bottom w:val="single" w:sz="4" w:space="0" w:color="auto"/>
              <w:right w:val="single" w:sz="4" w:space="0" w:color="auto"/>
            </w:tcBorders>
            <w:shd w:val="clear" w:color="auto" w:fill="auto"/>
            <w:noWrap/>
            <w:vAlign w:val="bottom"/>
            <w:hideMark/>
          </w:tcPr>
          <w:p w14:paraId="36375765"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143,35</w:t>
            </w:r>
          </w:p>
        </w:tc>
        <w:tc>
          <w:tcPr>
            <w:tcW w:w="275" w:type="pct"/>
            <w:tcBorders>
              <w:top w:val="nil"/>
              <w:left w:val="nil"/>
              <w:bottom w:val="single" w:sz="4" w:space="0" w:color="auto"/>
              <w:right w:val="single" w:sz="4" w:space="0" w:color="auto"/>
            </w:tcBorders>
            <w:shd w:val="clear" w:color="auto" w:fill="auto"/>
            <w:noWrap/>
            <w:vAlign w:val="bottom"/>
            <w:hideMark/>
          </w:tcPr>
          <w:p w14:paraId="042096DC"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1,1</w:t>
            </w:r>
          </w:p>
        </w:tc>
        <w:tc>
          <w:tcPr>
            <w:tcW w:w="441" w:type="pct"/>
            <w:tcBorders>
              <w:top w:val="nil"/>
              <w:left w:val="nil"/>
              <w:bottom w:val="single" w:sz="4" w:space="0" w:color="auto"/>
              <w:right w:val="single" w:sz="4" w:space="0" w:color="auto"/>
            </w:tcBorders>
            <w:shd w:val="clear" w:color="auto" w:fill="auto"/>
            <w:noWrap/>
            <w:vAlign w:val="bottom"/>
            <w:hideMark/>
          </w:tcPr>
          <w:p w14:paraId="71482F3D"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-2,4</w:t>
            </w:r>
          </w:p>
        </w:tc>
      </w:tr>
      <w:tr w:rsidR="00F73DC4" w:rsidRPr="00A800CB" w14:paraId="48DE28B7" w14:textId="77777777" w:rsidTr="00D47324">
        <w:trPr>
          <w:trHeight w:val="290"/>
        </w:trPr>
        <w:tc>
          <w:tcPr>
            <w:tcW w:w="2246" w:type="pct"/>
            <w:tcBorders>
              <w:top w:val="nil"/>
              <w:left w:val="single" w:sz="4" w:space="0" w:color="auto"/>
              <w:bottom w:val="single" w:sz="4" w:space="0" w:color="auto"/>
              <w:right w:val="single" w:sz="4" w:space="0" w:color="auto"/>
            </w:tcBorders>
            <w:shd w:val="clear" w:color="auto" w:fill="auto"/>
            <w:noWrap/>
            <w:vAlign w:val="bottom"/>
            <w:hideMark/>
          </w:tcPr>
          <w:p w14:paraId="089B9F6F" w14:textId="77777777" w:rsidR="00F73DC4" w:rsidRPr="00A800CB" w:rsidRDefault="00F73DC4" w:rsidP="00D47324">
            <w:pPr>
              <w:spacing w:after="0"/>
              <w:jc w:val="left"/>
              <w:rPr>
                <w:rFonts w:ascii="Calibri" w:eastAsia="Times New Roman" w:hAnsi="Calibri" w:cs="Calibri"/>
                <w:color w:val="000000"/>
                <w:lang w:eastAsia="it-IT"/>
              </w:rPr>
            </w:pPr>
            <w:r w:rsidRPr="00A800CB">
              <w:rPr>
                <w:rFonts w:ascii="Calibri" w:eastAsia="Times New Roman" w:hAnsi="Calibri" w:cs="Calibri"/>
                <w:color w:val="000000"/>
                <w:lang w:eastAsia="it-IT"/>
              </w:rPr>
              <w:t xml:space="preserve"> aziende specializzate nelle colture permanenti </w:t>
            </w:r>
          </w:p>
        </w:tc>
        <w:tc>
          <w:tcPr>
            <w:tcW w:w="637" w:type="pct"/>
            <w:tcBorders>
              <w:top w:val="nil"/>
              <w:left w:val="nil"/>
              <w:bottom w:val="single" w:sz="4" w:space="0" w:color="auto"/>
              <w:right w:val="single" w:sz="4" w:space="0" w:color="auto"/>
            </w:tcBorders>
            <w:shd w:val="clear" w:color="auto" w:fill="auto"/>
            <w:noWrap/>
            <w:vAlign w:val="bottom"/>
            <w:hideMark/>
          </w:tcPr>
          <w:p w14:paraId="55402A7B"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538,032</w:t>
            </w:r>
          </w:p>
        </w:tc>
        <w:tc>
          <w:tcPr>
            <w:tcW w:w="275" w:type="pct"/>
            <w:tcBorders>
              <w:top w:val="nil"/>
              <w:left w:val="nil"/>
              <w:bottom w:val="single" w:sz="4" w:space="0" w:color="auto"/>
              <w:right w:val="single" w:sz="4" w:space="0" w:color="auto"/>
            </w:tcBorders>
            <w:shd w:val="clear" w:color="auto" w:fill="auto"/>
            <w:noWrap/>
            <w:vAlign w:val="bottom"/>
            <w:hideMark/>
          </w:tcPr>
          <w:p w14:paraId="19AAA3A0"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47</w:t>
            </w:r>
          </w:p>
        </w:tc>
        <w:tc>
          <w:tcPr>
            <w:tcW w:w="450" w:type="pct"/>
            <w:tcBorders>
              <w:top w:val="nil"/>
              <w:left w:val="nil"/>
              <w:bottom w:val="single" w:sz="4" w:space="0" w:color="auto"/>
              <w:right w:val="single" w:sz="4" w:space="0" w:color="auto"/>
            </w:tcBorders>
            <w:shd w:val="clear" w:color="auto" w:fill="auto"/>
            <w:noWrap/>
            <w:vAlign w:val="bottom"/>
            <w:hideMark/>
          </w:tcPr>
          <w:p w14:paraId="4253FD07"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-31,6</w:t>
            </w:r>
          </w:p>
        </w:tc>
        <w:tc>
          <w:tcPr>
            <w:tcW w:w="676" w:type="pct"/>
            <w:tcBorders>
              <w:top w:val="nil"/>
              <w:left w:val="nil"/>
              <w:bottom w:val="single" w:sz="4" w:space="0" w:color="auto"/>
              <w:right w:val="single" w:sz="4" w:space="0" w:color="auto"/>
            </w:tcBorders>
            <w:shd w:val="clear" w:color="auto" w:fill="auto"/>
            <w:noWrap/>
            <w:vAlign w:val="bottom"/>
            <w:hideMark/>
          </w:tcPr>
          <w:p w14:paraId="2B1ECF75"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 xml:space="preserve"> 2,403,96</w:t>
            </w:r>
          </w:p>
        </w:tc>
        <w:tc>
          <w:tcPr>
            <w:tcW w:w="275" w:type="pct"/>
            <w:tcBorders>
              <w:top w:val="nil"/>
              <w:left w:val="nil"/>
              <w:bottom w:val="single" w:sz="4" w:space="0" w:color="auto"/>
              <w:right w:val="single" w:sz="4" w:space="0" w:color="auto"/>
            </w:tcBorders>
            <w:shd w:val="clear" w:color="auto" w:fill="auto"/>
            <w:noWrap/>
            <w:vAlign w:val="bottom"/>
            <w:hideMark/>
          </w:tcPr>
          <w:p w14:paraId="58099425"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19,1</w:t>
            </w:r>
          </w:p>
        </w:tc>
        <w:tc>
          <w:tcPr>
            <w:tcW w:w="441" w:type="pct"/>
            <w:tcBorders>
              <w:top w:val="nil"/>
              <w:left w:val="nil"/>
              <w:bottom w:val="single" w:sz="4" w:space="0" w:color="auto"/>
              <w:right w:val="single" w:sz="4" w:space="0" w:color="auto"/>
            </w:tcBorders>
            <w:shd w:val="clear" w:color="auto" w:fill="auto"/>
            <w:noWrap/>
            <w:vAlign w:val="bottom"/>
            <w:hideMark/>
          </w:tcPr>
          <w:p w14:paraId="028524B7"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-5,5</w:t>
            </w:r>
          </w:p>
        </w:tc>
      </w:tr>
      <w:tr w:rsidR="00F73DC4" w:rsidRPr="00A800CB" w14:paraId="4C40F340" w14:textId="77777777" w:rsidTr="00D47324">
        <w:trPr>
          <w:trHeight w:val="290"/>
        </w:trPr>
        <w:tc>
          <w:tcPr>
            <w:tcW w:w="2246" w:type="pct"/>
            <w:tcBorders>
              <w:top w:val="nil"/>
              <w:left w:val="single" w:sz="4" w:space="0" w:color="auto"/>
              <w:bottom w:val="single" w:sz="4" w:space="0" w:color="auto"/>
              <w:right w:val="single" w:sz="4" w:space="0" w:color="auto"/>
            </w:tcBorders>
            <w:shd w:val="clear" w:color="auto" w:fill="auto"/>
            <w:noWrap/>
            <w:vAlign w:val="bottom"/>
            <w:hideMark/>
          </w:tcPr>
          <w:p w14:paraId="0DCCE315" w14:textId="77777777" w:rsidR="00F73DC4" w:rsidRPr="00A800CB" w:rsidRDefault="00F73DC4" w:rsidP="00D47324">
            <w:pPr>
              <w:spacing w:after="0"/>
              <w:jc w:val="left"/>
              <w:rPr>
                <w:rFonts w:ascii="Calibri" w:eastAsia="Times New Roman" w:hAnsi="Calibri" w:cs="Calibri"/>
                <w:color w:val="000000"/>
                <w:lang w:eastAsia="it-IT"/>
              </w:rPr>
            </w:pPr>
            <w:r w:rsidRPr="00A800CB">
              <w:rPr>
                <w:rFonts w:ascii="Calibri" w:eastAsia="Times New Roman" w:hAnsi="Calibri" w:cs="Calibri"/>
                <w:color w:val="000000"/>
                <w:lang w:eastAsia="it-IT"/>
              </w:rPr>
              <w:t xml:space="preserve"> aziende specializzate in erbivori </w:t>
            </w:r>
          </w:p>
        </w:tc>
        <w:tc>
          <w:tcPr>
            <w:tcW w:w="637" w:type="pct"/>
            <w:tcBorders>
              <w:top w:val="nil"/>
              <w:left w:val="nil"/>
              <w:bottom w:val="single" w:sz="4" w:space="0" w:color="auto"/>
              <w:right w:val="single" w:sz="4" w:space="0" w:color="auto"/>
            </w:tcBorders>
            <w:shd w:val="clear" w:color="auto" w:fill="auto"/>
            <w:noWrap/>
            <w:vAlign w:val="bottom"/>
            <w:hideMark/>
          </w:tcPr>
          <w:p w14:paraId="083044A5"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102,005</w:t>
            </w:r>
          </w:p>
        </w:tc>
        <w:tc>
          <w:tcPr>
            <w:tcW w:w="275" w:type="pct"/>
            <w:tcBorders>
              <w:top w:val="nil"/>
              <w:left w:val="nil"/>
              <w:bottom w:val="single" w:sz="4" w:space="0" w:color="auto"/>
              <w:right w:val="single" w:sz="4" w:space="0" w:color="auto"/>
            </w:tcBorders>
            <w:shd w:val="clear" w:color="auto" w:fill="auto"/>
            <w:noWrap/>
            <w:vAlign w:val="bottom"/>
            <w:hideMark/>
          </w:tcPr>
          <w:p w14:paraId="3EC62145"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8,9</w:t>
            </w:r>
          </w:p>
        </w:tc>
        <w:tc>
          <w:tcPr>
            <w:tcW w:w="450" w:type="pct"/>
            <w:tcBorders>
              <w:top w:val="nil"/>
              <w:left w:val="nil"/>
              <w:bottom w:val="single" w:sz="4" w:space="0" w:color="auto"/>
              <w:right w:val="single" w:sz="4" w:space="0" w:color="auto"/>
            </w:tcBorders>
            <w:shd w:val="clear" w:color="auto" w:fill="auto"/>
            <w:noWrap/>
            <w:vAlign w:val="bottom"/>
            <w:hideMark/>
          </w:tcPr>
          <w:p w14:paraId="51F717CD"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-12,7</w:t>
            </w:r>
          </w:p>
        </w:tc>
        <w:tc>
          <w:tcPr>
            <w:tcW w:w="676" w:type="pct"/>
            <w:tcBorders>
              <w:top w:val="nil"/>
              <w:left w:val="nil"/>
              <w:bottom w:val="single" w:sz="4" w:space="0" w:color="auto"/>
              <w:right w:val="single" w:sz="4" w:space="0" w:color="auto"/>
            </w:tcBorders>
            <w:shd w:val="clear" w:color="auto" w:fill="auto"/>
            <w:noWrap/>
            <w:vAlign w:val="bottom"/>
            <w:hideMark/>
          </w:tcPr>
          <w:p w14:paraId="0F58F51C"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 xml:space="preserve"> 3,509,16</w:t>
            </w:r>
          </w:p>
        </w:tc>
        <w:tc>
          <w:tcPr>
            <w:tcW w:w="275" w:type="pct"/>
            <w:tcBorders>
              <w:top w:val="nil"/>
              <w:left w:val="nil"/>
              <w:bottom w:val="single" w:sz="4" w:space="0" w:color="auto"/>
              <w:right w:val="single" w:sz="4" w:space="0" w:color="auto"/>
            </w:tcBorders>
            <w:shd w:val="clear" w:color="auto" w:fill="auto"/>
            <w:noWrap/>
            <w:vAlign w:val="bottom"/>
            <w:hideMark/>
          </w:tcPr>
          <w:p w14:paraId="62BFDA48"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27,9</w:t>
            </w:r>
          </w:p>
        </w:tc>
        <w:tc>
          <w:tcPr>
            <w:tcW w:w="441" w:type="pct"/>
            <w:tcBorders>
              <w:top w:val="nil"/>
              <w:left w:val="nil"/>
              <w:bottom w:val="single" w:sz="4" w:space="0" w:color="auto"/>
              <w:right w:val="single" w:sz="4" w:space="0" w:color="auto"/>
            </w:tcBorders>
            <w:shd w:val="clear" w:color="auto" w:fill="auto"/>
            <w:noWrap/>
            <w:vAlign w:val="bottom"/>
            <w:hideMark/>
          </w:tcPr>
          <w:p w14:paraId="7525F550"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3,9</w:t>
            </w:r>
          </w:p>
        </w:tc>
      </w:tr>
      <w:tr w:rsidR="00F73DC4" w:rsidRPr="00A800CB" w14:paraId="75253F20" w14:textId="77777777" w:rsidTr="00D47324">
        <w:trPr>
          <w:trHeight w:val="290"/>
        </w:trPr>
        <w:tc>
          <w:tcPr>
            <w:tcW w:w="2246" w:type="pct"/>
            <w:tcBorders>
              <w:top w:val="nil"/>
              <w:left w:val="single" w:sz="4" w:space="0" w:color="auto"/>
              <w:bottom w:val="single" w:sz="4" w:space="0" w:color="auto"/>
              <w:right w:val="single" w:sz="4" w:space="0" w:color="auto"/>
            </w:tcBorders>
            <w:shd w:val="clear" w:color="auto" w:fill="auto"/>
            <w:noWrap/>
            <w:vAlign w:val="bottom"/>
            <w:hideMark/>
          </w:tcPr>
          <w:p w14:paraId="72C0BB62" w14:textId="77777777" w:rsidR="00F73DC4" w:rsidRPr="00A800CB" w:rsidRDefault="00F73DC4" w:rsidP="00D47324">
            <w:pPr>
              <w:spacing w:after="0"/>
              <w:jc w:val="left"/>
              <w:rPr>
                <w:rFonts w:ascii="Calibri" w:eastAsia="Times New Roman" w:hAnsi="Calibri" w:cs="Calibri"/>
                <w:color w:val="000000"/>
                <w:lang w:eastAsia="it-IT"/>
              </w:rPr>
            </w:pPr>
            <w:r w:rsidRPr="00A800CB">
              <w:rPr>
                <w:rFonts w:ascii="Calibri" w:eastAsia="Times New Roman" w:hAnsi="Calibri" w:cs="Calibri"/>
                <w:color w:val="000000"/>
                <w:lang w:eastAsia="it-IT"/>
              </w:rPr>
              <w:t xml:space="preserve"> aziende specializzate in granivori </w:t>
            </w:r>
          </w:p>
        </w:tc>
        <w:tc>
          <w:tcPr>
            <w:tcW w:w="637" w:type="pct"/>
            <w:tcBorders>
              <w:top w:val="nil"/>
              <w:left w:val="nil"/>
              <w:bottom w:val="single" w:sz="4" w:space="0" w:color="auto"/>
              <w:right w:val="single" w:sz="4" w:space="0" w:color="auto"/>
            </w:tcBorders>
            <w:shd w:val="clear" w:color="auto" w:fill="auto"/>
            <w:noWrap/>
            <w:vAlign w:val="bottom"/>
            <w:hideMark/>
          </w:tcPr>
          <w:p w14:paraId="66E19656"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8,076</w:t>
            </w:r>
          </w:p>
        </w:tc>
        <w:tc>
          <w:tcPr>
            <w:tcW w:w="275" w:type="pct"/>
            <w:tcBorders>
              <w:top w:val="nil"/>
              <w:left w:val="nil"/>
              <w:bottom w:val="single" w:sz="4" w:space="0" w:color="auto"/>
              <w:right w:val="single" w:sz="4" w:space="0" w:color="auto"/>
            </w:tcBorders>
            <w:shd w:val="clear" w:color="auto" w:fill="auto"/>
            <w:noWrap/>
            <w:vAlign w:val="bottom"/>
            <w:hideMark/>
          </w:tcPr>
          <w:p w14:paraId="77514545"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0,7</w:t>
            </w:r>
          </w:p>
        </w:tc>
        <w:tc>
          <w:tcPr>
            <w:tcW w:w="450" w:type="pct"/>
            <w:tcBorders>
              <w:top w:val="nil"/>
              <w:left w:val="nil"/>
              <w:bottom w:val="single" w:sz="4" w:space="0" w:color="auto"/>
              <w:right w:val="single" w:sz="4" w:space="0" w:color="auto"/>
            </w:tcBorders>
            <w:shd w:val="clear" w:color="auto" w:fill="auto"/>
            <w:noWrap/>
            <w:vAlign w:val="bottom"/>
            <w:hideMark/>
          </w:tcPr>
          <w:p w14:paraId="03DB54B7"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-11,3</w:t>
            </w:r>
          </w:p>
        </w:tc>
        <w:tc>
          <w:tcPr>
            <w:tcW w:w="676" w:type="pct"/>
            <w:tcBorders>
              <w:top w:val="nil"/>
              <w:left w:val="nil"/>
              <w:bottom w:val="single" w:sz="4" w:space="0" w:color="auto"/>
              <w:right w:val="single" w:sz="4" w:space="0" w:color="auto"/>
            </w:tcBorders>
            <w:shd w:val="clear" w:color="auto" w:fill="auto"/>
            <w:noWrap/>
            <w:vAlign w:val="bottom"/>
            <w:hideMark/>
          </w:tcPr>
          <w:p w14:paraId="104DB2A5"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201,8</w:t>
            </w:r>
            <w:r>
              <w:rPr>
                <w:rFonts w:ascii="Calibri" w:eastAsia="Times New Roman" w:hAnsi="Calibri" w:cs="Calibri"/>
                <w:color w:val="000000"/>
                <w:lang w:eastAsia="it-IT"/>
              </w:rPr>
              <w:t>8</w:t>
            </w:r>
          </w:p>
        </w:tc>
        <w:tc>
          <w:tcPr>
            <w:tcW w:w="275" w:type="pct"/>
            <w:tcBorders>
              <w:top w:val="nil"/>
              <w:left w:val="nil"/>
              <w:bottom w:val="single" w:sz="4" w:space="0" w:color="auto"/>
              <w:right w:val="single" w:sz="4" w:space="0" w:color="auto"/>
            </w:tcBorders>
            <w:shd w:val="clear" w:color="auto" w:fill="auto"/>
            <w:noWrap/>
            <w:vAlign w:val="bottom"/>
            <w:hideMark/>
          </w:tcPr>
          <w:p w14:paraId="0FCB2655"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1,6</w:t>
            </w:r>
          </w:p>
        </w:tc>
        <w:tc>
          <w:tcPr>
            <w:tcW w:w="441" w:type="pct"/>
            <w:tcBorders>
              <w:top w:val="nil"/>
              <w:left w:val="nil"/>
              <w:bottom w:val="single" w:sz="4" w:space="0" w:color="auto"/>
              <w:right w:val="single" w:sz="4" w:space="0" w:color="auto"/>
            </w:tcBorders>
            <w:shd w:val="clear" w:color="auto" w:fill="auto"/>
            <w:noWrap/>
            <w:vAlign w:val="bottom"/>
            <w:hideMark/>
          </w:tcPr>
          <w:p w14:paraId="7F8A3BCE"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9,4</w:t>
            </w:r>
          </w:p>
        </w:tc>
      </w:tr>
      <w:tr w:rsidR="00F73DC4" w:rsidRPr="00A800CB" w14:paraId="79FDB74D" w14:textId="77777777" w:rsidTr="00D47324">
        <w:trPr>
          <w:trHeight w:val="290"/>
        </w:trPr>
        <w:tc>
          <w:tcPr>
            <w:tcW w:w="2246" w:type="pct"/>
            <w:tcBorders>
              <w:top w:val="nil"/>
              <w:left w:val="single" w:sz="4" w:space="0" w:color="auto"/>
              <w:bottom w:val="single" w:sz="4" w:space="0" w:color="auto"/>
              <w:right w:val="single" w:sz="4" w:space="0" w:color="auto"/>
            </w:tcBorders>
            <w:shd w:val="clear" w:color="auto" w:fill="auto"/>
            <w:noWrap/>
            <w:vAlign w:val="bottom"/>
            <w:hideMark/>
          </w:tcPr>
          <w:p w14:paraId="30F3A10B" w14:textId="77777777" w:rsidR="00F73DC4" w:rsidRPr="00A800CB" w:rsidRDefault="00F73DC4" w:rsidP="00D47324">
            <w:pPr>
              <w:spacing w:after="0"/>
              <w:jc w:val="left"/>
              <w:rPr>
                <w:rFonts w:ascii="Calibri" w:eastAsia="Times New Roman" w:hAnsi="Calibri" w:cs="Calibri"/>
                <w:color w:val="000000"/>
                <w:lang w:eastAsia="it-IT"/>
              </w:rPr>
            </w:pPr>
            <w:r w:rsidRPr="00A800CB">
              <w:rPr>
                <w:rFonts w:ascii="Calibri" w:eastAsia="Times New Roman" w:hAnsi="Calibri" w:cs="Calibri"/>
                <w:color w:val="000000"/>
                <w:lang w:eastAsia="it-IT"/>
              </w:rPr>
              <w:t xml:space="preserve"> aziende con policoltura </w:t>
            </w:r>
          </w:p>
        </w:tc>
        <w:tc>
          <w:tcPr>
            <w:tcW w:w="637" w:type="pct"/>
            <w:tcBorders>
              <w:top w:val="nil"/>
              <w:left w:val="nil"/>
              <w:bottom w:val="single" w:sz="4" w:space="0" w:color="auto"/>
              <w:right w:val="single" w:sz="4" w:space="0" w:color="auto"/>
            </w:tcBorders>
            <w:shd w:val="clear" w:color="auto" w:fill="auto"/>
            <w:noWrap/>
            <w:vAlign w:val="bottom"/>
            <w:hideMark/>
          </w:tcPr>
          <w:p w14:paraId="0D75E490"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92,115</w:t>
            </w:r>
          </w:p>
        </w:tc>
        <w:tc>
          <w:tcPr>
            <w:tcW w:w="275" w:type="pct"/>
            <w:tcBorders>
              <w:top w:val="nil"/>
              <w:left w:val="nil"/>
              <w:bottom w:val="single" w:sz="4" w:space="0" w:color="auto"/>
              <w:right w:val="single" w:sz="4" w:space="0" w:color="auto"/>
            </w:tcBorders>
            <w:shd w:val="clear" w:color="auto" w:fill="auto"/>
            <w:noWrap/>
            <w:vAlign w:val="bottom"/>
            <w:hideMark/>
          </w:tcPr>
          <w:p w14:paraId="7ECE1950"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8</w:t>
            </w:r>
          </w:p>
        </w:tc>
        <w:tc>
          <w:tcPr>
            <w:tcW w:w="450" w:type="pct"/>
            <w:tcBorders>
              <w:top w:val="nil"/>
              <w:left w:val="nil"/>
              <w:bottom w:val="single" w:sz="4" w:space="0" w:color="auto"/>
              <w:right w:val="single" w:sz="4" w:space="0" w:color="auto"/>
            </w:tcBorders>
            <w:shd w:val="clear" w:color="auto" w:fill="auto"/>
            <w:noWrap/>
            <w:vAlign w:val="bottom"/>
            <w:hideMark/>
          </w:tcPr>
          <w:p w14:paraId="43AE0A53"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-4,8</w:t>
            </w:r>
          </w:p>
        </w:tc>
        <w:tc>
          <w:tcPr>
            <w:tcW w:w="676" w:type="pct"/>
            <w:tcBorders>
              <w:top w:val="nil"/>
              <w:left w:val="nil"/>
              <w:bottom w:val="single" w:sz="4" w:space="0" w:color="auto"/>
              <w:right w:val="single" w:sz="4" w:space="0" w:color="auto"/>
            </w:tcBorders>
            <w:shd w:val="clear" w:color="auto" w:fill="auto"/>
            <w:noWrap/>
            <w:vAlign w:val="bottom"/>
            <w:hideMark/>
          </w:tcPr>
          <w:p w14:paraId="06CEDA2A"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855,8</w:t>
            </w:r>
            <w:r>
              <w:rPr>
                <w:rFonts w:ascii="Calibri" w:eastAsia="Times New Roman" w:hAnsi="Calibri" w:cs="Calibri"/>
                <w:color w:val="000000"/>
                <w:lang w:eastAsia="it-IT"/>
              </w:rPr>
              <w:t>1</w:t>
            </w:r>
          </w:p>
        </w:tc>
        <w:tc>
          <w:tcPr>
            <w:tcW w:w="275" w:type="pct"/>
            <w:tcBorders>
              <w:top w:val="nil"/>
              <w:left w:val="nil"/>
              <w:bottom w:val="single" w:sz="4" w:space="0" w:color="auto"/>
              <w:right w:val="single" w:sz="4" w:space="0" w:color="auto"/>
            </w:tcBorders>
            <w:shd w:val="clear" w:color="auto" w:fill="auto"/>
            <w:noWrap/>
            <w:vAlign w:val="bottom"/>
            <w:hideMark/>
          </w:tcPr>
          <w:p w14:paraId="48941FBA"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6,8</w:t>
            </w:r>
          </w:p>
        </w:tc>
        <w:tc>
          <w:tcPr>
            <w:tcW w:w="441" w:type="pct"/>
            <w:tcBorders>
              <w:top w:val="nil"/>
              <w:left w:val="nil"/>
              <w:bottom w:val="single" w:sz="4" w:space="0" w:color="auto"/>
              <w:right w:val="single" w:sz="4" w:space="0" w:color="auto"/>
            </w:tcBorders>
            <w:shd w:val="clear" w:color="auto" w:fill="auto"/>
            <w:noWrap/>
            <w:vAlign w:val="bottom"/>
            <w:hideMark/>
          </w:tcPr>
          <w:p w14:paraId="7591EB53"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8,4</w:t>
            </w:r>
          </w:p>
        </w:tc>
      </w:tr>
      <w:tr w:rsidR="00F73DC4" w:rsidRPr="00A800CB" w14:paraId="6DF9E98D" w14:textId="77777777" w:rsidTr="00D47324">
        <w:trPr>
          <w:trHeight w:val="290"/>
        </w:trPr>
        <w:tc>
          <w:tcPr>
            <w:tcW w:w="2246" w:type="pct"/>
            <w:tcBorders>
              <w:top w:val="nil"/>
              <w:left w:val="single" w:sz="4" w:space="0" w:color="auto"/>
              <w:bottom w:val="single" w:sz="4" w:space="0" w:color="auto"/>
              <w:right w:val="single" w:sz="4" w:space="0" w:color="auto"/>
            </w:tcBorders>
            <w:shd w:val="clear" w:color="auto" w:fill="auto"/>
            <w:noWrap/>
            <w:vAlign w:val="bottom"/>
            <w:hideMark/>
          </w:tcPr>
          <w:p w14:paraId="156DF166" w14:textId="77777777" w:rsidR="00F73DC4" w:rsidRPr="00A800CB" w:rsidRDefault="00F73DC4" w:rsidP="00D47324">
            <w:pPr>
              <w:spacing w:after="0"/>
              <w:jc w:val="left"/>
              <w:rPr>
                <w:rFonts w:ascii="Calibri" w:eastAsia="Times New Roman" w:hAnsi="Calibri" w:cs="Calibri"/>
                <w:color w:val="000000"/>
                <w:lang w:eastAsia="it-IT"/>
              </w:rPr>
            </w:pPr>
            <w:r w:rsidRPr="00A800CB">
              <w:rPr>
                <w:rFonts w:ascii="Calibri" w:eastAsia="Times New Roman" w:hAnsi="Calibri" w:cs="Calibri"/>
                <w:color w:val="000000"/>
                <w:lang w:eastAsia="it-IT"/>
              </w:rPr>
              <w:t xml:space="preserve"> aziende con </w:t>
            </w:r>
            <w:proofErr w:type="spellStart"/>
            <w:r w:rsidRPr="00A800CB">
              <w:rPr>
                <w:rFonts w:ascii="Calibri" w:eastAsia="Times New Roman" w:hAnsi="Calibri" w:cs="Calibri"/>
                <w:color w:val="000000"/>
                <w:lang w:eastAsia="it-IT"/>
              </w:rPr>
              <w:t>poliallevamento</w:t>
            </w:r>
            <w:proofErr w:type="spellEnd"/>
            <w:r w:rsidRPr="00A800CB">
              <w:rPr>
                <w:rFonts w:ascii="Calibri" w:eastAsia="Times New Roman" w:hAnsi="Calibri" w:cs="Calibri"/>
                <w:color w:val="000000"/>
                <w:lang w:eastAsia="it-IT"/>
              </w:rPr>
              <w:t xml:space="preserve"> </w:t>
            </w:r>
          </w:p>
        </w:tc>
        <w:tc>
          <w:tcPr>
            <w:tcW w:w="637" w:type="pct"/>
            <w:tcBorders>
              <w:top w:val="nil"/>
              <w:left w:val="nil"/>
              <w:bottom w:val="single" w:sz="4" w:space="0" w:color="auto"/>
              <w:right w:val="single" w:sz="4" w:space="0" w:color="auto"/>
            </w:tcBorders>
            <w:shd w:val="clear" w:color="auto" w:fill="auto"/>
            <w:noWrap/>
            <w:vAlign w:val="bottom"/>
            <w:hideMark/>
          </w:tcPr>
          <w:p w14:paraId="35D2833D"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3,643</w:t>
            </w:r>
          </w:p>
        </w:tc>
        <w:tc>
          <w:tcPr>
            <w:tcW w:w="275" w:type="pct"/>
            <w:tcBorders>
              <w:top w:val="nil"/>
              <w:left w:val="nil"/>
              <w:bottom w:val="single" w:sz="4" w:space="0" w:color="auto"/>
              <w:right w:val="single" w:sz="4" w:space="0" w:color="auto"/>
            </w:tcBorders>
            <w:shd w:val="clear" w:color="auto" w:fill="auto"/>
            <w:noWrap/>
            <w:vAlign w:val="bottom"/>
            <w:hideMark/>
          </w:tcPr>
          <w:p w14:paraId="680182F0"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0,3</w:t>
            </w:r>
          </w:p>
        </w:tc>
        <w:tc>
          <w:tcPr>
            <w:tcW w:w="450" w:type="pct"/>
            <w:tcBorders>
              <w:top w:val="nil"/>
              <w:left w:val="nil"/>
              <w:bottom w:val="single" w:sz="4" w:space="0" w:color="auto"/>
              <w:right w:val="single" w:sz="4" w:space="0" w:color="auto"/>
            </w:tcBorders>
            <w:shd w:val="clear" w:color="auto" w:fill="auto"/>
            <w:noWrap/>
            <w:vAlign w:val="bottom"/>
            <w:hideMark/>
          </w:tcPr>
          <w:p w14:paraId="1D0931D8"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-10,4</w:t>
            </w:r>
          </w:p>
        </w:tc>
        <w:tc>
          <w:tcPr>
            <w:tcW w:w="676" w:type="pct"/>
            <w:tcBorders>
              <w:top w:val="nil"/>
              <w:left w:val="nil"/>
              <w:bottom w:val="single" w:sz="4" w:space="0" w:color="auto"/>
              <w:right w:val="single" w:sz="4" w:space="0" w:color="auto"/>
            </w:tcBorders>
            <w:shd w:val="clear" w:color="auto" w:fill="auto"/>
            <w:noWrap/>
            <w:vAlign w:val="bottom"/>
            <w:hideMark/>
          </w:tcPr>
          <w:p w14:paraId="04C9DA3A"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88,9</w:t>
            </w:r>
            <w:r>
              <w:rPr>
                <w:rFonts w:ascii="Calibri" w:eastAsia="Times New Roman" w:hAnsi="Calibri" w:cs="Calibri"/>
                <w:color w:val="000000"/>
                <w:lang w:eastAsia="it-IT"/>
              </w:rPr>
              <w:t>0</w:t>
            </w:r>
          </w:p>
        </w:tc>
        <w:tc>
          <w:tcPr>
            <w:tcW w:w="275" w:type="pct"/>
            <w:tcBorders>
              <w:top w:val="nil"/>
              <w:left w:val="nil"/>
              <w:bottom w:val="single" w:sz="4" w:space="0" w:color="auto"/>
              <w:right w:val="single" w:sz="4" w:space="0" w:color="auto"/>
            </w:tcBorders>
            <w:shd w:val="clear" w:color="auto" w:fill="auto"/>
            <w:noWrap/>
            <w:vAlign w:val="bottom"/>
            <w:hideMark/>
          </w:tcPr>
          <w:p w14:paraId="4EC5A3BC"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0,7</w:t>
            </w:r>
          </w:p>
        </w:tc>
        <w:tc>
          <w:tcPr>
            <w:tcW w:w="441" w:type="pct"/>
            <w:tcBorders>
              <w:top w:val="nil"/>
              <w:left w:val="nil"/>
              <w:bottom w:val="single" w:sz="4" w:space="0" w:color="auto"/>
              <w:right w:val="single" w:sz="4" w:space="0" w:color="auto"/>
            </w:tcBorders>
            <w:shd w:val="clear" w:color="auto" w:fill="auto"/>
            <w:noWrap/>
            <w:vAlign w:val="bottom"/>
            <w:hideMark/>
          </w:tcPr>
          <w:p w14:paraId="0F2733C6"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-5,1</w:t>
            </w:r>
          </w:p>
        </w:tc>
      </w:tr>
      <w:tr w:rsidR="00F73DC4" w:rsidRPr="00A800CB" w14:paraId="24021F57" w14:textId="77777777" w:rsidTr="00D47324">
        <w:trPr>
          <w:trHeight w:val="290"/>
        </w:trPr>
        <w:tc>
          <w:tcPr>
            <w:tcW w:w="2246" w:type="pct"/>
            <w:tcBorders>
              <w:top w:val="nil"/>
              <w:left w:val="single" w:sz="4" w:space="0" w:color="auto"/>
              <w:bottom w:val="single" w:sz="4" w:space="0" w:color="auto"/>
              <w:right w:val="single" w:sz="4" w:space="0" w:color="auto"/>
            </w:tcBorders>
            <w:shd w:val="clear" w:color="auto" w:fill="auto"/>
            <w:noWrap/>
            <w:vAlign w:val="bottom"/>
            <w:hideMark/>
          </w:tcPr>
          <w:p w14:paraId="2781B006" w14:textId="77777777" w:rsidR="00F73DC4" w:rsidRPr="00A800CB" w:rsidRDefault="00F73DC4" w:rsidP="00D47324">
            <w:pPr>
              <w:spacing w:after="0"/>
              <w:jc w:val="left"/>
              <w:rPr>
                <w:rFonts w:ascii="Calibri" w:eastAsia="Times New Roman" w:hAnsi="Calibri" w:cs="Calibri"/>
                <w:color w:val="000000"/>
                <w:lang w:eastAsia="it-IT"/>
              </w:rPr>
            </w:pPr>
            <w:r w:rsidRPr="00A800CB">
              <w:rPr>
                <w:rFonts w:ascii="Calibri" w:eastAsia="Times New Roman" w:hAnsi="Calibri" w:cs="Calibri"/>
                <w:color w:val="000000"/>
                <w:lang w:eastAsia="it-IT"/>
              </w:rPr>
              <w:t xml:space="preserve"> aziende miste (colture -allevamento) </w:t>
            </w:r>
          </w:p>
        </w:tc>
        <w:tc>
          <w:tcPr>
            <w:tcW w:w="637" w:type="pct"/>
            <w:tcBorders>
              <w:top w:val="nil"/>
              <w:left w:val="nil"/>
              <w:bottom w:val="single" w:sz="4" w:space="0" w:color="auto"/>
              <w:right w:val="single" w:sz="4" w:space="0" w:color="auto"/>
            </w:tcBorders>
            <w:shd w:val="clear" w:color="auto" w:fill="auto"/>
            <w:noWrap/>
            <w:vAlign w:val="bottom"/>
            <w:hideMark/>
          </w:tcPr>
          <w:p w14:paraId="354A9BF0"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24,638</w:t>
            </w:r>
          </w:p>
        </w:tc>
        <w:tc>
          <w:tcPr>
            <w:tcW w:w="275" w:type="pct"/>
            <w:tcBorders>
              <w:top w:val="nil"/>
              <w:left w:val="nil"/>
              <w:bottom w:val="single" w:sz="4" w:space="0" w:color="auto"/>
              <w:right w:val="single" w:sz="4" w:space="0" w:color="auto"/>
            </w:tcBorders>
            <w:shd w:val="clear" w:color="auto" w:fill="auto"/>
            <w:noWrap/>
            <w:vAlign w:val="bottom"/>
            <w:hideMark/>
          </w:tcPr>
          <w:p w14:paraId="0A4D2427"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2,2</w:t>
            </w:r>
          </w:p>
        </w:tc>
        <w:tc>
          <w:tcPr>
            <w:tcW w:w="450" w:type="pct"/>
            <w:tcBorders>
              <w:top w:val="nil"/>
              <w:left w:val="nil"/>
              <w:bottom w:val="single" w:sz="4" w:space="0" w:color="auto"/>
              <w:right w:val="single" w:sz="4" w:space="0" w:color="auto"/>
            </w:tcBorders>
            <w:shd w:val="clear" w:color="auto" w:fill="auto"/>
            <w:noWrap/>
            <w:vAlign w:val="bottom"/>
            <w:hideMark/>
          </w:tcPr>
          <w:p w14:paraId="4C70971A"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-30,9</w:t>
            </w:r>
          </w:p>
        </w:tc>
        <w:tc>
          <w:tcPr>
            <w:tcW w:w="676" w:type="pct"/>
            <w:tcBorders>
              <w:top w:val="nil"/>
              <w:left w:val="nil"/>
              <w:bottom w:val="single" w:sz="4" w:space="0" w:color="auto"/>
              <w:right w:val="single" w:sz="4" w:space="0" w:color="auto"/>
            </w:tcBorders>
            <w:shd w:val="clear" w:color="auto" w:fill="auto"/>
            <w:noWrap/>
            <w:vAlign w:val="bottom"/>
            <w:hideMark/>
          </w:tcPr>
          <w:p w14:paraId="16619D5C"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563,38</w:t>
            </w:r>
          </w:p>
        </w:tc>
        <w:tc>
          <w:tcPr>
            <w:tcW w:w="275" w:type="pct"/>
            <w:tcBorders>
              <w:top w:val="nil"/>
              <w:left w:val="nil"/>
              <w:bottom w:val="single" w:sz="4" w:space="0" w:color="auto"/>
              <w:right w:val="single" w:sz="4" w:space="0" w:color="auto"/>
            </w:tcBorders>
            <w:shd w:val="clear" w:color="auto" w:fill="auto"/>
            <w:noWrap/>
            <w:vAlign w:val="bottom"/>
            <w:hideMark/>
          </w:tcPr>
          <w:p w14:paraId="39DE8EE4"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4,5</w:t>
            </w:r>
          </w:p>
        </w:tc>
        <w:tc>
          <w:tcPr>
            <w:tcW w:w="441" w:type="pct"/>
            <w:tcBorders>
              <w:top w:val="nil"/>
              <w:left w:val="nil"/>
              <w:bottom w:val="single" w:sz="4" w:space="0" w:color="auto"/>
              <w:right w:val="single" w:sz="4" w:space="0" w:color="auto"/>
            </w:tcBorders>
            <w:shd w:val="clear" w:color="auto" w:fill="auto"/>
            <w:noWrap/>
            <w:vAlign w:val="bottom"/>
            <w:hideMark/>
          </w:tcPr>
          <w:p w14:paraId="2A1C8AB6" w14:textId="77777777" w:rsidR="00F73DC4" w:rsidRPr="00A800CB" w:rsidRDefault="00F73DC4" w:rsidP="00D47324">
            <w:pPr>
              <w:spacing w:after="0"/>
              <w:jc w:val="right"/>
              <w:rPr>
                <w:rFonts w:ascii="Calibri" w:eastAsia="Times New Roman" w:hAnsi="Calibri" w:cs="Calibri"/>
                <w:color w:val="000000"/>
                <w:lang w:eastAsia="it-IT"/>
              </w:rPr>
            </w:pPr>
            <w:r w:rsidRPr="00A800CB">
              <w:rPr>
                <w:rFonts w:ascii="Calibri" w:eastAsia="Times New Roman" w:hAnsi="Calibri" w:cs="Calibri"/>
                <w:color w:val="000000"/>
                <w:lang w:eastAsia="it-IT"/>
              </w:rPr>
              <w:t>-1,6</w:t>
            </w:r>
          </w:p>
        </w:tc>
      </w:tr>
      <w:tr w:rsidR="00F73DC4" w:rsidRPr="00A800CB" w14:paraId="12C3F85E" w14:textId="77777777" w:rsidTr="00D47324">
        <w:trPr>
          <w:trHeight w:val="290"/>
        </w:trPr>
        <w:tc>
          <w:tcPr>
            <w:tcW w:w="2246" w:type="pct"/>
            <w:tcBorders>
              <w:top w:val="nil"/>
              <w:left w:val="single" w:sz="4" w:space="0" w:color="auto"/>
              <w:bottom w:val="single" w:sz="4" w:space="0" w:color="auto"/>
              <w:right w:val="single" w:sz="4" w:space="0" w:color="auto"/>
            </w:tcBorders>
            <w:shd w:val="clear" w:color="auto" w:fill="auto"/>
            <w:noWrap/>
            <w:vAlign w:val="bottom"/>
            <w:hideMark/>
          </w:tcPr>
          <w:p w14:paraId="0079216E" w14:textId="77777777" w:rsidR="00F73DC4" w:rsidRPr="00A800CB" w:rsidRDefault="00F73DC4" w:rsidP="00D47324">
            <w:pPr>
              <w:spacing w:after="0"/>
              <w:jc w:val="left"/>
              <w:rPr>
                <w:rFonts w:ascii="Calibri" w:eastAsia="Times New Roman" w:hAnsi="Calibri" w:cs="Calibri"/>
                <w:b/>
                <w:bCs/>
                <w:color w:val="000000"/>
                <w:lang w:eastAsia="it-IT"/>
              </w:rPr>
            </w:pPr>
            <w:r w:rsidRPr="00A800CB">
              <w:rPr>
                <w:rFonts w:ascii="Calibri" w:eastAsia="Times New Roman" w:hAnsi="Calibri" w:cs="Calibri"/>
                <w:b/>
                <w:bCs/>
                <w:color w:val="000000"/>
                <w:lang w:eastAsia="it-IT"/>
              </w:rPr>
              <w:t xml:space="preserve"> Italia  </w:t>
            </w:r>
          </w:p>
        </w:tc>
        <w:tc>
          <w:tcPr>
            <w:tcW w:w="637" w:type="pct"/>
            <w:tcBorders>
              <w:top w:val="nil"/>
              <w:left w:val="nil"/>
              <w:bottom w:val="single" w:sz="4" w:space="0" w:color="auto"/>
              <w:right w:val="single" w:sz="4" w:space="0" w:color="auto"/>
            </w:tcBorders>
            <w:shd w:val="clear" w:color="auto" w:fill="auto"/>
            <w:noWrap/>
            <w:vAlign w:val="bottom"/>
            <w:hideMark/>
          </w:tcPr>
          <w:p w14:paraId="42041DC0" w14:textId="77777777" w:rsidR="00F73DC4" w:rsidRPr="00A800CB" w:rsidRDefault="00F73DC4" w:rsidP="00D47324">
            <w:pPr>
              <w:spacing w:after="0"/>
              <w:jc w:val="left"/>
              <w:rPr>
                <w:rFonts w:ascii="Calibri" w:eastAsia="Times New Roman" w:hAnsi="Calibri" w:cs="Calibri"/>
                <w:b/>
                <w:bCs/>
                <w:color w:val="000000"/>
                <w:lang w:eastAsia="it-IT"/>
              </w:rPr>
            </w:pPr>
            <w:r w:rsidRPr="00A800CB">
              <w:rPr>
                <w:rFonts w:ascii="Calibri" w:eastAsia="Times New Roman" w:hAnsi="Calibri" w:cs="Calibri"/>
                <w:b/>
                <w:bCs/>
                <w:color w:val="000000"/>
                <w:lang w:eastAsia="it-IT"/>
              </w:rPr>
              <w:t xml:space="preserve"> 1,145,706  </w:t>
            </w:r>
          </w:p>
        </w:tc>
        <w:tc>
          <w:tcPr>
            <w:tcW w:w="275" w:type="pct"/>
            <w:tcBorders>
              <w:top w:val="nil"/>
              <w:left w:val="nil"/>
              <w:bottom w:val="single" w:sz="4" w:space="0" w:color="auto"/>
              <w:right w:val="single" w:sz="4" w:space="0" w:color="auto"/>
            </w:tcBorders>
            <w:shd w:val="clear" w:color="auto" w:fill="auto"/>
            <w:noWrap/>
            <w:vAlign w:val="bottom"/>
            <w:hideMark/>
          </w:tcPr>
          <w:p w14:paraId="32F62FB6" w14:textId="77777777" w:rsidR="00F73DC4" w:rsidRPr="00A800CB" w:rsidRDefault="00F73DC4" w:rsidP="00D47324">
            <w:pPr>
              <w:spacing w:after="0"/>
              <w:jc w:val="right"/>
              <w:rPr>
                <w:rFonts w:ascii="Calibri" w:eastAsia="Times New Roman" w:hAnsi="Calibri" w:cs="Calibri"/>
                <w:b/>
                <w:bCs/>
                <w:color w:val="000000"/>
                <w:lang w:eastAsia="it-IT"/>
              </w:rPr>
            </w:pPr>
            <w:r w:rsidRPr="00A800CB">
              <w:rPr>
                <w:rFonts w:ascii="Calibri" w:eastAsia="Times New Roman" w:hAnsi="Calibri" w:cs="Calibri"/>
                <w:b/>
                <w:bCs/>
                <w:color w:val="000000"/>
                <w:lang w:eastAsia="it-IT"/>
              </w:rPr>
              <w:t>100</w:t>
            </w:r>
          </w:p>
        </w:tc>
        <w:tc>
          <w:tcPr>
            <w:tcW w:w="450" w:type="pct"/>
            <w:tcBorders>
              <w:top w:val="nil"/>
              <w:left w:val="nil"/>
              <w:bottom w:val="single" w:sz="4" w:space="0" w:color="auto"/>
              <w:right w:val="single" w:sz="4" w:space="0" w:color="auto"/>
            </w:tcBorders>
            <w:shd w:val="clear" w:color="auto" w:fill="auto"/>
            <w:noWrap/>
            <w:vAlign w:val="bottom"/>
            <w:hideMark/>
          </w:tcPr>
          <w:p w14:paraId="299119B5" w14:textId="77777777" w:rsidR="00F73DC4" w:rsidRPr="00A800CB" w:rsidRDefault="00F73DC4" w:rsidP="00D47324">
            <w:pPr>
              <w:spacing w:after="0"/>
              <w:jc w:val="right"/>
              <w:rPr>
                <w:rFonts w:ascii="Calibri" w:eastAsia="Times New Roman" w:hAnsi="Calibri" w:cs="Calibri"/>
                <w:b/>
                <w:bCs/>
                <w:color w:val="000000"/>
                <w:lang w:eastAsia="it-IT"/>
              </w:rPr>
            </w:pPr>
            <w:r w:rsidRPr="00A800CB">
              <w:rPr>
                <w:rFonts w:ascii="Calibri" w:eastAsia="Times New Roman" w:hAnsi="Calibri" w:cs="Calibri"/>
                <w:b/>
                <w:bCs/>
                <w:color w:val="000000"/>
                <w:lang w:eastAsia="it-IT"/>
              </w:rPr>
              <w:t>-22,1</w:t>
            </w:r>
          </w:p>
        </w:tc>
        <w:tc>
          <w:tcPr>
            <w:tcW w:w="676" w:type="pct"/>
            <w:tcBorders>
              <w:top w:val="nil"/>
              <w:left w:val="nil"/>
              <w:bottom w:val="single" w:sz="4" w:space="0" w:color="auto"/>
              <w:right w:val="single" w:sz="4" w:space="0" w:color="auto"/>
            </w:tcBorders>
            <w:shd w:val="clear" w:color="auto" w:fill="auto"/>
            <w:noWrap/>
            <w:vAlign w:val="bottom"/>
            <w:hideMark/>
          </w:tcPr>
          <w:p w14:paraId="3E93FE42" w14:textId="77777777" w:rsidR="00F73DC4" w:rsidRPr="00A800CB" w:rsidRDefault="00F73DC4" w:rsidP="00D47324">
            <w:pPr>
              <w:spacing w:after="0"/>
              <w:jc w:val="right"/>
              <w:rPr>
                <w:rFonts w:ascii="Calibri" w:eastAsia="Times New Roman" w:hAnsi="Calibri" w:cs="Calibri"/>
                <w:b/>
                <w:bCs/>
                <w:color w:val="000000"/>
                <w:lang w:eastAsia="it-IT"/>
              </w:rPr>
            </w:pPr>
            <w:r w:rsidRPr="00A800CB">
              <w:rPr>
                <w:rFonts w:ascii="Calibri" w:eastAsia="Times New Roman" w:hAnsi="Calibri" w:cs="Calibri"/>
                <w:b/>
                <w:bCs/>
                <w:color w:val="000000"/>
                <w:lang w:eastAsia="it-IT"/>
              </w:rPr>
              <w:t xml:space="preserve"> 12,598,16</w:t>
            </w:r>
          </w:p>
        </w:tc>
        <w:tc>
          <w:tcPr>
            <w:tcW w:w="275" w:type="pct"/>
            <w:tcBorders>
              <w:top w:val="nil"/>
              <w:left w:val="nil"/>
              <w:bottom w:val="single" w:sz="4" w:space="0" w:color="auto"/>
              <w:right w:val="single" w:sz="4" w:space="0" w:color="auto"/>
            </w:tcBorders>
            <w:shd w:val="clear" w:color="auto" w:fill="auto"/>
            <w:noWrap/>
            <w:vAlign w:val="bottom"/>
            <w:hideMark/>
          </w:tcPr>
          <w:p w14:paraId="4E8E0B15" w14:textId="77777777" w:rsidR="00F73DC4" w:rsidRPr="00A800CB" w:rsidRDefault="00F73DC4" w:rsidP="00D47324">
            <w:pPr>
              <w:spacing w:after="0"/>
              <w:jc w:val="right"/>
              <w:rPr>
                <w:rFonts w:ascii="Calibri" w:eastAsia="Times New Roman" w:hAnsi="Calibri" w:cs="Calibri"/>
                <w:b/>
                <w:bCs/>
                <w:color w:val="000000"/>
                <w:lang w:eastAsia="it-IT"/>
              </w:rPr>
            </w:pPr>
            <w:r w:rsidRPr="00A800CB">
              <w:rPr>
                <w:rFonts w:ascii="Calibri" w:eastAsia="Times New Roman" w:hAnsi="Calibri" w:cs="Calibri"/>
                <w:b/>
                <w:bCs/>
                <w:color w:val="000000"/>
                <w:lang w:eastAsia="it-IT"/>
              </w:rPr>
              <w:t>100</w:t>
            </w:r>
          </w:p>
        </w:tc>
        <w:tc>
          <w:tcPr>
            <w:tcW w:w="441" w:type="pct"/>
            <w:tcBorders>
              <w:top w:val="nil"/>
              <w:left w:val="nil"/>
              <w:bottom w:val="single" w:sz="4" w:space="0" w:color="auto"/>
              <w:right w:val="single" w:sz="4" w:space="0" w:color="auto"/>
            </w:tcBorders>
            <w:shd w:val="clear" w:color="auto" w:fill="auto"/>
            <w:noWrap/>
            <w:vAlign w:val="bottom"/>
            <w:hideMark/>
          </w:tcPr>
          <w:p w14:paraId="3A4C0E0E" w14:textId="77777777" w:rsidR="00F73DC4" w:rsidRPr="00A800CB" w:rsidRDefault="00F73DC4" w:rsidP="00D47324">
            <w:pPr>
              <w:spacing w:after="0"/>
              <w:jc w:val="right"/>
              <w:rPr>
                <w:rFonts w:ascii="Calibri" w:eastAsia="Times New Roman" w:hAnsi="Calibri" w:cs="Calibri"/>
                <w:b/>
                <w:bCs/>
                <w:color w:val="000000"/>
                <w:lang w:eastAsia="it-IT"/>
              </w:rPr>
            </w:pPr>
            <w:r w:rsidRPr="00A800CB">
              <w:rPr>
                <w:rFonts w:ascii="Calibri" w:eastAsia="Times New Roman" w:hAnsi="Calibri" w:cs="Calibri"/>
                <w:b/>
                <w:bCs/>
                <w:color w:val="000000"/>
                <w:lang w:eastAsia="it-IT"/>
              </w:rPr>
              <w:t>1,4</w:t>
            </w:r>
          </w:p>
        </w:tc>
      </w:tr>
    </w:tbl>
    <w:p w14:paraId="031BFA5B" w14:textId="77777777" w:rsidR="00F73DC4" w:rsidRDefault="00F73DC4" w:rsidP="00F73DC4">
      <w:pPr>
        <w:pStyle w:val="Fontetabellagrafico"/>
        <w:spacing w:before="60"/>
        <w:rPr>
          <w:sz w:val="20"/>
          <w:szCs w:val="20"/>
        </w:rPr>
      </w:pPr>
      <w:r w:rsidRPr="002567B6">
        <w:rPr>
          <w:sz w:val="20"/>
          <w:szCs w:val="20"/>
        </w:rPr>
        <w:t xml:space="preserve">Fonte: </w:t>
      </w:r>
      <w:r>
        <w:rPr>
          <w:sz w:val="20"/>
          <w:szCs w:val="20"/>
        </w:rPr>
        <w:t>I</w:t>
      </w:r>
      <w:r w:rsidRPr="002567B6">
        <w:rPr>
          <w:sz w:val="20"/>
          <w:szCs w:val="20"/>
        </w:rPr>
        <w:t>STAT</w:t>
      </w:r>
      <w:r>
        <w:rPr>
          <w:sz w:val="20"/>
          <w:szCs w:val="20"/>
        </w:rPr>
        <w:t xml:space="preserve">, tratto da CREA (2019) L’agricoltura italiana conta 2018  </w:t>
      </w:r>
    </w:p>
    <w:p w14:paraId="63601E1E" w14:textId="77777777" w:rsidR="00F73DC4" w:rsidRDefault="00F73DC4" w:rsidP="00F73DC4"/>
    <w:p w14:paraId="6D7385AC" w14:textId="2C0CE701" w:rsidR="00CF1013" w:rsidRPr="00F24C87" w:rsidRDefault="00CF1013" w:rsidP="00CF1013">
      <w:pPr>
        <w:pStyle w:val="Titolotab-grafReport"/>
        <w:numPr>
          <w:ilvl w:val="0"/>
          <w:numId w:val="0"/>
        </w:numPr>
        <w:spacing w:after="120"/>
      </w:pPr>
      <w:r w:rsidRPr="00473AC9">
        <w:lastRenderedPageBreak/>
        <w:t xml:space="preserve">Tabella </w:t>
      </w:r>
      <w:r w:rsidR="00D17486">
        <w:t>1.</w:t>
      </w:r>
      <w:r w:rsidR="00A800CB">
        <w:rPr>
          <w:noProof/>
        </w:rPr>
        <w:t>3</w:t>
      </w:r>
      <w:r>
        <w:rPr>
          <w:b w:val="0"/>
          <w:noProof/>
        </w:rPr>
        <w:t xml:space="preserve"> </w:t>
      </w:r>
      <w:r w:rsidRPr="00F24C87">
        <w:rPr>
          <w:rFonts w:eastAsia="Times New Roman" w:cs="Calibri"/>
          <w:lang w:eastAsia="it-IT"/>
        </w:rPr>
        <w:t xml:space="preserve">Distribuzione delle aziende agricole per classi di superficie in Italia </w:t>
      </w:r>
      <w:r w:rsidRPr="00F24C87">
        <w:t>(valori assoluti e in %, anno 2016)</w:t>
      </w:r>
    </w:p>
    <w:tbl>
      <w:tblPr>
        <w:tblStyle w:val="Grigliatabella"/>
        <w:tblW w:w="4961" w:type="pct"/>
        <w:tblLook w:val="04A0" w:firstRow="1" w:lastRow="0" w:firstColumn="1" w:lastColumn="0" w:noHBand="0" w:noVBand="1"/>
      </w:tblPr>
      <w:tblGrid>
        <w:gridCol w:w="5317"/>
        <w:gridCol w:w="2119"/>
        <w:gridCol w:w="2117"/>
      </w:tblGrid>
      <w:tr w:rsidR="00A67776" w:rsidRPr="00F24C87" w14:paraId="085D2816" w14:textId="77777777" w:rsidTr="00C01492">
        <w:trPr>
          <w:trHeight w:val="248"/>
        </w:trPr>
        <w:tc>
          <w:tcPr>
            <w:tcW w:w="2783" w:type="pct"/>
            <w:vMerge w:val="restart"/>
            <w:shd w:val="clear" w:color="auto" w:fill="B8CCE4"/>
            <w:vAlign w:val="center"/>
          </w:tcPr>
          <w:p w14:paraId="057A2CDF" w14:textId="77777777" w:rsidR="00A67776" w:rsidRPr="00F24C87" w:rsidRDefault="00A67776" w:rsidP="00837890">
            <w:pPr>
              <w:jc w:val="center"/>
              <w:rPr>
                <w:rFonts w:eastAsia="Times New Roman" w:cstheme="minorHAnsi"/>
                <w:sz w:val="20"/>
                <w:szCs w:val="24"/>
                <w:lang w:eastAsia="it-IT"/>
              </w:rPr>
            </w:pPr>
            <w:r w:rsidRPr="00F24C87">
              <w:rPr>
                <w:rFonts w:eastAsia="Times New Roman" w:cstheme="minorHAnsi"/>
                <w:b/>
                <w:sz w:val="20"/>
                <w:szCs w:val="24"/>
                <w:lang w:eastAsia="it-IT"/>
              </w:rPr>
              <w:t>Classi di superficie</w:t>
            </w:r>
          </w:p>
        </w:tc>
        <w:tc>
          <w:tcPr>
            <w:tcW w:w="2217" w:type="pct"/>
            <w:gridSpan w:val="2"/>
            <w:shd w:val="clear" w:color="auto" w:fill="B8CCE4"/>
          </w:tcPr>
          <w:p w14:paraId="3B1810F9" w14:textId="77777777" w:rsidR="00A67776" w:rsidRPr="00F24C87" w:rsidRDefault="00A67776" w:rsidP="00837890">
            <w:pPr>
              <w:jc w:val="center"/>
              <w:rPr>
                <w:rFonts w:eastAsia="Times New Roman" w:cstheme="minorHAnsi"/>
                <w:b/>
                <w:sz w:val="20"/>
                <w:szCs w:val="24"/>
                <w:lang w:eastAsia="it-IT"/>
              </w:rPr>
            </w:pPr>
            <w:r w:rsidRPr="00F24C87">
              <w:rPr>
                <w:rFonts w:eastAsia="Times New Roman" w:cstheme="minorHAnsi"/>
                <w:b/>
                <w:sz w:val="20"/>
                <w:szCs w:val="24"/>
                <w:lang w:eastAsia="it-IT"/>
              </w:rPr>
              <w:t>Italia</w:t>
            </w:r>
          </w:p>
        </w:tc>
      </w:tr>
      <w:tr w:rsidR="00A67776" w:rsidRPr="00F24C87" w14:paraId="06A58E3A" w14:textId="77777777" w:rsidTr="00C01492">
        <w:trPr>
          <w:trHeight w:val="274"/>
        </w:trPr>
        <w:tc>
          <w:tcPr>
            <w:tcW w:w="2783" w:type="pct"/>
            <w:vMerge/>
            <w:shd w:val="clear" w:color="auto" w:fill="B8CCE4"/>
          </w:tcPr>
          <w:p w14:paraId="78D79BD8" w14:textId="77777777" w:rsidR="00A67776" w:rsidRPr="00F24C87" w:rsidRDefault="00A67776" w:rsidP="00837890">
            <w:pPr>
              <w:jc w:val="center"/>
              <w:rPr>
                <w:rFonts w:eastAsia="Times New Roman" w:cstheme="minorHAnsi"/>
                <w:sz w:val="20"/>
                <w:szCs w:val="24"/>
                <w:lang w:eastAsia="it-IT"/>
              </w:rPr>
            </w:pPr>
          </w:p>
        </w:tc>
        <w:tc>
          <w:tcPr>
            <w:tcW w:w="1109" w:type="pct"/>
            <w:shd w:val="clear" w:color="auto" w:fill="B8CCE4"/>
          </w:tcPr>
          <w:p w14:paraId="0282B518" w14:textId="0423D9FD" w:rsidR="00A67776" w:rsidRPr="00F24C87" w:rsidRDefault="00A67776" w:rsidP="00837890">
            <w:pPr>
              <w:jc w:val="center"/>
              <w:rPr>
                <w:rFonts w:eastAsia="Times New Roman" w:cstheme="minorHAnsi"/>
                <w:b/>
                <w:sz w:val="20"/>
                <w:szCs w:val="24"/>
                <w:lang w:eastAsia="it-IT"/>
              </w:rPr>
            </w:pPr>
            <w:r w:rsidRPr="00F24C87">
              <w:rPr>
                <w:rFonts w:eastAsia="Times New Roman" w:cstheme="minorHAnsi"/>
                <w:b/>
                <w:sz w:val="20"/>
                <w:szCs w:val="24"/>
                <w:lang w:eastAsia="it-IT"/>
              </w:rPr>
              <w:t>n.</w:t>
            </w:r>
            <w:r w:rsidR="00EB788D">
              <w:rPr>
                <w:rFonts w:eastAsia="Times New Roman" w:cstheme="minorHAnsi"/>
                <w:b/>
                <w:sz w:val="20"/>
                <w:szCs w:val="24"/>
                <w:lang w:eastAsia="it-IT"/>
              </w:rPr>
              <w:t xml:space="preserve"> aziende</w:t>
            </w:r>
          </w:p>
        </w:tc>
        <w:tc>
          <w:tcPr>
            <w:tcW w:w="1108" w:type="pct"/>
            <w:shd w:val="clear" w:color="auto" w:fill="B8CCE4"/>
          </w:tcPr>
          <w:p w14:paraId="6B6A0480" w14:textId="77777777" w:rsidR="00A67776" w:rsidRPr="00F24C87" w:rsidRDefault="00A67776" w:rsidP="00837890">
            <w:pPr>
              <w:jc w:val="center"/>
              <w:rPr>
                <w:rFonts w:eastAsia="Times New Roman" w:cstheme="minorHAnsi"/>
                <w:b/>
                <w:sz w:val="20"/>
                <w:szCs w:val="24"/>
                <w:lang w:eastAsia="it-IT"/>
              </w:rPr>
            </w:pPr>
            <w:r w:rsidRPr="00F24C87">
              <w:rPr>
                <w:rFonts w:eastAsia="Times New Roman" w:cstheme="minorHAnsi"/>
                <w:b/>
                <w:sz w:val="20"/>
                <w:szCs w:val="24"/>
                <w:lang w:eastAsia="it-IT"/>
              </w:rPr>
              <w:t>%</w:t>
            </w:r>
          </w:p>
        </w:tc>
      </w:tr>
      <w:tr w:rsidR="00A67776" w:rsidRPr="00F24C87" w14:paraId="40A5DB42" w14:textId="77777777" w:rsidTr="00C01492">
        <w:trPr>
          <w:trHeight w:val="248"/>
        </w:trPr>
        <w:tc>
          <w:tcPr>
            <w:tcW w:w="2783" w:type="pct"/>
            <w:shd w:val="clear" w:color="auto" w:fill="auto"/>
            <w:vAlign w:val="bottom"/>
          </w:tcPr>
          <w:p w14:paraId="184E020B"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Uguale a 0 meno di 1 ha</w:t>
            </w:r>
          </w:p>
        </w:tc>
        <w:tc>
          <w:tcPr>
            <w:tcW w:w="1109" w:type="pct"/>
            <w:shd w:val="clear" w:color="auto" w:fill="auto"/>
            <w:vAlign w:val="bottom"/>
          </w:tcPr>
          <w:p w14:paraId="03B1119A"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1.750</w:t>
            </w:r>
          </w:p>
        </w:tc>
        <w:tc>
          <w:tcPr>
            <w:tcW w:w="1108" w:type="pct"/>
            <w:shd w:val="clear" w:color="auto" w:fill="auto"/>
            <w:vAlign w:val="bottom"/>
          </w:tcPr>
          <w:p w14:paraId="3AFCFDDD"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0,2</w:t>
            </w:r>
          </w:p>
        </w:tc>
      </w:tr>
      <w:tr w:rsidR="00A67776" w:rsidRPr="00F24C87" w14:paraId="1EDADB34" w14:textId="77777777" w:rsidTr="00C01492">
        <w:trPr>
          <w:trHeight w:val="248"/>
        </w:trPr>
        <w:tc>
          <w:tcPr>
            <w:tcW w:w="2783" w:type="pct"/>
            <w:shd w:val="clear" w:color="auto" w:fill="auto"/>
            <w:vAlign w:val="bottom"/>
          </w:tcPr>
          <w:p w14:paraId="35D94F5D" w14:textId="77777777" w:rsidR="00A67776" w:rsidRPr="00F24C87" w:rsidRDefault="00A67776" w:rsidP="00837890">
            <w:pPr>
              <w:jc w:val="left"/>
              <w:rPr>
                <w:rFonts w:eastAsia="Times New Roman" w:cstheme="minorHAnsi"/>
                <w:sz w:val="20"/>
                <w:szCs w:val="24"/>
                <w:lang w:eastAsia="it-IT"/>
              </w:rPr>
            </w:pPr>
            <w:proofErr w:type="gramStart"/>
            <w:r w:rsidRPr="00F24C87">
              <w:rPr>
                <w:rFonts w:eastAsia="Times New Roman" w:cstheme="minorHAnsi"/>
                <w:sz w:val="20"/>
                <w:szCs w:val="24"/>
                <w:lang w:eastAsia="it-IT"/>
              </w:rPr>
              <w:t>‹ 2</w:t>
            </w:r>
            <w:proofErr w:type="gramEnd"/>
            <w:r w:rsidRPr="00F24C87">
              <w:rPr>
                <w:rFonts w:eastAsia="Times New Roman" w:cstheme="minorHAnsi"/>
                <w:sz w:val="20"/>
                <w:szCs w:val="24"/>
                <w:lang w:eastAsia="it-IT"/>
              </w:rPr>
              <w:t xml:space="preserve"> ha</w:t>
            </w:r>
          </w:p>
        </w:tc>
        <w:tc>
          <w:tcPr>
            <w:tcW w:w="1109" w:type="pct"/>
            <w:shd w:val="clear" w:color="auto" w:fill="auto"/>
            <w:vAlign w:val="bottom"/>
          </w:tcPr>
          <w:p w14:paraId="6CC67B33"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389.410</w:t>
            </w:r>
          </w:p>
        </w:tc>
        <w:tc>
          <w:tcPr>
            <w:tcW w:w="1108" w:type="pct"/>
            <w:shd w:val="clear" w:color="auto" w:fill="auto"/>
            <w:vAlign w:val="bottom"/>
          </w:tcPr>
          <w:p w14:paraId="15713A42" w14:textId="77777777" w:rsidR="00A67776" w:rsidRPr="004E238C" w:rsidRDefault="00A67776" w:rsidP="00837890">
            <w:pPr>
              <w:jc w:val="right"/>
              <w:rPr>
                <w:rFonts w:eastAsia="Times New Roman" w:cstheme="minorHAnsi"/>
                <w:sz w:val="20"/>
                <w:szCs w:val="24"/>
                <w:lang w:eastAsia="it-IT"/>
              </w:rPr>
            </w:pPr>
            <w:r w:rsidRPr="004E238C">
              <w:rPr>
                <w:rFonts w:eastAsia="Times New Roman" w:cstheme="minorHAnsi"/>
                <w:sz w:val="20"/>
                <w:szCs w:val="24"/>
                <w:lang w:eastAsia="it-IT"/>
              </w:rPr>
              <w:t>34,0</w:t>
            </w:r>
          </w:p>
        </w:tc>
      </w:tr>
      <w:tr w:rsidR="00A67776" w:rsidRPr="00F24C87" w14:paraId="2BFCDE63" w14:textId="77777777" w:rsidTr="00C01492">
        <w:trPr>
          <w:trHeight w:val="248"/>
        </w:trPr>
        <w:tc>
          <w:tcPr>
            <w:tcW w:w="2783" w:type="pct"/>
            <w:shd w:val="clear" w:color="auto" w:fill="auto"/>
            <w:vAlign w:val="bottom"/>
          </w:tcPr>
          <w:p w14:paraId="4D182E1C"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2-4,9 ha</w:t>
            </w:r>
          </w:p>
        </w:tc>
        <w:tc>
          <w:tcPr>
            <w:tcW w:w="1109" w:type="pct"/>
            <w:shd w:val="clear" w:color="auto" w:fill="auto"/>
            <w:vAlign w:val="bottom"/>
          </w:tcPr>
          <w:p w14:paraId="33ADD3CF"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318.400</w:t>
            </w:r>
          </w:p>
        </w:tc>
        <w:tc>
          <w:tcPr>
            <w:tcW w:w="1108" w:type="pct"/>
            <w:shd w:val="clear" w:color="auto" w:fill="auto"/>
            <w:vAlign w:val="bottom"/>
          </w:tcPr>
          <w:p w14:paraId="2EA37016" w14:textId="77777777" w:rsidR="00A67776" w:rsidRPr="004E238C" w:rsidRDefault="00A67776" w:rsidP="00837890">
            <w:pPr>
              <w:jc w:val="right"/>
              <w:rPr>
                <w:rFonts w:eastAsia="Times New Roman" w:cstheme="minorHAnsi"/>
                <w:sz w:val="20"/>
                <w:szCs w:val="24"/>
                <w:lang w:eastAsia="it-IT"/>
              </w:rPr>
            </w:pPr>
            <w:r w:rsidRPr="004E238C">
              <w:rPr>
                <w:rFonts w:eastAsia="Times New Roman" w:cstheme="minorHAnsi"/>
                <w:sz w:val="20"/>
                <w:szCs w:val="24"/>
                <w:lang w:eastAsia="it-IT"/>
              </w:rPr>
              <w:t>27,8</w:t>
            </w:r>
          </w:p>
        </w:tc>
      </w:tr>
      <w:tr w:rsidR="00A67776" w:rsidRPr="00F24C87" w14:paraId="04E9B044" w14:textId="77777777" w:rsidTr="00C01492">
        <w:trPr>
          <w:trHeight w:val="260"/>
        </w:trPr>
        <w:tc>
          <w:tcPr>
            <w:tcW w:w="2783" w:type="pct"/>
            <w:shd w:val="clear" w:color="auto" w:fill="auto"/>
            <w:vAlign w:val="bottom"/>
          </w:tcPr>
          <w:p w14:paraId="1EEC43C0"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5-9,9 ha</w:t>
            </w:r>
          </w:p>
        </w:tc>
        <w:tc>
          <w:tcPr>
            <w:tcW w:w="1109" w:type="pct"/>
            <w:shd w:val="clear" w:color="auto" w:fill="auto"/>
            <w:vAlign w:val="bottom"/>
          </w:tcPr>
          <w:p w14:paraId="68EFD0AC"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179.960</w:t>
            </w:r>
          </w:p>
        </w:tc>
        <w:tc>
          <w:tcPr>
            <w:tcW w:w="1108" w:type="pct"/>
            <w:shd w:val="clear" w:color="auto" w:fill="auto"/>
            <w:vAlign w:val="bottom"/>
          </w:tcPr>
          <w:p w14:paraId="532551F7" w14:textId="77777777" w:rsidR="00A67776" w:rsidRPr="004E238C" w:rsidRDefault="00A67776" w:rsidP="00837890">
            <w:pPr>
              <w:jc w:val="right"/>
              <w:rPr>
                <w:rFonts w:eastAsia="Times New Roman" w:cstheme="minorHAnsi"/>
                <w:sz w:val="20"/>
                <w:szCs w:val="24"/>
                <w:lang w:eastAsia="it-IT"/>
              </w:rPr>
            </w:pPr>
            <w:r w:rsidRPr="004E238C">
              <w:rPr>
                <w:rFonts w:eastAsia="Times New Roman" w:cstheme="minorHAnsi"/>
                <w:sz w:val="20"/>
                <w:szCs w:val="24"/>
                <w:lang w:eastAsia="it-IT"/>
              </w:rPr>
              <w:t>15,7</w:t>
            </w:r>
          </w:p>
        </w:tc>
      </w:tr>
      <w:tr w:rsidR="00A67776" w:rsidRPr="00F24C87" w14:paraId="0D4AD6AA" w14:textId="77777777" w:rsidTr="00C01492">
        <w:trPr>
          <w:trHeight w:val="248"/>
        </w:trPr>
        <w:tc>
          <w:tcPr>
            <w:tcW w:w="2783" w:type="pct"/>
            <w:shd w:val="clear" w:color="auto" w:fill="auto"/>
            <w:vAlign w:val="bottom"/>
          </w:tcPr>
          <w:p w14:paraId="141BE424"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10-19,9 ha</w:t>
            </w:r>
          </w:p>
        </w:tc>
        <w:tc>
          <w:tcPr>
            <w:tcW w:w="1109" w:type="pct"/>
            <w:shd w:val="clear" w:color="auto" w:fill="auto"/>
            <w:vAlign w:val="bottom"/>
          </w:tcPr>
          <w:p w14:paraId="0D0BFED7"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119540</w:t>
            </w:r>
          </w:p>
        </w:tc>
        <w:tc>
          <w:tcPr>
            <w:tcW w:w="1108" w:type="pct"/>
            <w:shd w:val="clear" w:color="auto" w:fill="auto"/>
            <w:vAlign w:val="bottom"/>
          </w:tcPr>
          <w:p w14:paraId="203C35B4" w14:textId="77777777" w:rsidR="00A67776" w:rsidRPr="004E238C" w:rsidRDefault="00A67776" w:rsidP="00837890">
            <w:pPr>
              <w:jc w:val="right"/>
              <w:rPr>
                <w:rFonts w:eastAsia="Times New Roman" w:cstheme="minorHAnsi"/>
                <w:sz w:val="20"/>
                <w:szCs w:val="24"/>
                <w:lang w:eastAsia="it-IT"/>
              </w:rPr>
            </w:pPr>
            <w:r w:rsidRPr="004E238C">
              <w:rPr>
                <w:rFonts w:eastAsia="Times New Roman" w:cstheme="minorHAnsi"/>
                <w:sz w:val="20"/>
                <w:szCs w:val="24"/>
                <w:lang w:eastAsia="it-IT"/>
              </w:rPr>
              <w:t>10,4</w:t>
            </w:r>
          </w:p>
        </w:tc>
      </w:tr>
      <w:tr w:rsidR="00A67776" w:rsidRPr="00F24C87" w14:paraId="5B52F093" w14:textId="77777777" w:rsidTr="00C01492">
        <w:trPr>
          <w:trHeight w:val="248"/>
        </w:trPr>
        <w:tc>
          <w:tcPr>
            <w:tcW w:w="2783" w:type="pct"/>
            <w:shd w:val="clear" w:color="auto" w:fill="auto"/>
            <w:vAlign w:val="bottom"/>
          </w:tcPr>
          <w:p w14:paraId="0B1A01A4"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20-29,9 ha</w:t>
            </w:r>
          </w:p>
        </w:tc>
        <w:tc>
          <w:tcPr>
            <w:tcW w:w="1109" w:type="pct"/>
            <w:shd w:val="clear" w:color="auto" w:fill="auto"/>
            <w:vAlign w:val="bottom"/>
          </w:tcPr>
          <w:p w14:paraId="7FBDA7CC"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47.180</w:t>
            </w:r>
          </w:p>
        </w:tc>
        <w:tc>
          <w:tcPr>
            <w:tcW w:w="1108" w:type="pct"/>
            <w:shd w:val="clear" w:color="auto" w:fill="auto"/>
            <w:vAlign w:val="bottom"/>
          </w:tcPr>
          <w:p w14:paraId="29DB384B"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4,1</w:t>
            </w:r>
          </w:p>
        </w:tc>
      </w:tr>
      <w:tr w:rsidR="00A67776" w:rsidRPr="00F24C87" w14:paraId="4C9CF857" w14:textId="77777777" w:rsidTr="00C01492">
        <w:trPr>
          <w:trHeight w:val="260"/>
        </w:trPr>
        <w:tc>
          <w:tcPr>
            <w:tcW w:w="2783" w:type="pct"/>
            <w:shd w:val="clear" w:color="auto" w:fill="auto"/>
            <w:vAlign w:val="bottom"/>
          </w:tcPr>
          <w:p w14:paraId="17E42F4B"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30-49,9 ha</w:t>
            </w:r>
          </w:p>
        </w:tc>
        <w:tc>
          <w:tcPr>
            <w:tcW w:w="1109" w:type="pct"/>
            <w:shd w:val="clear" w:color="auto" w:fill="auto"/>
            <w:vAlign w:val="bottom"/>
          </w:tcPr>
          <w:p w14:paraId="27F700CD"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42.670</w:t>
            </w:r>
          </w:p>
        </w:tc>
        <w:tc>
          <w:tcPr>
            <w:tcW w:w="1108" w:type="pct"/>
            <w:shd w:val="clear" w:color="auto" w:fill="auto"/>
            <w:vAlign w:val="bottom"/>
          </w:tcPr>
          <w:p w14:paraId="49E686EC"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3,7</w:t>
            </w:r>
          </w:p>
        </w:tc>
      </w:tr>
      <w:tr w:rsidR="00A67776" w:rsidRPr="00F24C87" w14:paraId="3581DD8D" w14:textId="77777777" w:rsidTr="00C01492">
        <w:trPr>
          <w:trHeight w:val="248"/>
        </w:trPr>
        <w:tc>
          <w:tcPr>
            <w:tcW w:w="2783" w:type="pct"/>
            <w:shd w:val="clear" w:color="auto" w:fill="auto"/>
            <w:vAlign w:val="bottom"/>
          </w:tcPr>
          <w:p w14:paraId="3CF011EC"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50-99,9 ha</w:t>
            </w:r>
          </w:p>
        </w:tc>
        <w:tc>
          <w:tcPr>
            <w:tcW w:w="1109" w:type="pct"/>
            <w:shd w:val="clear" w:color="auto" w:fill="auto"/>
            <w:vAlign w:val="bottom"/>
          </w:tcPr>
          <w:p w14:paraId="60EC6F49"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29.960</w:t>
            </w:r>
          </w:p>
        </w:tc>
        <w:tc>
          <w:tcPr>
            <w:tcW w:w="1108" w:type="pct"/>
            <w:shd w:val="clear" w:color="auto" w:fill="auto"/>
            <w:vAlign w:val="bottom"/>
          </w:tcPr>
          <w:p w14:paraId="69763A94"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2,6</w:t>
            </w:r>
          </w:p>
        </w:tc>
      </w:tr>
      <w:tr w:rsidR="00A67776" w:rsidRPr="00F24C87" w14:paraId="2E1B8C2A" w14:textId="77777777" w:rsidTr="00C01492">
        <w:trPr>
          <w:trHeight w:val="248"/>
        </w:trPr>
        <w:tc>
          <w:tcPr>
            <w:tcW w:w="2783" w:type="pct"/>
            <w:shd w:val="clear" w:color="auto" w:fill="auto"/>
            <w:vAlign w:val="bottom"/>
          </w:tcPr>
          <w:p w14:paraId="521D4496"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 100 ha</w:t>
            </w:r>
          </w:p>
        </w:tc>
        <w:tc>
          <w:tcPr>
            <w:tcW w:w="1109" w:type="pct"/>
            <w:shd w:val="clear" w:color="auto" w:fill="auto"/>
            <w:vAlign w:val="bottom"/>
          </w:tcPr>
          <w:p w14:paraId="47DD0A94"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16.840</w:t>
            </w:r>
          </w:p>
        </w:tc>
        <w:tc>
          <w:tcPr>
            <w:tcW w:w="1108" w:type="pct"/>
            <w:shd w:val="clear" w:color="auto" w:fill="auto"/>
            <w:vAlign w:val="bottom"/>
          </w:tcPr>
          <w:p w14:paraId="05EBB2AD"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1,5</w:t>
            </w:r>
          </w:p>
        </w:tc>
      </w:tr>
      <w:tr w:rsidR="00A67776" w:rsidRPr="00F24C87" w14:paraId="75FD2315" w14:textId="77777777" w:rsidTr="00C01492">
        <w:trPr>
          <w:trHeight w:val="260"/>
        </w:trPr>
        <w:tc>
          <w:tcPr>
            <w:tcW w:w="2783" w:type="pct"/>
            <w:shd w:val="clear" w:color="auto" w:fill="auto"/>
            <w:vAlign w:val="bottom"/>
          </w:tcPr>
          <w:p w14:paraId="71DCEEE3" w14:textId="77777777" w:rsidR="00A67776" w:rsidRPr="00F24C87" w:rsidRDefault="00A67776" w:rsidP="00837890">
            <w:pPr>
              <w:jc w:val="left"/>
              <w:rPr>
                <w:rFonts w:eastAsia="Times New Roman" w:cstheme="minorHAnsi"/>
                <w:b/>
                <w:sz w:val="20"/>
                <w:szCs w:val="24"/>
                <w:lang w:eastAsia="it-IT"/>
              </w:rPr>
            </w:pPr>
            <w:r w:rsidRPr="00F24C87">
              <w:rPr>
                <w:rFonts w:eastAsia="Times New Roman" w:cstheme="minorHAnsi"/>
                <w:b/>
                <w:sz w:val="20"/>
                <w:szCs w:val="24"/>
                <w:lang w:eastAsia="it-IT"/>
              </w:rPr>
              <w:t>Totale</w:t>
            </w:r>
          </w:p>
        </w:tc>
        <w:tc>
          <w:tcPr>
            <w:tcW w:w="1109" w:type="pct"/>
            <w:shd w:val="clear" w:color="auto" w:fill="auto"/>
            <w:vAlign w:val="bottom"/>
          </w:tcPr>
          <w:p w14:paraId="43C56D2E" w14:textId="77777777" w:rsidR="00A67776" w:rsidRPr="00F24C87" w:rsidRDefault="00A67776" w:rsidP="00837890">
            <w:pPr>
              <w:jc w:val="right"/>
              <w:rPr>
                <w:rFonts w:eastAsia="Times New Roman" w:cstheme="minorHAnsi"/>
                <w:b/>
                <w:sz w:val="20"/>
                <w:szCs w:val="24"/>
                <w:lang w:eastAsia="it-IT"/>
              </w:rPr>
            </w:pPr>
            <w:r w:rsidRPr="00F24C87">
              <w:rPr>
                <w:rFonts w:eastAsia="Times New Roman" w:cstheme="minorHAnsi"/>
                <w:b/>
                <w:sz w:val="20"/>
                <w:szCs w:val="24"/>
                <w:lang w:eastAsia="it-IT"/>
              </w:rPr>
              <w:t>1.145.710</w:t>
            </w:r>
          </w:p>
        </w:tc>
        <w:tc>
          <w:tcPr>
            <w:tcW w:w="1108" w:type="pct"/>
            <w:shd w:val="clear" w:color="auto" w:fill="auto"/>
            <w:vAlign w:val="bottom"/>
          </w:tcPr>
          <w:p w14:paraId="07FA5B26" w14:textId="77777777" w:rsidR="00A67776" w:rsidRPr="00F24C87" w:rsidRDefault="00A67776" w:rsidP="00837890">
            <w:pPr>
              <w:jc w:val="right"/>
              <w:rPr>
                <w:rFonts w:eastAsia="Times New Roman" w:cstheme="minorHAnsi"/>
                <w:b/>
                <w:sz w:val="20"/>
                <w:szCs w:val="24"/>
                <w:lang w:eastAsia="it-IT"/>
              </w:rPr>
            </w:pPr>
            <w:r w:rsidRPr="00F24C87">
              <w:rPr>
                <w:rFonts w:eastAsia="Times New Roman" w:cstheme="minorHAnsi"/>
                <w:b/>
                <w:sz w:val="20"/>
                <w:szCs w:val="24"/>
                <w:lang w:eastAsia="it-IT"/>
              </w:rPr>
              <w:t>100,0</w:t>
            </w:r>
          </w:p>
        </w:tc>
      </w:tr>
      <w:tr w:rsidR="00A67776" w:rsidRPr="00F24C87" w14:paraId="1F34B553" w14:textId="77777777" w:rsidTr="00C01492">
        <w:trPr>
          <w:trHeight w:val="248"/>
        </w:trPr>
        <w:tc>
          <w:tcPr>
            <w:tcW w:w="2783" w:type="pct"/>
            <w:vMerge w:val="restart"/>
            <w:shd w:val="clear" w:color="auto" w:fill="B8CCE4" w:themeFill="accent1" w:themeFillTint="66"/>
            <w:vAlign w:val="center"/>
          </w:tcPr>
          <w:p w14:paraId="0B37E587" w14:textId="77777777" w:rsidR="00A67776" w:rsidRPr="00F24C87" w:rsidRDefault="00A67776" w:rsidP="00837890">
            <w:pPr>
              <w:jc w:val="center"/>
              <w:rPr>
                <w:rFonts w:eastAsia="Times New Roman" w:cstheme="minorHAnsi"/>
                <w:b/>
                <w:sz w:val="20"/>
                <w:szCs w:val="24"/>
                <w:lang w:eastAsia="it-IT"/>
              </w:rPr>
            </w:pPr>
            <w:r w:rsidRPr="00F24C87">
              <w:rPr>
                <w:rFonts w:eastAsia="Times New Roman" w:cstheme="minorHAnsi"/>
                <w:b/>
                <w:sz w:val="20"/>
                <w:szCs w:val="24"/>
                <w:lang w:eastAsia="it-IT"/>
              </w:rPr>
              <w:t>Classi di Standard Output</w:t>
            </w:r>
          </w:p>
        </w:tc>
        <w:tc>
          <w:tcPr>
            <w:tcW w:w="2217" w:type="pct"/>
            <w:gridSpan w:val="2"/>
            <w:shd w:val="clear" w:color="auto" w:fill="B8CCE4" w:themeFill="accent1" w:themeFillTint="66"/>
          </w:tcPr>
          <w:p w14:paraId="7A6D1A1F" w14:textId="77777777" w:rsidR="00A67776" w:rsidRPr="00F24C87" w:rsidRDefault="00A67776" w:rsidP="00837890">
            <w:pPr>
              <w:jc w:val="center"/>
              <w:rPr>
                <w:rFonts w:eastAsia="Times New Roman" w:cstheme="minorHAnsi"/>
                <w:sz w:val="20"/>
                <w:szCs w:val="24"/>
                <w:lang w:eastAsia="it-IT"/>
              </w:rPr>
            </w:pPr>
            <w:r w:rsidRPr="00F24C87">
              <w:rPr>
                <w:rFonts w:eastAsia="Times New Roman" w:cstheme="minorHAnsi"/>
                <w:b/>
                <w:sz w:val="20"/>
                <w:szCs w:val="24"/>
                <w:lang w:eastAsia="it-IT"/>
              </w:rPr>
              <w:t>Italia</w:t>
            </w:r>
          </w:p>
        </w:tc>
      </w:tr>
      <w:tr w:rsidR="00A67776" w:rsidRPr="00F24C87" w14:paraId="2B89ADF0" w14:textId="77777777" w:rsidTr="00C01492">
        <w:trPr>
          <w:trHeight w:val="260"/>
        </w:trPr>
        <w:tc>
          <w:tcPr>
            <w:tcW w:w="2783" w:type="pct"/>
            <w:vMerge/>
            <w:tcBorders>
              <w:bottom w:val="single" w:sz="4" w:space="0" w:color="auto"/>
            </w:tcBorders>
            <w:shd w:val="clear" w:color="auto" w:fill="B8CCE4" w:themeFill="accent1" w:themeFillTint="66"/>
            <w:vAlign w:val="bottom"/>
          </w:tcPr>
          <w:p w14:paraId="441CF257" w14:textId="77777777" w:rsidR="00A67776" w:rsidRPr="00F24C87" w:rsidRDefault="00A67776" w:rsidP="00837890">
            <w:pPr>
              <w:jc w:val="left"/>
              <w:rPr>
                <w:rFonts w:eastAsia="Times New Roman" w:cstheme="minorHAnsi"/>
                <w:sz w:val="20"/>
                <w:szCs w:val="24"/>
                <w:lang w:eastAsia="it-IT"/>
              </w:rPr>
            </w:pPr>
          </w:p>
        </w:tc>
        <w:tc>
          <w:tcPr>
            <w:tcW w:w="1109" w:type="pct"/>
            <w:tcBorders>
              <w:bottom w:val="single" w:sz="4" w:space="0" w:color="auto"/>
            </w:tcBorders>
            <w:shd w:val="clear" w:color="auto" w:fill="B8CCE4" w:themeFill="accent1" w:themeFillTint="66"/>
          </w:tcPr>
          <w:p w14:paraId="2589CE7F" w14:textId="7A02F3BC" w:rsidR="00A67776" w:rsidRPr="00F24C87" w:rsidRDefault="00A67776" w:rsidP="00837890">
            <w:pPr>
              <w:jc w:val="center"/>
              <w:rPr>
                <w:rFonts w:eastAsia="Times New Roman" w:cstheme="minorHAnsi"/>
                <w:sz w:val="20"/>
                <w:szCs w:val="24"/>
                <w:lang w:eastAsia="it-IT"/>
              </w:rPr>
            </w:pPr>
            <w:r w:rsidRPr="00F24C87">
              <w:rPr>
                <w:rFonts w:eastAsia="Times New Roman" w:cstheme="minorHAnsi"/>
                <w:b/>
                <w:sz w:val="20"/>
                <w:szCs w:val="24"/>
                <w:lang w:eastAsia="it-IT"/>
              </w:rPr>
              <w:t>n.</w:t>
            </w:r>
            <w:r w:rsidR="00EB788D">
              <w:rPr>
                <w:rFonts w:eastAsia="Times New Roman" w:cstheme="minorHAnsi"/>
                <w:b/>
                <w:sz w:val="20"/>
                <w:szCs w:val="24"/>
                <w:lang w:eastAsia="it-IT"/>
              </w:rPr>
              <w:t xml:space="preserve"> aziende</w:t>
            </w:r>
          </w:p>
        </w:tc>
        <w:tc>
          <w:tcPr>
            <w:tcW w:w="1108" w:type="pct"/>
            <w:tcBorders>
              <w:bottom w:val="single" w:sz="4" w:space="0" w:color="auto"/>
            </w:tcBorders>
            <w:shd w:val="clear" w:color="auto" w:fill="B8CCE4" w:themeFill="accent1" w:themeFillTint="66"/>
          </w:tcPr>
          <w:p w14:paraId="32C39E47" w14:textId="77777777" w:rsidR="00A67776" w:rsidRPr="00F24C87" w:rsidRDefault="00A67776" w:rsidP="00837890">
            <w:pPr>
              <w:jc w:val="center"/>
              <w:rPr>
                <w:rFonts w:eastAsia="Times New Roman" w:cstheme="minorHAnsi"/>
                <w:sz w:val="20"/>
                <w:szCs w:val="24"/>
                <w:lang w:eastAsia="it-IT"/>
              </w:rPr>
            </w:pPr>
            <w:r w:rsidRPr="00F24C87">
              <w:rPr>
                <w:rFonts w:eastAsia="Times New Roman" w:cstheme="minorHAnsi"/>
                <w:b/>
                <w:sz w:val="20"/>
                <w:szCs w:val="24"/>
                <w:lang w:eastAsia="it-IT"/>
              </w:rPr>
              <w:t>%</w:t>
            </w:r>
          </w:p>
        </w:tc>
      </w:tr>
      <w:tr w:rsidR="00A67776" w:rsidRPr="00F24C87" w14:paraId="2EAAA2AF" w14:textId="77777777" w:rsidTr="00C01492">
        <w:trPr>
          <w:trHeight w:val="248"/>
        </w:trPr>
        <w:tc>
          <w:tcPr>
            <w:tcW w:w="2783" w:type="pct"/>
            <w:tcBorders>
              <w:top w:val="single" w:sz="4" w:space="0" w:color="auto"/>
              <w:left w:val="single" w:sz="4" w:space="0" w:color="auto"/>
              <w:bottom w:val="single" w:sz="4" w:space="0" w:color="auto"/>
              <w:right w:val="single" w:sz="4" w:space="0" w:color="auto"/>
            </w:tcBorders>
            <w:shd w:val="clear" w:color="auto" w:fill="auto"/>
            <w:vAlign w:val="bottom"/>
          </w:tcPr>
          <w:p w14:paraId="5BE2883C"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Uguale a 0 euro</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bottom"/>
          </w:tcPr>
          <w:p w14:paraId="1C913A8B"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11.240</w:t>
            </w:r>
          </w:p>
        </w:tc>
        <w:tc>
          <w:tcPr>
            <w:tcW w:w="1108" w:type="pct"/>
            <w:tcBorders>
              <w:top w:val="single" w:sz="4" w:space="0" w:color="auto"/>
              <w:left w:val="single" w:sz="4" w:space="0" w:color="auto"/>
              <w:bottom w:val="single" w:sz="4" w:space="0" w:color="auto"/>
              <w:right w:val="single" w:sz="4" w:space="0" w:color="auto"/>
            </w:tcBorders>
            <w:shd w:val="clear" w:color="auto" w:fill="auto"/>
            <w:vAlign w:val="bottom"/>
          </w:tcPr>
          <w:p w14:paraId="0A7FAAAF"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1,0</w:t>
            </w:r>
          </w:p>
        </w:tc>
      </w:tr>
      <w:tr w:rsidR="00A67776" w:rsidRPr="00F24C87" w14:paraId="57C284BD" w14:textId="77777777" w:rsidTr="00C01492">
        <w:trPr>
          <w:trHeight w:val="260"/>
        </w:trPr>
        <w:tc>
          <w:tcPr>
            <w:tcW w:w="2783" w:type="pct"/>
            <w:tcBorders>
              <w:top w:val="single" w:sz="4" w:space="0" w:color="auto"/>
              <w:left w:val="single" w:sz="4" w:space="0" w:color="auto"/>
              <w:bottom w:val="single" w:sz="4" w:space="0" w:color="auto"/>
              <w:right w:val="single" w:sz="4" w:space="0" w:color="auto"/>
            </w:tcBorders>
            <w:shd w:val="clear" w:color="auto" w:fill="auto"/>
            <w:vAlign w:val="bottom"/>
          </w:tcPr>
          <w:p w14:paraId="632FCD44" w14:textId="77777777" w:rsidR="00A67776" w:rsidRPr="00F24C87" w:rsidRDefault="00A67776" w:rsidP="00837890">
            <w:pPr>
              <w:jc w:val="left"/>
              <w:rPr>
                <w:rFonts w:eastAsia="Times New Roman" w:cstheme="minorHAnsi"/>
                <w:sz w:val="20"/>
                <w:szCs w:val="24"/>
                <w:lang w:eastAsia="it-IT"/>
              </w:rPr>
            </w:pPr>
            <w:proofErr w:type="gramStart"/>
            <w:r w:rsidRPr="00F24C87">
              <w:rPr>
                <w:rFonts w:eastAsia="Times New Roman" w:cstheme="minorHAnsi"/>
                <w:sz w:val="20"/>
                <w:szCs w:val="24"/>
                <w:lang w:eastAsia="it-IT"/>
              </w:rPr>
              <w:t>‹ 2.000</w:t>
            </w:r>
            <w:proofErr w:type="gramEnd"/>
            <w:r w:rsidRPr="00F24C87">
              <w:rPr>
                <w:rFonts w:eastAsia="Times New Roman" w:cstheme="minorHAnsi"/>
                <w:sz w:val="20"/>
                <w:szCs w:val="24"/>
                <w:lang w:eastAsia="it-IT"/>
              </w:rPr>
              <w:t xml:space="preserve"> euro</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bottom"/>
          </w:tcPr>
          <w:p w14:paraId="3BE2A4A9"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164.780</w:t>
            </w:r>
          </w:p>
        </w:tc>
        <w:tc>
          <w:tcPr>
            <w:tcW w:w="1108" w:type="pct"/>
            <w:tcBorders>
              <w:top w:val="single" w:sz="4" w:space="0" w:color="auto"/>
              <w:left w:val="single" w:sz="4" w:space="0" w:color="auto"/>
              <w:bottom w:val="single" w:sz="4" w:space="0" w:color="auto"/>
              <w:right w:val="single" w:sz="4" w:space="0" w:color="auto"/>
            </w:tcBorders>
            <w:shd w:val="clear" w:color="auto" w:fill="auto"/>
            <w:vAlign w:val="bottom"/>
          </w:tcPr>
          <w:p w14:paraId="00D3C403" w14:textId="77777777" w:rsidR="00A67776" w:rsidRPr="004E238C" w:rsidRDefault="00A67776" w:rsidP="00837890">
            <w:pPr>
              <w:jc w:val="right"/>
              <w:rPr>
                <w:rFonts w:eastAsia="Times New Roman" w:cstheme="minorHAnsi"/>
                <w:sz w:val="20"/>
                <w:szCs w:val="24"/>
                <w:lang w:eastAsia="it-IT"/>
              </w:rPr>
            </w:pPr>
            <w:r w:rsidRPr="004E238C">
              <w:rPr>
                <w:rFonts w:eastAsia="Times New Roman" w:cstheme="minorHAnsi"/>
                <w:sz w:val="20"/>
                <w:szCs w:val="24"/>
                <w:lang w:eastAsia="it-IT"/>
              </w:rPr>
              <w:t>14,4</w:t>
            </w:r>
          </w:p>
        </w:tc>
      </w:tr>
      <w:tr w:rsidR="00A67776" w:rsidRPr="00F24C87" w14:paraId="24FEB432" w14:textId="77777777" w:rsidTr="00C01492">
        <w:trPr>
          <w:trHeight w:val="248"/>
        </w:trPr>
        <w:tc>
          <w:tcPr>
            <w:tcW w:w="2783" w:type="pct"/>
            <w:tcBorders>
              <w:top w:val="single" w:sz="4" w:space="0" w:color="auto"/>
              <w:left w:val="single" w:sz="4" w:space="0" w:color="auto"/>
              <w:bottom w:val="single" w:sz="4" w:space="0" w:color="auto"/>
              <w:right w:val="single" w:sz="4" w:space="0" w:color="auto"/>
            </w:tcBorders>
            <w:shd w:val="clear" w:color="auto" w:fill="auto"/>
            <w:vAlign w:val="bottom"/>
          </w:tcPr>
          <w:p w14:paraId="5C6B218C"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2.000-3.999 euro</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bottom"/>
          </w:tcPr>
          <w:p w14:paraId="14F2DE5D"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214.850</w:t>
            </w:r>
          </w:p>
        </w:tc>
        <w:tc>
          <w:tcPr>
            <w:tcW w:w="1108" w:type="pct"/>
            <w:tcBorders>
              <w:top w:val="single" w:sz="4" w:space="0" w:color="auto"/>
              <w:left w:val="single" w:sz="4" w:space="0" w:color="auto"/>
              <w:bottom w:val="single" w:sz="4" w:space="0" w:color="auto"/>
              <w:right w:val="single" w:sz="4" w:space="0" w:color="auto"/>
            </w:tcBorders>
            <w:shd w:val="clear" w:color="auto" w:fill="auto"/>
            <w:vAlign w:val="bottom"/>
          </w:tcPr>
          <w:p w14:paraId="44495BD8" w14:textId="77777777" w:rsidR="00A67776" w:rsidRPr="004E238C" w:rsidRDefault="00A67776" w:rsidP="00837890">
            <w:pPr>
              <w:jc w:val="right"/>
              <w:rPr>
                <w:rFonts w:eastAsia="Times New Roman" w:cstheme="minorHAnsi"/>
                <w:sz w:val="20"/>
                <w:szCs w:val="24"/>
                <w:lang w:eastAsia="it-IT"/>
              </w:rPr>
            </w:pPr>
            <w:r w:rsidRPr="004E238C">
              <w:rPr>
                <w:rFonts w:eastAsia="Times New Roman" w:cstheme="minorHAnsi"/>
                <w:sz w:val="20"/>
                <w:szCs w:val="24"/>
                <w:lang w:eastAsia="it-IT"/>
              </w:rPr>
              <w:t>18,8</w:t>
            </w:r>
          </w:p>
        </w:tc>
      </w:tr>
      <w:tr w:rsidR="00A67776" w:rsidRPr="00F24C87" w14:paraId="4975F84B" w14:textId="77777777" w:rsidTr="00C01492">
        <w:trPr>
          <w:trHeight w:val="248"/>
        </w:trPr>
        <w:tc>
          <w:tcPr>
            <w:tcW w:w="2783" w:type="pct"/>
            <w:tcBorders>
              <w:top w:val="single" w:sz="4" w:space="0" w:color="auto"/>
              <w:left w:val="single" w:sz="4" w:space="0" w:color="auto"/>
              <w:bottom w:val="single" w:sz="4" w:space="0" w:color="auto"/>
              <w:right w:val="single" w:sz="4" w:space="0" w:color="auto"/>
            </w:tcBorders>
            <w:shd w:val="clear" w:color="auto" w:fill="auto"/>
            <w:vAlign w:val="bottom"/>
          </w:tcPr>
          <w:p w14:paraId="5A53B6E8"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4.000-7.999 euro</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bottom"/>
          </w:tcPr>
          <w:p w14:paraId="589CCCD4"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188.500</w:t>
            </w:r>
          </w:p>
        </w:tc>
        <w:tc>
          <w:tcPr>
            <w:tcW w:w="1108" w:type="pct"/>
            <w:tcBorders>
              <w:top w:val="single" w:sz="4" w:space="0" w:color="auto"/>
              <w:left w:val="single" w:sz="4" w:space="0" w:color="auto"/>
              <w:bottom w:val="single" w:sz="4" w:space="0" w:color="auto"/>
              <w:right w:val="single" w:sz="4" w:space="0" w:color="auto"/>
            </w:tcBorders>
            <w:shd w:val="clear" w:color="auto" w:fill="auto"/>
            <w:vAlign w:val="bottom"/>
          </w:tcPr>
          <w:p w14:paraId="126AC619" w14:textId="77777777" w:rsidR="00A67776" w:rsidRPr="004E238C" w:rsidRDefault="00A67776" w:rsidP="00837890">
            <w:pPr>
              <w:jc w:val="right"/>
              <w:rPr>
                <w:rFonts w:eastAsia="Times New Roman" w:cstheme="minorHAnsi"/>
                <w:sz w:val="20"/>
                <w:szCs w:val="24"/>
                <w:lang w:eastAsia="it-IT"/>
              </w:rPr>
            </w:pPr>
            <w:r w:rsidRPr="004E238C">
              <w:rPr>
                <w:rFonts w:eastAsia="Times New Roman" w:cstheme="minorHAnsi"/>
                <w:sz w:val="20"/>
                <w:szCs w:val="24"/>
                <w:lang w:eastAsia="it-IT"/>
              </w:rPr>
              <w:t>16,5</w:t>
            </w:r>
          </w:p>
        </w:tc>
      </w:tr>
      <w:tr w:rsidR="00A67776" w:rsidRPr="00F24C87" w14:paraId="7CA068EB" w14:textId="77777777" w:rsidTr="00C01492">
        <w:trPr>
          <w:trHeight w:val="260"/>
        </w:trPr>
        <w:tc>
          <w:tcPr>
            <w:tcW w:w="2783" w:type="pct"/>
            <w:tcBorders>
              <w:top w:val="single" w:sz="4" w:space="0" w:color="auto"/>
              <w:left w:val="single" w:sz="4" w:space="0" w:color="auto"/>
              <w:bottom w:val="single" w:sz="4" w:space="0" w:color="auto"/>
              <w:right w:val="single" w:sz="4" w:space="0" w:color="auto"/>
            </w:tcBorders>
            <w:shd w:val="clear" w:color="auto" w:fill="auto"/>
            <w:vAlign w:val="bottom"/>
          </w:tcPr>
          <w:p w14:paraId="4DC329D7"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8.000-14.999 euro</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bottom"/>
          </w:tcPr>
          <w:p w14:paraId="5328F9B7"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152.830</w:t>
            </w:r>
          </w:p>
        </w:tc>
        <w:tc>
          <w:tcPr>
            <w:tcW w:w="1108" w:type="pct"/>
            <w:tcBorders>
              <w:top w:val="single" w:sz="4" w:space="0" w:color="auto"/>
              <w:left w:val="single" w:sz="4" w:space="0" w:color="auto"/>
              <w:bottom w:val="single" w:sz="4" w:space="0" w:color="auto"/>
              <w:right w:val="single" w:sz="4" w:space="0" w:color="auto"/>
            </w:tcBorders>
            <w:shd w:val="clear" w:color="auto" w:fill="auto"/>
            <w:vAlign w:val="bottom"/>
          </w:tcPr>
          <w:p w14:paraId="6600CECD"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13,3</w:t>
            </w:r>
          </w:p>
        </w:tc>
      </w:tr>
      <w:tr w:rsidR="00A67776" w:rsidRPr="00F24C87" w14:paraId="2B4CCAE8" w14:textId="77777777" w:rsidTr="00C01492">
        <w:trPr>
          <w:trHeight w:val="248"/>
        </w:trPr>
        <w:tc>
          <w:tcPr>
            <w:tcW w:w="2783" w:type="pct"/>
            <w:tcBorders>
              <w:top w:val="single" w:sz="4" w:space="0" w:color="auto"/>
              <w:left w:val="single" w:sz="4" w:space="0" w:color="auto"/>
              <w:bottom w:val="single" w:sz="4" w:space="0" w:color="auto"/>
              <w:right w:val="single" w:sz="4" w:space="0" w:color="auto"/>
            </w:tcBorders>
            <w:shd w:val="clear" w:color="auto" w:fill="auto"/>
            <w:vAlign w:val="bottom"/>
          </w:tcPr>
          <w:p w14:paraId="30E5F695"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15.000-24.999 euro</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bottom"/>
          </w:tcPr>
          <w:p w14:paraId="01318BAC"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108.430</w:t>
            </w:r>
          </w:p>
        </w:tc>
        <w:tc>
          <w:tcPr>
            <w:tcW w:w="1108" w:type="pct"/>
            <w:tcBorders>
              <w:top w:val="single" w:sz="4" w:space="0" w:color="auto"/>
              <w:left w:val="single" w:sz="4" w:space="0" w:color="auto"/>
              <w:bottom w:val="single" w:sz="4" w:space="0" w:color="auto"/>
              <w:right w:val="single" w:sz="4" w:space="0" w:color="auto"/>
            </w:tcBorders>
            <w:shd w:val="clear" w:color="auto" w:fill="auto"/>
            <w:vAlign w:val="bottom"/>
          </w:tcPr>
          <w:p w14:paraId="64C7FB48"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9,5</w:t>
            </w:r>
          </w:p>
        </w:tc>
      </w:tr>
      <w:tr w:rsidR="00A67776" w:rsidRPr="00F24C87" w14:paraId="7785570B" w14:textId="77777777" w:rsidTr="00C01492">
        <w:trPr>
          <w:trHeight w:val="248"/>
        </w:trPr>
        <w:tc>
          <w:tcPr>
            <w:tcW w:w="2783" w:type="pct"/>
            <w:tcBorders>
              <w:top w:val="single" w:sz="4" w:space="0" w:color="auto"/>
              <w:left w:val="single" w:sz="4" w:space="0" w:color="auto"/>
              <w:bottom w:val="single" w:sz="4" w:space="0" w:color="auto"/>
              <w:right w:val="single" w:sz="4" w:space="0" w:color="auto"/>
            </w:tcBorders>
            <w:shd w:val="clear" w:color="auto" w:fill="auto"/>
            <w:vAlign w:val="bottom"/>
          </w:tcPr>
          <w:p w14:paraId="3C10E73F"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25.000-49.999 euro</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bottom"/>
          </w:tcPr>
          <w:p w14:paraId="6F8438DF"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117.560</w:t>
            </w:r>
          </w:p>
        </w:tc>
        <w:tc>
          <w:tcPr>
            <w:tcW w:w="1108" w:type="pct"/>
            <w:tcBorders>
              <w:top w:val="single" w:sz="4" w:space="0" w:color="auto"/>
              <w:left w:val="single" w:sz="4" w:space="0" w:color="auto"/>
              <w:bottom w:val="single" w:sz="4" w:space="0" w:color="auto"/>
              <w:right w:val="single" w:sz="4" w:space="0" w:color="auto"/>
            </w:tcBorders>
            <w:shd w:val="clear" w:color="auto" w:fill="auto"/>
            <w:vAlign w:val="bottom"/>
          </w:tcPr>
          <w:p w14:paraId="3E86ACD0"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10,3</w:t>
            </w:r>
          </w:p>
        </w:tc>
      </w:tr>
      <w:tr w:rsidR="00A67776" w:rsidRPr="00F24C87" w14:paraId="63B97C62" w14:textId="77777777" w:rsidTr="00C01492">
        <w:trPr>
          <w:trHeight w:val="260"/>
        </w:trPr>
        <w:tc>
          <w:tcPr>
            <w:tcW w:w="2783" w:type="pct"/>
            <w:tcBorders>
              <w:top w:val="single" w:sz="4" w:space="0" w:color="auto"/>
              <w:left w:val="single" w:sz="4" w:space="0" w:color="auto"/>
              <w:bottom w:val="single" w:sz="4" w:space="0" w:color="auto"/>
              <w:right w:val="single" w:sz="4" w:space="0" w:color="auto"/>
            </w:tcBorders>
            <w:shd w:val="clear" w:color="auto" w:fill="auto"/>
            <w:vAlign w:val="bottom"/>
          </w:tcPr>
          <w:p w14:paraId="51694445"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50.000-99.999 euro</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bottom"/>
          </w:tcPr>
          <w:p w14:paraId="4E6CEDE5"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89.890</w:t>
            </w:r>
          </w:p>
        </w:tc>
        <w:tc>
          <w:tcPr>
            <w:tcW w:w="1108" w:type="pct"/>
            <w:tcBorders>
              <w:top w:val="single" w:sz="4" w:space="0" w:color="auto"/>
              <w:left w:val="single" w:sz="4" w:space="0" w:color="auto"/>
              <w:bottom w:val="single" w:sz="4" w:space="0" w:color="auto"/>
              <w:right w:val="single" w:sz="4" w:space="0" w:color="auto"/>
            </w:tcBorders>
            <w:shd w:val="clear" w:color="auto" w:fill="auto"/>
            <w:vAlign w:val="bottom"/>
          </w:tcPr>
          <w:p w14:paraId="43EF5A6F"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7,8</w:t>
            </w:r>
          </w:p>
        </w:tc>
      </w:tr>
      <w:tr w:rsidR="00A67776" w:rsidRPr="00F24C87" w14:paraId="06671EBC" w14:textId="77777777" w:rsidTr="00C01492">
        <w:trPr>
          <w:trHeight w:val="248"/>
        </w:trPr>
        <w:tc>
          <w:tcPr>
            <w:tcW w:w="2783" w:type="pct"/>
            <w:tcBorders>
              <w:top w:val="single" w:sz="4" w:space="0" w:color="auto"/>
              <w:left w:val="single" w:sz="4" w:space="0" w:color="auto"/>
              <w:bottom w:val="single" w:sz="4" w:space="0" w:color="auto"/>
              <w:right w:val="single" w:sz="4" w:space="0" w:color="auto"/>
            </w:tcBorders>
            <w:shd w:val="clear" w:color="auto" w:fill="auto"/>
            <w:vAlign w:val="bottom"/>
          </w:tcPr>
          <w:p w14:paraId="5DE59C8F"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100.000-249.999 euro</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bottom"/>
          </w:tcPr>
          <w:p w14:paraId="4CB3F570"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65.800</w:t>
            </w:r>
          </w:p>
        </w:tc>
        <w:tc>
          <w:tcPr>
            <w:tcW w:w="1108" w:type="pct"/>
            <w:tcBorders>
              <w:top w:val="single" w:sz="4" w:space="0" w:color="auto"/>
              <w:left w:val="single" w:sz="4" w:space="0" w:color="auto"/>
              <w:bottom w:val="single" w:sz="4" w:space="0" w:color="auto"/>
              <w:right w:val="single" w:sz="4" w:space="0" w:color="auto"/>
            </w:tcBorders>
            <w:shd w:val="clear" w:color="auto" w:fill="auto"/>
            <w:vAlign w:val="bottom"/>
          </w:tcPr>
          <w:p w14:paraId="2EDB9B36"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5,7</w:t>
            </w:r>
          </w:p>
        </w:tc>
      </w:tr>
      <w:tr w:rsidR="00A67776" w:rsidRPr="00F24C87" w14:paraId="2734ACD3" w14:textId="77777777" w:rsidTr="00C01492">
        <w:trPr>
          <w:trHeight w:val="248"/>
        </w:trPr>
        <w:tc>
          <w:tcPr>
            <w:tcW w:w="2783" w:type="pct"/>
            <w:tcBorders>
              <w:top w:val="single" w:sz="4" w:space="0" w:color="auto"/>
              <w:left w:val="single" w:sz="4" w:space="0" w:color="auto"/>
              <w:bottom w:val="single" w:sz="4" w:space="0" w:color="auto"/>
              <w:right w:val="single" w:sz="4" w:space="0" w:color="auto"/>
            </w:tcBorders>
            <w:shd w:val="clear" w:color="auto" w:fill="auto"/>
            <w:vAlign w:val="bottom"/>
          </w:tcPr>
          <w:p w14:paraId="3D12BEF4"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250.000-499.999 euro</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bottom"/>
          </w:tcPr>
          <w:p w14:paraId="13347A60"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18.790</w:t>
            </w:r>
          </w:p>
        </w:tc>
        <w:tc>
          <w:tcPr>
            <w:tcW w:w="1108" w:type="pct"/>
            <w:tcBorders>
              <w:top w:val="single" w:sz="4" w:space="0" w:color="auto"/>
              <w:left w:val="single" w:sz="4" w:space="0" w:color="auto"/>
              <w:bottom w:val="single" w:sz="4" w:space="0" w:color="auto"/>
              <w:right w:val="single" w:sz="4" w:space="0" w:color="auto"/>
            </w:tcBorders>
            <w:shd w:val="clear" w:color="auto" w:fill="auto"/>
            <w:vAlign w:val="bottom"/>
          </w:tcPr>
          <w:p w14:paraId="5F475F48"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1,6</w:t>
            </w:r>
          </w:p>
        </w:tc>
      </w:tr>
      <w:tr w:rsidR="00A67776" w:rsidRPr="00F24C87" w14:paraId="706C1318" w14:textId="77777777" w:rsidTr="00C01492">
        <w:trPr>
          <w:trHeight w:val="248"/>
        </w:trPr>
        <w:tc>
          <w:tcPr>
            <w:tcW w:w="2783" w:type="pct"/>
            <w:tcBorders>
              <w:top w:val="single" w:sz="4" w:space="0" w:color="auto"/>
              <w:left w:val="single" w:sz="4" w:space="0" w:color="auto"/>
              <w:bottom w:val="single" w:sz="4" w:space="0" w:color="auto"/>
              <w:right w:val="single" w:sz="4" w:space="0" w:color="auto"/>
            </w:tcBorders>
            <w:shd w:val="clear" w:color="auto" w:fill="auto"/>
            <w:vAlign w:val="bottom"/>
          </w:tcPr>
          <w:p w14:paraId="2AD6EA87" w14:textId="77777777" w:rsidR="00A67776" w:rsidRPr="00F24C87" w:rsidRDefault="00A67776" w:rsidP="00837890">
            <w:pPr>
              <w:jc w:val="left"/>
              <w:rPr>
                <w:rFonts w:eastAsia="Times New Roman" w:cstheme="minorHAnsi"/>
                <w:sz w:val="20"/>
                <w:szCs w:val="24"/>
                <w:lang w:eastAsia="it-IT"/>
              </w:rPr>
            </w:pPr>
            <w:r w:rsidRPr="00F24C87">
              <w:rPr>
                <w:rFonts w:eastAsia="Times New Roman" w:cstheme="minorHAnsi"/>
                <w:sz w:val="20"/>
                <w:szCs w:val="24"/>
                <w:lang w:eastAsia="it-IT"/>
              </w:rPr>
              <w:t>› 500.000 euro</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bottom"/>
          </w:tcPr>
          <w:p w14:paraId="11F008A6"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13.040</w:t>
            </w:r>
          </w:p>
        </w:tc>
        <w:tc>
          <w:tcPr>
            <w:tcW w:w="1108" w:type="pct"/>
            <w:tcBorders>
              <w:top w:val="single" w:sz="4" w:space="0" w:color="auto"/>
              <w:left w:val="single" w:sz="4" w:space="0" w:color="auto"/>
              <w:bottom w:val="single" w:sz="4" w:space="0" w:color="auto"/>
              <w:right w:val="single" w:sz="4" w:space="0" w:color="auto"/>
            </w:tcBorders>
            <w:shd w:val="clear" w:color="auto" w:fill="auto"/>
            <w:vAlign w:val="bottom"/>
          </w:tcPr>
          <w:p w14:paraId="40888658" w14:textId="77777777" w:rsidR="00A67776" w:rsidRPr="00F24C87" w:rsidRDefault="00A67776" w:rsidP="00837890">
            <w:pPr>
              <w:jc w:val="right"/>
              <w:rPr>
                <w:rFonts w:eastAsia="Times New Roman" w:cstheme="minorHAnsi"/>
                <w:sz w:val="20"/>
                <w:szCs w:val="24"/>
                <w:lang w:eastAsia="it-IT"/>
              </w:rPr>
            </w:pPr>
            <w:r w:rsidRPr="00F24C87">
              <w:rPr>
                <w:rFonts w:eastAsia="Times New Roman" w:cstheme="minorHAnsi"/>
                <w:sz w:val="20"/>
                <w:szCs w:val="24"/>
                <w:lang w:eastAsia="it-IT"/>
              </w:rPr>
              <w:t>1,1</w:t>
            </w:r>
          </w:p>
        </w:tc>
      </w:tr>
      <w:tr w:rsidR="00A67776" w:rsidRPr="00F24C87" w14:paraId="2D357492" w14:textId="77777777" w:rsidTr="00C01492">
        <w:trPr>
          <w:trHeight w:val="248"/>
        </w:trPr>
        <w:tc>
          <w:tcPr>
            <w:tcW w:w="2783" w:type="pct"/>
            <w:tcBorders>
              <w:top w:val="single" w:sz="4" w:space="0" w:color="auto"/>
              <w:left w:val="single" w:sz="4" w:space="0" w:color="auto"/>
              <w:bottom w:val="single" w:sz="4" w:space="0" w:color="auto"/>
              <w:right w:val="single" w:sz="4" w:space="0" w:color="auto"/>
            </w:tcBorders>
            <w:shd w:val="clear" w:color="auto" w:fill="auto"/>
            <w:vAlign w:val="bottom"/>
          </w:tcPr>
          <w:p w14:paraId="7D257401" w14:textId="77777777" w:rsidR="00A67776" w:rsidRPr="00F24C87" w:rsidRDefault="00A67776" w:rsidP="00837890">
            <w:pPr>
              <w:jc w:val="left"/>
              <w:rPr>
                <w:rFonts w:eastAsia="Times New Roman" w:cstheme="minorHAnsi"/>
                <w:b/>
                <w:sz w:val="20"/>
                <w:szCs w:val="24"/>
                <w:lang w:eastAsia="it-IT"/>
              </w:rPr>
            </w:pPr>
            <w:r w:rsidRPr="00F24C87">
              <w:rPr>
                <w:rFonts w:eastAsia="Times New Roman" w:cstheme="minorHAnsi"/>
                <w:b/>
                <w:sz w:val="20"/>
                <w:szCs w:val="24"/>
                <w:lang w:eastAsia="it-IT"/>
              </w:rPr>
              <w:t>Totale</w:t>
            </w:r>
          </w:p>
        </w:tc>
        <w:tc>
          <w:tcPr>
            <w:tcW w:w="1109" w:type="pct"/>
            <w:tcBorders>
              <w:top w:val="single" w:sz="4" w:space="0" w:color="auto"/>
              <w:left w:val="single" w:sz="4" w:space="0" w:color="auto"/>
              <w:bottom w:val="single" w:sz="4" w:space="0" w:color="auto"/>
              <w:right w:val="single" w:sz="4" w:space="0" w:color="auto"/>
            </w:tcBorders>
            <w:shd w:val="clear" w:color="auto" w:fill="auto"/>
            <w:vAlign w:val="bottom"/>
          </w:tcPr>
          <w:p w14:paraId="20E046F9" w14:textId="77777777" w:rsidR="00A67776" w:rsidRPr="00F24C87" w:rsidRDefault="00A67776" w:rsidP="00837890">
            <w:pPr>
              <w:jc w:val="right"/>
              <w:rPr>
                <w:rFonts w:eastAsia="Times New Roman" w:cstheme="minorHAnsi"/>
                <w:b/>
                <w:sz w:val="20"/>
                <w:szCs w:val="24"/>
                <w:lang w:eastAsia="it-IT"/>
              </w:rPr>
            </w:pPr>
            <w:r w:rsidRPr="00F24C87">
              <w:rPr>
                <w:rFonts w:eastAsia="Times New Roman" w:cstheme="minorHAnsi"/>
                <w:b/>
                <w:sz w:val="20"/>
                <w:szCs w:val="24"/>
                <w:lang w:eastAsia="it-IT"/>
              </w:rPr>
              <w:t>1.145.710</w:t>
            </w:r>
          </w:p>
        </w:tc>
        <w:tc>
          <w:tcPr>
            <w:tcW w:w="1108" w:type="pct"/>
            <w:tcBorders>
              <w:top w:val="single" w:sz="4" w:space="0" w:color="auto"/>
              <w:left w:val="single" w:sz="4" w:space="0" w:color="auto"/>
              <w:bottom w:val="single" w:sz="4" w:space="0" w:color="auto"/>
              <w:right w:val="single" w:sz="4" w:space="0" w:color="auto"/>
            </w:tcBorders>
            <w:shd w:val="clear" w:color="auto" w:fill="auto"/>
            <w:vAlign w:val="bottom"/>
          </w:tcPr>
          <w:p w14:paraId="570F74A1" w14:textId="77777777" w:rsidR="00A67776" w:rsidRPr="00F24C87" w:rsidRDefault="00A67776" w:rsidP="00837890">
            <w:pPr>
              <w:jc w:val="right"/>
              <w:rPr>
                <w:rFonts w:eastAsia="Times New Roman" w:cstheme="minorHAnsi"/>
                <w:b/>
                <w:sz w:val="20"/>
                <w:szCs w:val="24"/>
                <w:lang w:eastAsia="it-IT"/>
              </w:rPr>
            </w:pPr>
            <w:r w:rsidRPr="00F24C87">
              <w:rPr>
                <w:rFonts w:eastAsia="Times New Roman" w:cstheme="minorHAnsi"/>
                <w:b/>
                <w:sz w:val="20"/>
                <w:szCs w:val="24"/>
                <w:lang w:eastAsia="it-IT"/>
              </w:rPr>
              <w:t>100,0</w:t>
            </w:r>
          </w:p>
        </w:tc>
      </w:tr>
    </w:tbl>
    <w:p w14:paraId="7853609C" w14:textId="41F9990B" w:rsidR="00A67776" w:rsidRDefault="00A67776" w:rsidP="00A67776">
      <w:pPr>
        <w:pStyle w:val="Fontetabellagrafico"/>
        <w:spacing w:before="60"/>
        <w:rPr>
          <w:sz w:val="20"/>
          <w:szCs w:val="20"/>
        </w:rPr>
      </w:pPr>
      <w:r w:rsidRPr="002567B6">
        <w:rPr>
          <w:sz w:val="20"/>
          <w:szCs w:val="20"/>
        </w:rPr>
        <w:t>Fonte: ISTAT</w:t>
      </w:r>
      <w:r>
        <w:rPr>
          <w:sz w:val="20"/>
          <w:szCs w:val="20"/>
        </w:rPr>
        <w:t xml:space="preserve"> </w:t>
      </w:r>
    </w:p>
    <w:p w14:paraId="1F711523" w14:textId="77777777" w:rsidR="00EB788D" w:rsidRDefault="00EB788D" w:rsidP="00A67776">
      <w:pPr>
        <w:pStyle w:val="Fontetabellagrafico"/>
        <w:spacing w:before="60"/>
        <w:rPr>
          <w:sz w:val="20"/>
          <w:szCs w:val="20"/>
        </w:rPr>
      </w:pPr>
    </w:p>
    <w:p w14:paraId="0738A14A" w14:textId="77777777" w:rsidR="00EB788D" w:rsidRPr="00FD7896" w:rsidRDefault="00EB788D" w:rsidP="00EB788D">
      <w:pPr>
        <w:pStyle w:val="Titolotab-grafReport"/>
        <w:numPr>
          <w:ilvl w:val="0"/>
          <w:numId w:val="0"/>
        </w:numPr>
        <w:spacing w:before="120" w:after="120"/>
      </w:pPr>
      <w:r>
        <w:t xml:space="preserve">Figura 1.1 </w:t>
      </w:r>
      <w:r w:rsidRPr="00FD7896">
        <w:t>Distribuzione percentuale</w:t>
      </w:r>
      <w:r>
        <w:t xml:space="preserve"> </w:t>
      </w:r>
      <w:r w:rsidRPr="00FD7896">
        <w:t>della SAU per classi di superficie in Italia (2016, ettari)</w:t>
      </w:r>
    </w:p>
    <w:p w14:paraId="22904AA8" w14:textId="77777777" w:rsidR="00EB788D" w:rsidRDefault="00EB788D" w:rsidP="00EB788D">
      <w:pPr>
        <w:pStyle w:val="Titolotab-grafReport"/>
        <w:numPr>
          <w:ilvl w:val="0"/>
          <w:numId w:val="0"/>
        </w:numPr>
        <w:jc w:val="left"/>
        <w:rPr>
          <w:rFonts w:eastAsia="Times New Roman" w:cs="Calibri"/>
          <w:lang w:eastAsia="it-IT"/>
        </w:rPr>
      </w:pPr>
      <w:r w:rsidRPr="00F24C87">
        <w:rPr>
          <w:noProof/>
          <w:lang w:eastAsia="it-IT"/>
        </w:rPr>
        <w:drawing>
          <wp:inline distT="0" distB="0" distL="0" distR="0" wp14:anchorId="7B89B34B" wp14:editId="1C286FEA">
            <wp:extent cx="4210368" cy="314960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78816" cy="3200803"/>
                    </a:xfrm>
                    <a:prstGeom prst="rect">
                      <a:avLst/>
                    </a:prstGeom>
                    <a:noFill/>
                    <a:ln>
                      <a:noFill/>
                    </a:ln>
                  </pic:spPr>
                </pic:pic>
              </a:graphicData>
            </a:graphic>
          </wp:inline>
        </w:drawing>
      </w:r>
    </w:p>
    <w:p w14:paraId="148CE068" w14:textId="77777777" w:rsidR="00EB788D" w:rsidRDefault="00EB788D" w:rsidP="00EB788D">
      <w:pPr>
        <w:pStyle w:val="Fontetabellagrafico"/>
        <w:spacing w:before="60"/>
        <w:rPr>
          <w:sz w:val="20"/>
          <w:szCs w:val="20"/>
        </w:rPr>
      </w:pPr>
      <w:r w:rsidRPr="008846B0">
        <w:rPr>
          <w:sz w:val="20"/>
          <w:szCs w:val="20"/>
        </w:rPr>
        <w:t>Fonte: elaborazioni su dati ISTAT</w:t>
      </w:r>
    </w:p>
    <w:p w14:paraId="2B64E1AE" w14:textId="77777777" w:rsidR="00D17486" w:rsidRDefault="00D17486" w:rsidP="00A67776">
      <w:pPr>
        <w:pStyle w:val="Fontetabellagrafico"/>
        <w:spacing w:before="60"/>
        <w:rPr>
          <w:sz w:val="20"/>
          <w:szCs w:val="20"/>
        </w:rPr>
      </w:pPr>
    </w:p>
    <w:p w14:paraId="30D23509" w14:textId="4EDC6534" w:rsidR="00D328AA" w:rsidRPr="003A37E9" w:rsidRDefault="003A37E9" w:rsidP="00D328AA">
      <w:pPr>
        <w:pStyle w:val="Titolotab-grafReport"/>
        <w:numPr>
          <w:ilvl w:val="0"/>
          <w:numId w:val="0"/>
        </w:numPr>
        <w:spacing w:after="120"/>
        <w:rPr>
          <w:rFonts w:eastAsia="Times New Roman" w:cs="Calibri"/>
          <w:color w:val="000000" w:themeColor="text1"/>
          <w:lang w:eastAsia="it-IT"/>
        </w:rPr>
      </w:pPr>
      <w:r w:rsidRPr="003A37E9">
        <w:rPr>
          <w:color w:val="000000" w:themeColor="text1"/>
        </w:rPr>
        <w:lastRenderedPageBreak/>
        <w:t xml:space="preserve">Tabella </w:t>
      </w:r>
      <w:r w:rsidR="00D17486">
        <w:rPr>
          <w:color w:val="000000" w:themeColor="text1"/>
        </w:rPr>
        <w:t>1.</w:t>
      </w:r>
      <w:r w:rsidR="00A800CB">
        <w:rPr>
          <w:color w:val="000000" w:themeColor="text1"/>
        </w:rPr>
        <w:t>4</w:t>
      </w:r>
      <w:r w:rsidRPr="003A37E9">
        <w:rPr>
          <w:b w:val="0"/>
          <w:noProof/>
          <w:color w:val="000000" w:themeColor="text1"/>
        </w:rPr>
        <w:t xml:space="preserve"> </w:t>
      </w:r>
      <w:r w:rsidR="00D328AA" w:rsidRPr="003A37E9">
        <w:rPr>
          <w:rFonts w:eastAsia="Times New Roman" w:cs="Calibri"/>
          <w:color w:val="000000" w:themeColor="text1"/>
          <w:lang w:eastAsia="it-IT"/>
        </w:rPr>
        <w:t>Incidenza delle aziende e della SAU in montagna sul totale per regione (</w:t>
      </w:r>
      <w:r>
        <w:rPr>
          <w:rFonts w:eastAsia="Times New Roman" w:cs="Calibri"/>
          <w:color w:val="000000" w:themeColor="text1"/>
          <w:lang w:eastAsia="it-IT"/>
        </w:rPr>
        <w:t xml:space="preserve">anni </w:t>
      </w:r>
      <w:r w:rsidR="00D328AA" w:rsidRPr="003A37E9">
        <w:rPr>
          <w:rFonts w:eastAsia="Times New Roman" w:cs="Calibri"/>
          <w:color w:val="000000" w:themeColor="text1"/>
          <w:lang w:eastAsia="it-IT"/>
        </w:rPr>
        <w:t>2010</w:t>
      </w:r>
      <w:r>
        <w:rPr>
          <w:rFonts w:eastAsia="Times New Roman" w:cs="Calibri"/>
          <w:color w:val="000000" w:themeColor="text1"/>
          <w:lang w:eastAsia="it-IT"/>
        </w:rPr>
        <w:t xml:space="preserve"> e </w:t>
      </w:r>
      <w:r w:rsidR="00D328AA" w:rsidRPr="003A37E9">
        <w:rPr>
          <w:rFonts w:eastAsia="Times New Roman" w:cs="Calibri"/>
          <w:color w:val="000000" w:themeColor="text1"/>
          <w:lang w:eastAsia="it-IT"/>
        </w:rPr>
        <w:t>2017)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60"/>
        <w:gridCol w:w="1827"/>
        <w:gridCol w:w="2118"/>
        <w:gridCol w:w="1851"/>
        <w:gridCol w:w="2072"/>
      </w:tblGrid>
      <w:tr w:rsidR="00107F31" w:rsidRPr="00107F31" w14:paraId="3D4BB5EF" w14:textId="77777777" w:rsidTr="002B6F15">
        <w:trPr>
          <w:trHeight w:val="290"/>
          <w:tblHeader/>
        </w:trPr>
        <w:tc>
          <w:tcPr>
            <w:tcW w:w="914" w:type="pct"/>
            <w:vMerge w:val="restart"/>
            <w:shd w:val="clear" w:color="auto" w:fill="B8CCE4"/>
            <w:noWrap/>
            <w:vAlign w:val="center"/>
            <w:hideMark/>
          </w:tcPr>
          <w:p w14:paraId="0B4958B0" w14:textId="77777777" w:rsidR="00D328AA" w:rsidRPr="00592716" w:rsidRDefault="00D328AA">
            <w:pPr>
              <w:spacing w:after="0"/>
              <w:jc w:val="center"/>
              <w:rPr>
                <w:rFonts w:eastAsia="Times New Roman" w:cstheme="minorHAnsi"/>
                <w:b/>
                <w:sz w:val="20"/>
                <w:szCs w:val="24"/>
                <w:lang w:eastAsia="it-IT"/>
              </w:rPr>
            </w:pPr>
            <w:r w:rsidRPr="00592716">
              <w:rPr>
                <w:rFonts w:eastAsia="Times New Roman" w:cstheme="minorHAnsi"/>
                <w:b/>
                <w:sz w:val="20"/>
                <w:szCs w:val="24"/>
                <w:lang w:eastAsia="it-IT"/>
              </w:rPr>
              <w:t> </w:t>
            </w:r>
          </w:p>
        </w:tc>
        <w:tc>
          <w:tcPr>
            <w:tcW w:w="2049" w:type="pct"/>
            <w:gridSpan w:val="2"/>
            <w:shd w:val="clear" w:color="auto" w:fill="B8CCE4"/>
            <w:vAlign w:val="center"/>
            <w:hideMark/>
          </w:tcPr>
          <w:p w14:paraId="17DC172E" w14:textId="77777777" w:rsidR="00D328AA" w:rsidRPr="00592716" w:rsidRDefault="00D328AA">
            <w:pPr>
              <w:spacing w:after="0"/>
              <w:jc w:val="center"/>
              <w:rPr>
                <w:rFonts w:eastAsia="Times New Roman" w:cstheme="minorHAnsi"/>
                <w:b/>
                <w:sz w:val="20"/>
                <w:szCs w:val="24"/>
                <w:lang w:eastAsia="it-IT"/>
              </w:rPr>
            </w:pPr>
            <w:r w:rsidRPr="00592716">
              <w:rPr>
                <w:rFonts w:eastAsia="Times New Roman" w:cstheme="minorHAnsi"/>
                <w:b/>
                <w:sz w:val="20"/>
                <w:szCs w:val="24"/>
                <w:lang w:eastAsia="it-IT"/>
              </w:rPr>
              <w:t>2010</w:t>
            </w:r>
          </w:p>
        </w:tc>
        <w:tc>
          <w:tcPr>
            <w:tcW w:w="2037" w:type="pct"/>
            <w:gridSpan w:val="2"/>
            <w:shd w:val="clear" w:color="auto" w:fill="B8CCE4"/>
            <w:vAlign w:val="center"/>
            <w:hideMark/>
          </w:tcPr>
          <w:p w14:paraId="7171FEDF" w14:textId="77777777" w:rsidR="00D328AA" w:rsidRPr="00592716" w:rsidRDefault="00D328AA">
            <w:pPr>
              <w:spacing w:after="0"/>
              <w:jc w:val="center"/>
              <w:rPr>
                <w:rFonts w:eastAsia="Times New Roman" w:cstheme="minorHAnsi"/>
                <w:b/>
                <w:sz w:val="20"/>
                <w:szCs w:val="24"/>
                <w:lang w:eastAsia="it-IT"/>
              </w:rPr>
            </w:pPr>
            <w:r w:rsidRPr="00592716">
              <w:rPr>
                <w:rFonts w:eastAsia="Times New Roman" w:cstheme="minorHAnsi"/>
                <w:b/>
                <w:sz w:val="20"/>
                <w:szCs w:val="24"/>
                <w:lang w:eastAsia="it-IT"/>
              </w:rPr>
              <w:t>2017</w:t>
            </w:r>
          </w:p>
        </w:tc>
      </w:tr>
      <w:tr w:rsidR="00107F31" w:rsidRPr="00107F31" w14:paraId="68AED628" w14:textId="77777777" w:rsidTr="002B6F15">
        <w:trPr>
          <w:trHeight w:val="290"/>
          <w:tblHeader/>
        </w:trPr>
        <w:tc>
          <w:tcPr>
            <w:tcW w:w="0" w:type="auto"/>
            <w:vMerge/>
            <w:vAlign w:val="center"/>
            <w:hideMark/>
          </w:tcPr>
          <w:p w14:paraId="1C8F74A8" w14:textId="77777777" w:rsidR="00D328AA" w:rsidRPr="00592716" w:rsidRDefault="00D328AA" w:rsidP="00592716">
            <w:pPr>
              <w:spacing w:after="0"/>
              <w:jc w:val="center"/>
              <w:rPr>
                <w:rFonts w:eastAsia="Times New Roman" w:cstheme="minorHAnsi"/>
                <w:b/>
                <w:sz w:val="20"/>
                <w:szCs w:val="24"/>
                <w:lang w:eastAsia="it-IT"/>
              </w:rPr>
            </w:pPr>
          </w:p>
        </w:tc>
        <w:tc>
          <w:tcPr>
            <w:tcW w:w="949" w:type="pct"/>
            <w:shd w:val="clear" w:color="auto" w:fill="B8CCE4"/>
            <w:vAlign w:val="center"/>
            <w:hideMark/>
          </w:tcPr>
          <w:p w14:paraId="467B1AE9" w14:textId="77777777" w:rsidR="00D328AA" w:rsidRPr="00592716" w:rsidRDefault="00D328AA" w:rsidP="00592716">
            <w:pPr>
              <w:spacing w:after="0"/>
              <w:jc w:val="center"/>
              <w:rPr>
                <w:rFonts w:eastAsia="Times New Roman" w:cstheme="minorHAnsi"/>
                <w:b/>
                <w:sz w:val="20"/>
                <w:szCs w:val="24"/>
                <w:lang w:eastAsia="it-IT"/>
              </w:rPr>
            </w:pPr>
            <w:r w:rsidRPr="00592716">
              <w:rPr>
                <w:rFonts w:eastAsia="Times New Roman" w:cstheme="minorHAnsi"/>
                <w:b/>
                <w:sz w:val="20"/>
                <w:szCs w:val="24"/>
                <w:lang w:eastAsia="it-IT"/>
              </w:rPr>
              <w:t>% Aziende</w:t>
            </w:r>
          </w:p>
        </w:tc>
        <w:tc>
          <w:tcPr>
            <w:tcW w:w="1100" w:type="pct"/>
            <w:shd w:val="clear" w:color="auto" w:fill="B8CCE4"/>
            <w:vAlign w:val="center"/>
            <w:hideMark/>
          </w:tcPr>
          <w:p w14:paraId="7BC43A3A" w14:textId="77777777" w:rsidR="00D328AA" w:rsidRPr="00592716" w:rsidRDefault="00D328AA" w:rsidP="00592716">
            <w:pPr>
              <w:spacing w:after="0"/>
              <w:jc w:val="center"/>
              <w:rPr>
                <w:rFonts w:eastAsia="Times New Roman" w:cstheme="minorHAnsi"/>
                <w:b/>
                <w:sz w:val="20"/>
                <w:szCs w:val="24"/>
                <w:lang w:eastAsia="it-IT"/>
              </w:rPr>
            </w:pPr>
            <w:r w:rsidRPr="00592716">
              <w:rPr>
                <w:rFonts w:eastAsia="Times New Roman" w:cstheme="minorHAnsi"/>
                <w:b/>
                <w:sz w:val="20"/>
                <w:szCs w:val="24"/>
                <w:lang w:eastAsia="it-IT"/>
              </w:rPr>
              <w:t>% SAU</w:t>
            </w:r>
          </w:p>
        </w:tc>
        <w:tc>
          <w:tcPr>
            <w:tcW w:w="961" w:type="pct"/>
            <w:shd w:val="clear" w:color="auto" w:fill="B8CCE4"/>
            <w:vAlign w:val="center"/>
            <w:hideMark/>
          </w:tcPr>
          <w:p w14:paraId="31FABE41" w14:textId="77777777" w:rsidR="00D328AA" w:rsidRPr="00592716" w:rsidRDefault="00D328AA" w:rsidP="00592716">
            <w:pPr>
              <w:spacing w:after="0"/>
              <w:jc w:val="center"/>
              <w:rPr>
                <w:rFonts w:eastAsia="Times New Roman" w:cstheme="minorHAnsi"/>
                <w:b/>
                <w:sz w:val="20"/>
                <w:szCs w:val="24"/>
                <w:lang w:eastAsia="it-IT"/>
              </w:rPr>
            </w:pPr>
            <w:r w:rsidRPr="00592716">
              <w:rPr>
                <w:rFonts w:eastAsia="Times New Roman" w:cstheme="minorHAnsi"/>
                <w:b/>
                <w:sz w:val="20"/>
                <w:szCs w:val="24"/>
                <w:lang w:eastAsia="it-IT"/>
              </w:rPr>
              <w:t>% Aziende</w:t>
            </w:r>
          </w:p>
        </w:tc>
        <w:tc>
          <w:tcPr>
            <w:tcW w:w="1076" w:type="pct"/>
            <w:shd w:val="clear" w:color="auto" w:fill="B8CCE4"/>
            <w:vAlign w:val="center"/>
            <w:hideMark/>
          </w:tcPr>
          <w:p w14:paraId="7B618EC3" w14:textId="77777777" w:rsidR="00D328AA" w:rsidRPr="00592716" w:rsidRDefault="00D328AA" w:rsidP="00592716">
            <w:pPr>
              <w:spacing w:after="0"/>
              <w:jc w:val="center"/>
              <w:rPr>
                <w:rFonts w:eastAsia="Times New Roman" w:cstheme="minorHAnsi"/>
                <w:b/>
                <w:sz w:val="20"/>
                <w:szCs w:val="24"/>
                <w:lang w:eastAsia="it-IT"/>
              </w:rPr>
            </w:pPr>
            <w:r w:rsidRPr="00592716">
              <w:rPr>
                <w:rFonts w:eastAsia="Times New Roman" w:cstheme="minorHAnsi"/>
                <w:b/>
                <w:sz w:val="20"/>
                <w:szCs w:val="24"/>
                <w:lang w:eastAsia="it-IT"/>
              </w:rPr>
              <w:t>% SAU</w:t>
            </w:r>
          </w:p>
        </w:tc>
      </w:tr>
      <w:tr w:rsidR="00107F31" w:rsidRPr="00107F31" w14:paraId="7F5504CD" w14:textId="77777777" w:rsidTr="002B6F15">
        <w:trPr>
          <w:trHeight w:val="290"/>
        </w:trPr>
        <w:tc>
          <w:tcPr>
            <w:tcW w:w="914" w:type="pct"/>
            <w:vAlign w:val="center"/>
            <w:hideMark/>
          </w:tcPr>
          <w:p w14:paraId="165ABE89"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Abruzzo</w:t>
            </w:r>
          </w:p>
        </w:tc>
        <w:tc>
          <w:tcPr>
            <w:tcW w:w="949" w:type="pct"/>
            <w:noWrap/>
            <w:vAlign w:val="center"/>
            <w:hideMark/>
          </w:tcPr>
          <w:p w14:paraId="324C46DE"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35,4%</w:t>
            </w:r>
          </w:p>
        </w:tc>
        <w:tc>
          <w:tcPr>
            <w:tcW w:w="1100" w:type="pct"/>
            <w:noWrap/>
            <w:vAlign w:val="center"/>
            <w:hideMark/>
          </w:tcPr>
          <w:p w14:paraId="334775DC"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56,3%</w:t>
            </w:r>
          </w:p>
        </w:tc>
        <w:tc>
          <w:tcPr>
            <w:tcW w:w="961" w:type="pct"/>
            <w:noWrap/>
            <w:vAlign w:val="center"/>
            <w:hideMark/>
          </w:tcPr>
          <w:p w14:paraId="57815023"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30,3%</w:t>
            </w:r>
          </w:p>
        </w:tc>
        <w:tc>
          <w:tcPr>
            <w:tcW w:w="1076" w:type="pct"/>
            <w:noWrap/>
            <w:vAlign w:val="center"/>
            <w:hideMark/>
          </w:tcPr>
          <w:p w14:paraId="16EC390A"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47,9%</w:t>
            </w:r>
          </w:p>
        </w:tc>
      </w:tr>
      <w:tr w:rsidR="00107F31" w:rsidRPr="00107F31" w14:paraId="2C3915B6" w14:textId="77777777" w:rsidTr="002B6F15">
        <w:trPr>
          <w:trHeight w:val="290"/>
        </w:trPr>
        <w:tc>
          <w:tcPr>
            <w:tcW w:w="914" w:type="pct"/>
            <w:vAlign w:val="center"/>
            <w:hideMark/>
          </w:tcPr>
          <w:p w14:paraId="7BA63A4F" w14:textId="50E3E2B3" w:rsidR="00D328AA" w:rsidRPr="00107F31" w:rsidRDefault="00592716">
            <w:pPr>
              <w:spacing w:after="0"/>
              <w:jc w:val="left"/>
              <w:rPr>
                <w:rFonts w:ascii="Calibri" w:eastAsia="Times New Roman" w:hAnsi="Calibri" w:cs="Calibri"/>
                <w:color w:val="000000" w:themeColor="text1"/>
                <w:sz w:val="20"/>
                <w:szCs w:val="20"/>
                <w:lang w:eastAsia="it-IT"/>
              </w:rPr>
            </w:pPr>
            <w:r>
              <w:rPr>
                <w:rFonts w:ascii="Calibri" w:eastAsia="Times New Roman" w:hAnsi="Calibri" w:cs="Calibri"/>
                <w:color w:val="000000" w:themeColor="text1"/>
                <w:sz w:val="20"/>
                <w:szCs w:val="20"/>
                <w:lang w:eastAsia="it-IT"/>
              </w:rPr>
              <w:t>P.A. di Bolzano</w:t>
            </w:r>
          </w:p>
        </w:tc>
        <w:tc>
          <w:tcPr>
            <w:tcW w:w="949" w:type="pct"/>
            <w:noWrap/>
            <w:vAlign w:val="center"/>
            <w:hideMark/>
          </w:tcPr>
          <w:p w14:paraId="3317E30F"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100,0%</w:t>
            </w:r>
          </w:p>
        </w:tc>
        <w:tc>
          <w:tcPr>
            <w:tcW w:w="1100" w:type="pct"/>
            <w:noWrap/>
            <w:vAlign w:val="center"/>
            <w:hideMark/>
          </w:tcPr>
          <w:p w14:paraId="366E81C1"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100,0%</w:t>
            </w:r>
          </w:p>
        </w:tc>
        <w:tc>
          <w:tcPr>
            <w:tcW w:w="961" w:type="pct"/>
            <w:noWrap/>
            <w:vAlign w:val="center"/>
            <w:hideMark/>
          </w:tcPr>
          <w:p w14:paraId="487491A5"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100,0%</w:t>
            </w:r>
          </w:p>
        </w:tc>
        <w:tc>
          <w:tcPr>
            <w:tcW w:w="1076" w:type="pct"/>
            <w:noWrap/>
            <w:vAlign w:val="center"/>
            <w:hideMark/>
          </w:tcPr>
          <w:p w14:paraId="3B043A30"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100,0%</w:t>
            </w:r>
          </w:p>
        </w:tc>
      </w:tr>
      <w:tr w:rsidR="00107F31" w:rsidRPr="00107F31" w14:paraId="0E2D0E58" w14:textId="77777777" w:rsidTr="002B6F15">
        <w:trPr>
          <w:trHeight w:val="290"/>
        </w:trPr>
        <w:tc>
          <w:tcPr>
            <w:tcW w:w="914" w:type="pct"/>
            <w:vAlign w:val="center"/>
            <w:hideMark/>
          </w:tcPr>
          <w:p w14:paraId="2502AB87"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Basilicata</w:t>
            </w:r>
          </w:p>
        </w:tc>
        <w:tc>
          <w:tcPr>
            <w:tcW w:w="949" w:type="pct"/>
            <w:noWrap/>
            <w:vAlign w:val="center"/>
            <w:hideMark/>
          </w:tcPr>
          <w:p w14:paraId="727B2DA9"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29,3%</w:t>
            </w:r>
          </w:p>
        </w:tc>
        <w:tc>
          <w:tcPr>
            <w:tcW w:w="1100" w:type="pct"/>
            <w:noWrap/>
            <w:vAlign w:val="center"/>
            <w:hideMark/>
          </w:tcPr>
          <w:p w14:paraId="7A93A181"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32,9%</w:t>
            </w:r>
          </w:p>
        </w:tc>
        <w:tc>
          <w:tcPr>
            <w:tcW w:w="961" w:type="pct"/>
            <w:noWrap/>
            <w:vAlign w:val="center"/>
            <w:hideMark/>
          </w:tcPr>
          <w:p w14:paraId="0CA7CE79"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31,0%</w:t>
            </w:r>
          </w:p>
        </w:tc>
        <w:tc>
          <w:tcPr>
            <w:tcW w:w="1076" w:type="pct"/>
            <w:noWrap/>
            <w:vAlign w:val="center"/>
            <w:hideMark/>
          </w:tcPr>
          <w:p w14:paraId="1CA8AE22"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36,8%</w:t>
            </w:r>
          </w:p>
        </w:tc>
      </w:tr>
      <w:tr w:rsidR="00107F31" w:rsidRPr="00107F31" w14:paraId="4D61CFBE" w14:textId="77777777" w:rsidTr="002B6F15">
        <w:trPr>
          <w:trHeight w:val="290"/>
        </w:trPr>
        <w:tc>
          <w:tcPr>
            <w:tcW w:w="914" w:type="pct"/>
            <w:vAlign w:val="center"/>
            <w:hideMark/>
          </w:tcPr>
          <w:p w14:paraId="718BFE16"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Calabria</w:t>
            </w:r>
          </w:p>
        </w:tc>
        <w:tc>
          <w:tcPr>
            <w:tcW w:w="949" w:type="pct"/>
            <w:noWrap/>
            <w:vAlign w:val="center"/>
            <w:hideMark/>
          </w:tcPr>
          <w:p w14:paraId="229F9412"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19,6%</w:t>
            </w:r>
          </w:p>
        </w:tc>
        <w:tc>
          <w:tcPr>
            <w:tcW w:w="1100" w:type="pct"/>
            <w:noWrap/>
            <w:vAlign w:val="center"/>
            <w:hideMark/>
          </w:tcPr>
          <w:p w14:paraId="5F00369A"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23,2%</w:t>
            </w:r>
          </w:p>
        </w:tc>
        <w:tc>
          <w:tcPr>
            <w:tcW w:w="961" w:type="pct"/>
            <w:noWrap/>
            <w:vAlign w:val="center"/>
            <w:hideMark/>
          </w:tcPr>
          <w:p w14:paraId="263B9766"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21,9%</w:t>
            </w:r>
          </w:p>
        </w:tc>
        <w:tc>
          <w:tcPr>
            <w:tcW w:w="1076" w:type="pct"/>
            <w:noWrap/>
            <w:vAlign w:val="center"/>
            <w:hideMark/>
          </w:tcPr>
          <w:p w14:paraId="572BFBA5"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22,9%</w:t>
            </w:r>
          </w:p>
        </w:tc>
      </w:tr>
      <w:tr w:rsidR="00107F31" w:rsidRPr="00107F31" w14:paraId="678F687F" w14:textId="77777777" w:rsidTr="002B6F15">
        <w:trPr>
          <w:trHeight w:val="290"/>
        </w:trPr>
        <w:tc>
          <w:tcPr>
            <w:tcW w:w="914" w:type="pct"/>
            <w:vAlign w:val="center"/>
            <w:hideMark/>
          </w:tcPr>
          <w:p w14:paraId="3C6B8DF5"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Campania</w:t>
            </w:r>
          </w:p>
        </w:tc>
        <w:tc>
          <w:tcPr>
            <w:tcW w:w="949" w:type="pct"/>
            <w:noWrap/>
            <w:vAlign w:val="center"/>
            <w:hideMark/>
          </w:tcPr>
          <w:p w14:paraId="0531B2FE"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19,2%</w:t>
            </w:r>
          </w:p>
        </w:tc>
        <w:tc>
          <w:tcPr>
            <w:tcW w:w="1100" w:type="pct"/>
            <w:noWrap/>
            <w:vAlign w:val="center"/>
            <w:hideMark/>
          </w:tcPr>
          <w:p w14:paraId="5EAC7C95"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38,0%</w:t>
            </w:r>
          </w:p>
        </w:tc>
        <w:tc>
          <w:tcPr>
            <w:tcW w:w="961" w:type="pct"/>
            <w:noWrap/>
            <w:vAlign w:val="center"/>
            <w:hideMark/>
          </w:tcPr>
          <w:p w14:paraId="1A3456D1"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33,2%</w:t>
            </w:r>
          </w:p>
        </w:tc>
        <w:tc>
          <w:tcPr>
            <w:tcW w:w="1076" w:type="pct"/>
            <w:noWrap/>
            <w:vAlign w:val="center"/>
            <w:hideMark/>
          </w:tcPr>
          <w:p w14:paraId="64F35EF9"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48,1%</w:t>
            </w:r>
          </w:p>
        </w:tc>
      </w:tr>
      <w:tr w:rsidR="00107F31" w:rsidRPr="00107F31" w14:paraId="3B007B73" w14:textId="77777777" w:rsidTr="002B6F15">
        <w:trPr>
          <w:trHeight w:val="290"/>
        </w:trPr>
        <w:tc>
          <w:tcPr>
            <w:tcW w:w="914" w:type="pct"/>
            <w:vAlign w:val="center"/>
            <w:hideMark/>
          </w:tcPr>
          <w:p w14:paraId="03A8BB83" w14:textId="77777777" w:rsidR="00D328AA" w:rsidRPr="00107F31" w:rsidRDefault="00D328AA">
            <w:pPr>
              <w:spacing w:after="0"/>
              <w:jc w:val="left"/>
              <w:rPr>
                <w:rFonts w:ascii="Calibri" w:eastAsia="Times New Roman" w:hAnsi="Calibri" w:cs="Calibri"/>
                <w:color w:val="000000" w:themeColor="text1"/>
                <w:sz w:val="20"/>
                <w:szCs w:val="20"/>
                <w:lang w:eastAsia="it-IT"/>
              </w:rPr>
            </w:pPr>
            <w:proofErr w:type="gramStart"/>
            <w:r w:rsidRPr="00107F31">
              <w:rPr>
                <w:rFonts w:ascii="Calibri" w:eastAsia="Times New Roman" w:hAnsi="Calibri" w:cs="Calibri"/>
                <w:color w:val="000000" w:themeColor="text1"/>
                <w:sz w:val="20"/>
                <w:szCs w:val="20"/>
                <w:lang w:eastAsia="it-IT"/>
              </w:rPr>
              <w:t>Emilia Romagna</w:t>
            </w:r>
            <w:proofErr w:type="gramEnd"/>
          </w:p>
        </w:tc>
        <w:tc>
          <w:tcPr>
            <w:tcW w:w="949" w:type="pct"/>
            <w:noWrap/>
            <w:vAlign w:val="center"/>
            <w:hideMark/>
          </w:tcPr>
          <w:p w14:paraId="7B2E4F3A"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10,8%</w:t>
            </w:r>
          </w:p>
        </w:tc>
        <w:tc>
          <w:tcPr>
            <w:tcW w:w="1100" w:type="pct"/>
            <w:noWrap/>
            <w:vAlign w:val="center"/>
            <w:hideMark/>
          </w:tcPr>
          <w:p w14:paraId="3AA25E94"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9,1%</w:t>
            </w:r>
          </w:p>
        </w:tc>
        <w:tc>
          <w:tcPr>
            <w:tcW w:w="961" w:type="pct"/>
            <w:noWrap/>
            <w:vAlign w:val="center"/>
            <w:hideMark/>
          </w:tcPr>
          <w:p w14:paraId="02132D02"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5,4%</w:t>
            </w:r>
          </w:p>
        </w:tc>
        <w:tc>
          <w:tcPr>
            <w:tcW w:w="1076" w:type="pct"/>
            <w:noWrap/>
            <w:vAlign w:val="center"/>
            <w:hideMark/>
          </w:tcPr>
          <w:p w14:paraId="34B26604"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4,0%</w:t>
            </w:r>
          </w:p>
        </w:tc>
      </w:tr>
      <w:tr w:rsidR="00107F31" w:rsidRPr="00107F31" w14:paraId="1A3348CD" w14:textId="77777777" w:rsidTr="002B6F15">
        <w:trPr>
          <w:trHeight w:val="123"/>
        </w:trPr>
        <w:tc>
          <w:tcPr>
            <w:tcW w:w="914" w:type="pct"/>
            <w:vAlign w:val="center"/>
            <w:hideMark/>
          </w:tcPr>
          <w:p w14:paraId="1C8CCD03" w14:textId="77777777" w:rsidR="00D328AA" w:rsidRPr="00107F31" w:rsidRDefault="00D328AA">
            <w:pPr>
              <w:spacing w:after="0"/>
              <w:jc w:val="left"/>
              <w:rPr>
                <w:rFonts w:ascii="Calibri" w:eastAsia="Times New Roman" w:hAnsi="Calibri" w:cs="Calibri"/>
                <w:color w:val="000000" w:themeColor="text1"/>
                <w:sz w:val="20"/>
                <w:szCs w:val="20"/>
                <w:lang w:eastAsia="it-IT"/>
              </w:rPr>
            </w:pPr>
            <w:proofErr w:type="gramStart"/>
            <w:r w:rsidRPr="00107F31">
              <w:rPr>
                <w:rFonts w:ascii="Calibri" w:eastAsia="Times New Roman" w:hAnsi="Calibri" w:cs="Calibri"/>
                <w:color w:val="000000" w:themeColor="text1"/>
                <w:sz w:val="20"/>
                <w:szCs w:val="20"/>
                <w:lang w:eastAsia="it-IT"/>
              </w:rPr>
              <w:t>Friuli Venezia Giulia</w:t>
            </w:r>
            <w:proofErr w:type="gramEnd"/>
          </w:p>
        </w:tc>
        <w:tc>
          <w:tcPr>
            <w:tcW w:w="949" w:type="pct"/>
            <w:noWrap/>
            <w:vAlign w:val="center"/>
            <w:hideMark/>
          </w:tcPr>
          <w:p w14:paraId="60A1A496"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2,4%</w:t>
            </w:r>
          </w:p>
        </w:tc>
        <w:tc>
          <w:tcPr>
            <w:tcW w:w="1100" w:type="pct"/>
            <w:noWrap/>
            <w:vAlign w:val="center"/>
            <w:hideMark/>
          </w:tcPr>
          <w:p w14:paraId="3433E6AF"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1,5%</w:t>
            </w:r>
          </w:p>
        </w:tc>
        <w:tc>
          <w:tcPr>
            <w:tcW w:w="961" w:type="pct"/>
            <w:noWrap/>
            <w:vAlign w:val="center"/>
            <w:hideMark/>
          </w:tcPr>
          <w:p w14:paraId="46259965"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2,8%</w:t>
            </w:r>
          </w:p>
        </w:tc>
        <w:tc>
          <w:tcPr>
            <w:tcW w:w="1076" w:type="pct"/>
            <w:noWrap/>
            <w:vAlign w:val="center"/>
            <w:hideMark/>
          </w:tcPr>
          <w:p w14:paraId="2B7A9F05"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1,9%</w:t>
            </w:r>
          </w:p>
        </w:tc>
      </w:tr>
      <w:tr w:rsidR="00107F31" w:rsidRPr="00107F31" w14:paraId="10ECABCC" w14:textId="77777777" w:rsidTr="002B6F15">
        <w:trPr>
          <w:trHeight w:val="290"/>
        </w:trPr>
        <w:tc>
          <w:tcPr>
            <w:tcW w:w="914" w:type="pct"/>
            <w:vAlign w:val="center"/>
            <w:hideMark/>
          </w:tcPr>
          <w:p w14:paraId="3C7CACFA"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Lazio</w:t>
            </w:r>
          </w:p>
        </w:tc>
        <w:tc>
          <w:tcPr>
            <w:tcW w:w="949" w:type="pct"/>
            <w:noWrap/>
            <w:vAlign w:val="center"/>
            <w:hideMark/>
          </w:tcPr>
          <w:p w14:paraId="1604B7C2"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14,8%</w:t>
            </w:r>
          </w:p>
        </w:tc>
        <w:tc>
          <w:tcPr>
            <w:tcW w:w="1100" w:type="pct"/>
            <w:noWrap/>
            <w:vAlign w:val="center"/>
            <w:hideMark/>
          </w:tcPr>
          <w:p w14:paraId="4E0A4526"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29,2%</w:t>
            </w:r>
          </w:p>
        </w:tc>
        <w:tc>
          <w:tcPr>
            <w:tcW w:w="961" w:type="pct"/>
            <w:noWrap/>
            <w:vAlign w:val="center"/>
            <w:hideMark/>
          </w:tcPr>
          <w:p w14:paraId="7B0B9B11"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12,0%</w:t>
            </w:r>
          </w:p>
        </w:tc>
        <w:tc>
          <w:tcPr>
            <w:tcW w:w="1076" w:type="pct"/>
            <w:noWrap/>
            <w:vAlign w:val="center"/>
            <w:hideMark/>
          </w:tcPr>
          <w:p w14:paraId="0748DA55"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13,4%</w:t>
            </w:r>
          </w:p>
        </w:tc>
      </w:tr>
      <w:tr w:rsidR="00107F31" w:rsidRPr="00107F31" w14:paraId="0BC8DEF8" w14:textId="77777777" w:rsidTr="002B6F15">
        <w:trPr>
          <w:trHeight w:val="290"/>
        </w:trPr>
        <w:tc>
          <w:tcPr>
            <w:tcW w:w="914" w:type="pct"/>
            <w:vAlign w:val="center"/>
            <w:hideMark/>
          </w:tcPr>
          <w:p w14:paraId="62877E6F"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Liguria</w:t>
            </w:r>
          </w:p>
        </w:tc>
        <w:tc>
          <w:tcPr>
            <w:tcW w:w="949" w:type="pct"/>
            <w:noWrap/>
            <w:vAlign w:val="center"/>
            <w:hideMark/>
          </w:tcPr>
          <w:p w14:paraId="030A538D"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20,8%</w:t>
            </w:r>
          </w:p>
        </w:tc>
        <w:tc>
          <w:tcPr>
            <w:tcW w:w="1100" w:type="pct"/>
            <w:noWrap/>
            <w:vAlign w:val="center"/>
            <w:hideMark/>
          </w:tcPr>
          <w:p w14:paraId="3E33F8ED"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56,9%</w:t>
            </w:r>
          </w:p>
        </w:tc>
        <w:tc>
          <w:tcPr>
            <w:tcW w:w="961" w:type="pct"/>
            <w:noWrap/>
            <w:vAlign w:val="center"/>
            <w:hideMark/>
          </w:tcPr>
          <w:p w14:paraId="6AE1787C"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36,0%</w:t>
            </w:r>
          </w:p>
        </w:tc>
        <w:tc>
          <w:tcPr>
            <w:tcW w:w="1076" w:type="pct"/>
            <w:noWrap/>
            <w:vAlign w:val="center"/>
            <w:hideMark/>
          </w:tcPr>
          <w:p w14:paraId="66D81C77"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66,4%</w:t>
            </w:r>
          </w:p>
        </w:tc>
      </w:tr>
      <w:tr w:rsidR="00107F31" w:rsidRPr="00107F31" w14:paraId="2D001509" w14:textId="77777777" w:rsidTr="002B6F15">
        <w:trPr>
          <w:trHeight w:val="290"/>
        </w:trPr>
        <w:tc>
          <w:tcPr>
            <w:tcW w:w="914" w:type="pct"/>
            <w:vAlign w:val="center"/>
            <w:hideMark/>
          </w:tcPr>
          <w:p w14:paraId="341E8C7D"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Lombardia</w:t>
            </w:r>
          </w:p>
        </w:tc>
        <w:tc>
          <w:tcPr>
            <w:tcW w:w="949" w:type="pct"/>
            <w:noWrap/>
            <w:vAlign w:val="center"/>
            <w:hideMark/>
          </w:tcPr>
          <w:p w14:paraId="13005A53"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12,4%</w:t>
            </w:r>
          </w:p>
        </w:tc>
        <w:tc>
          <w:tcPr>
            <w:tcW w:w="1100" w:type="pct"/>
            <w:noWrap/>
            <w:vAlign w:val="center"/>
            <w:hideMark/>
          </w:tcPr>
          <w:p w14:paraId="0F95DD80"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9,4%</w:t>
            </w:r>
          </w:p>
        </w:tc>
        <w:tc>
          <w:tcPr>
            <w:tcW w:w="961" w:type="pct"/>
            <w:noWrap/>
            <w:vAlign w:val="center"/>
            <w:hideMark/>
          </w:tcPr>
          <w:p w14:paraId="035F2596"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8,4%</w:t>
            </w:r>
          </w:p>
        </w:tc>
        <w:tc>
          <w:tcPr>
            <w:tcW w:w="1076" w:type="pct"/>
            <w:noWrap/>
            <w:vAlign w:val="center"/>
            <w:hideMark/>
          </w:tcPr>
          <w:p w14:paraId="743193CD"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6,3%</w:t>
            </w:r>
          </w:p>
        </w:tc>
      </w:tr>
      <w:tr w:rsidR="00107F31" w:rsidRPr="00107F31" w14:paraId="7E575D1C" w14:textId="77777777" w:rsidTr="002B6F15">
        <w:trPr>
          <w:trHeight w:val="290"/>
        </w:trPr>
        <w:tc>
          <w:tcPr>
            <w:tcW w:w="914" w:type="pct"/>
            <w:vAlign w:val="center"/>
            <w:hideMark/>
          </w:tcPr>
          <w:p w14:paraId="7733D3F5"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Marche</w:t>
            </w:r>
          </w:p>
        </w:tc>
        <w:tc>
          <w:tcPr>
            <w:tcW w:w="949" w:type="pct"/>
            <w:noWrap/>
            <w:vAlign w:val="center"/>
            <w:hideMark/>
          </w:tcPr>
          <w:p w14:paraId="1A57481B"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9,6%</w:t>
            </w:r>
          </w:p>
        </w:tc>
        <w:tc>
          <w:tcPr>
            <w:tcW w:w="1100" w:type="pct"/>
            <w:noWrap/>
            <w:vAlign w:val="center"/>
            <w:hideMark/>
          </w:tcPr>
          <w:p w14:paraId="2175EF14"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12,2%</w:t>
            </w:r>
          </w:p>
        </w:tc>
        <w:tc>
          <w:tcPr>
            <w:tcW w:w="961" w:type="pct"/>
            <w:noWrap/>
            <w:vAlign w:val="center"/>
            <w:hideMark/>
          </w:tcPr>
          <w:p w14:paraId="44619FBE"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9,5%</w:t>
            </w:r>
          </w:p>
        </w:tc>
        <w:tc>
          <w:tcPr>
            <w:tcW w:w="1076" w:type="pct"/>
            <w:noWrap/>
            <w:vAlign w:val="center"/>
            <w:hideMark/>
          </w:tcPr>
          <w:p w14:paraId="703A0ED1"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13,3%</w:t>
            </w:r>
          </w:p>
        </w:tc>
      </w:tr>
      <w:tr w:rsidR="00107F31" w:rsidRPr="00107F31" w14:paraId="491ED456" w14:textId="77777777" w:rsidTr="002B6F15">
        <w:trPr>
          <w:trHeight w:val="290"/>
        </w:trPr>
        <w:tc>
          <w:tcPr>
            <w:tcW w:w="914" w:type="pct"/>
            <w:vAlign w:val="center"/>
            <w:hideMark/>
          </w:tcPr>
          <w:p w14:paraId="789BFEAB"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Molise</w:t>
            </w:r>
          </w:p>
        </w:tc>
        <w:tc>
          <w:tcPr>
            <w:tcW w:w="949" w:type="pct"/>
            <w:noWrap/>
            <w:vAlign w:val="center"/>
            <w:hideMark/>
          </w:tcPr>
          <w:p w14:paraId="1385DDEF"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33,1%</w:t>
            </w:r>
          </w:p>
        </w:tc>
        <w:tc>
          <w:tcPr>
            <w:tcW w:w="1100" w:type="pct"/>
            <w:noWrap/>
            <w:vAlign w:val="center"/>
            <w:hideMark/>
          </w:tcPr>
          <w:p w14:paraId="119FDE63"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26,4%</w:t>
            </w:r>
          </w:p>
        </w:tc>
        <w:tc>
          <w:tcPr>
            <w:tcW w:w="961" w:type="pct"/>
            <w:noWrap/>
            <w:vAlign w:val="center"/>
            <w:hideMark/>
          </w:tcPr>
          <w:p w14:paraId="3D233729"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40,5%</w:t>
            </w:r>
          </w:p>
        </w:tc>
        <w:tc>
          <w:tcPr>
            <w:tcW w:w="1076" w:type="pct"/>
            <w:noWrap/>
            <w:vAlign w:val="center"/>
            <w:hideMark/>
          </w:tcPr>
          <w:p w14:paraId="0B07E668"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36,1%</w:t>
            </w:r>
          </w:p>
        </w:tc>
      </w:tr>
      <w:tr w:rsidR="00107F31" w:rsidRPr="00107F31" w14:paraId="0BDC67BF" w14:textId="77777777" w:rsidTr="002B6F15">
        <w:trPr>
          <w:trHeight w:val="290"/>
        </w:trPr>
        <w:tc>
          <w:tcPr>
            <w:tcW w:w="914" w:type="pct"/>
            <w:vAlign w:val="center"/>
            <w:hideMark/>
          </w:tcPr>
          <w:p w14:paraId="3EC4B5B1"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Piemonte</w:t>
            </w:r>
          </w:p>
        </w:tc>
        <w:tc>
          <w:tcPr>
            <w:tcW w:w="949" w:type="pct"/>
            <w:noWrap/>
            <w:vAlign w:val="center"/>
            <w:hideMark/>
          </w:tcPr>
          <w:p w14:paraId="1B7B27F6"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12,0%</w:t>
            </w:r>
          </w:p>
        </w:tc>
        <w:tc>
          <w:tcPr>
            <w:tcW w:w="1100" w:type="pct"/>
            <w:noWrap/>
            <w:vAlign w:val="center"/>
            <w:hideMark/>
          </w:tcPr>
          <w:p w14:paraId="5EB8C7FB"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16,7%</w:t>
            </w:r>
          </w:p>
        </w:tc>
        <w:tc>
          <w:tcPr>
            <w:tcW w:w="961" w:type="pct"/>
            <w:noWrap/>
            <w:vAlign w:val="center"/>
            <w:hideMark/>
          </w:tcPr>
          <w:p w14:paraId="71DCCA30"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15,4%</w:t>
            </w:r>
          </w:p>
        </w:tc>
        <w:tc>
          <w:tcPr>
            <w:tcW w:w="1076" w:type="pct"/>
            <w:noWrap/>
            <w:vAlign w:val="center"/>
            <w:hideMark/>
          </w:tcPr>
          <w:p w14:paraId="3E4583C1"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15,8%</w:t>
            </w:r>
          </w:p>
        </w:tc>
      </w:tr>
      <w:tr w:rsidR="00107F31" w:rsidRPr="00107F31" w14:paraId="564E7251" w14:textId="77777777" w:rsidTr="002B6F15">
        <w:trPr>
          <w:trHeight w:val="290"/>
        </w:trPr>
        <w:tc>
          <w:tcPr>
            <w:tcW w:w="914" w:type="pct"/>
            <w:vAlign w:val="center"/>
            <w:hideMark/>
          </w:tcPr>
          <w:p w14:paraId="2184BBB1"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Puglia</w:t>
            </w:r>
          </w:p>
        </w:tc>
        <w:tc>
          <w:tcPr>
            <w:tcW w:w="949" w:type="pct"/>
            <w:noWrap/>
            <w:vAlign w:val="center"/>
            <w:hideMark/>
          </w:tcPr>
          <w:p w14:paraId="7C213CB4"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1,9%</w:t>
            </w:r>
          </w:p>
        </w:tc>
        <w:tc>
          <w:tcPr>
            <w:tcW w:w="1100" w:type="pct"/>
            <w:noWrap/>
            <w:vAlign w:val="center"/>
            <w:hideMark/>
          </w:tcPr>
          <w:p w14:paraId="2222C991"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2,5%</w:t>
            </w:r>
          </w:p>
        </w:tc>
        <w:tc>
          <w:tcPr>
            <w:tcW w:w="961" w:type="pct"/>
            <w:noWrap/>
            <w:vAlign w:val="center"/>
            <w:hideMark/>
          </w:tcPr>
          <w:p w14:paraId="2B9B830A"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0,7%</w:t>
            </w:r>
          </w:p>
        </w:tc>
        <w:tc>
          <w:tcPr>
            <w:tcW w:w="1076" w:type="pct"/>
            <w:noWrap/>
            <w:vAlign w:val="center"/>
            <w:hideMark/>
          </w:tcPr>
          <w:p w14:paraId="07FED56D"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1,0%</w:t>
            </w:r>
          </w:p>
        </w:tc>
      </w:tr>
      <w:tr w:rsidR="00107F31" w:rsidRPr="00107F31" w14:paraId="72746517" w14:textId="77777777" w:rsidTr="002B6F15">
        <w:trPr>
          <w:trHeight w:val="290"/>
        </w:trPr>
        <w:tc>
          <w:tcPr>
            <w:tcW w:w="914" w:type="pct"/>
            <w:vAlign w:val="center"/>
            <w:hideMark/>
          </w:tcPr>
          <w:p w14:paraId="1A845E5A"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Sardegna</w:t>
            </w:r>
          </w:p>
        </w:tc>
        <w:tc>
          <w:tcPr>
            <w:tcW w:w="949" w:type="pct"/>
            <w:noWrap/>
            <w:vAlign w:val="center"/>
            <w:hideMark/>
          </w:tcPr>
          <w:p w14:paraId="63245CC3"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6,1%</w:t>
            </w:r>
          </w:p>
        </w:tc>
        <w:tc>
          <w:tcPr>
            <w:tcW w:w="1100" w:type="pct"/>
            <w:noWrap/>
            <w:vAlign w:val="center"/>
            <w:hideMark/>
          </w:tcPr>
          <w:p w14:paraId="05079C48"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9,9%</w:t>
            </w:r>
          </w:p>
        </w:tc>
        <w:tc>
          <w:tcPr>
            <w:tcW w:w="961" w:type="pct"/>
            <w:noWrap/>
            <w:vAlign w:val="center"/>
            <w:hideMark/>
          </w:tcPr>
          <w:p w14:paraId="100317CD"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8,4%</w:t>
            </w:r>
          </w:p>
        </w:tc>
        <w:tc>
          <w:tcPr>
            <w:tcW w:w="1076" w:type="pct"/>
            <w:noWrap/>
            <w:vAlign w:val="center"/>
            <w:hideMark/>
          </w:tcPr>
          <w:p w14:paraId="61B4DC4D"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15,4%</w:t>
            </w:r>
          </w:p>
        </w:tc>
      </w:tr>
      <w:tr w:rsidR="00107F31" w:rsidRPr="00107F31" w14:paraId="2CAAFE71" w14:textId="77777777" w:rsidTr="002B6F15">
        <w:trPr>
          <w:trHeight w:val="290"/>
        </w:trPr>
        <w:tc>
          <w:tcPr>
            <w:tcW w:w="914" w:type="pct"/>
            <w:vAlign w:val="center"/>
            <w:hideMark/>
          </w:tcPr>
          <w:p w14:paraId="76570B81"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Sicilia</w:t>
            </w:r>
          </w:p>
        </w:tc>
        <w:tc>
          <w:tcPr>
            <w:tcW w:w="949" w:type="pct"/>
            <w:noWrap/>
            <w:vAlign w:val="center"/>
            <w:hideMark/>
          </w:tcPr>
          <w:p w14:paraId="0461404A"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17,2%</w:t>
            </w:r>
          </w:p>
        </w:tc>
        <w:tc>
          <w:tcPr>
            <w:tcW w:w="1100" w:type="pct"/>
            <w:noWrap/>
            <w:vAlign w:val="center"/>
            <w:hideMark/>
          </w:tcPr>
          <w:p w14:paraId="21EC0411"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26,9%</w:t>
            </w:r>
          </w:p>
        </w:tc>
        <w:tc>
          <w:tcPr>
            <w:tcW w:w="961" w:type="pct"/>
            <w:noWrap/>
            <w:vAlign w:val="center"/>
            <w:hideMark/>
          </w:tcPr>
          <w:p w14:paraId="7664C7F4"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22,2%</w:t>
            </w:r>
          </w:p>
        </w:tc>
        <w:tc>
          <w:tcPr>
            <w:tcW w:w="1076" w:type="pct"/>
            <w:noWrap/>
            <w:vAlign w:val="center"/>
            <w:hideMark/>
          </w:tcPr>
          <w:p w14:paraId="1357DC4C"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32,9%</w:t>
            </w:r>
          </w:p>
        </w:tc>
      </w:tr>
      <w:tr w:rsidR="00107F31" w:rsidRPr="00107F31" w14:paraId="4E6FABD1" w14:textId="77777777" w:rsidTr="002B6F15">
        <w:trPr>
          <w:trHeight w:val="290"/>
        </w:trPr>
        <w:tc>
          <w:tcPr>
            <w:tcW w:w="914" w:type="pct"/>
            <w:vAlign w:val="center"/>
            <w:hideMark/>
          </w:tcPr>
          <w:p w14:paraId="36EFFCAF"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Toscana</w:t>
            </w:r>
          </w:p>
        </w:tc>
        <w:tc>
          <w:tcPr>
            <w:tcW w:w="949" w:type="pct"/>
            <w:noWrap/>
            <w:vAlign w:val="center"/>
            <w:hideMark/>
          </w:tcPr>
          <w:p w14:paraId="2FBD91ED"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16,9%</w:t>
            </w:r>
          </w:p>
        </w:tc>
        <w:tc>
          <w:tcPr>
            <w:tcW w:w="1100" w:type="pct"/>
            <w:noWrap/>
            <w:vAlign w:val="center"/>
            <w:hideMark/>
          </w:tcPr>
          <w:p w14:paraId="16940E76"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8,9%</w:t>
            </w:r>
          </w:p>
        </w:tc>
        <w:tc>
          <w:tcPr>
            <w:tcW w:w="961" w:type="pct"/>
            <w:noWrap/>
            <w:vAlign w:val="center"/>
            <w:hideMark/>
          </w:tcPr>
          <w:p w14:paraId="48FB84C8"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21,0%</w:t>
            </w:r>
          </w:p>
        </w:tc>
        <w:tc>
          <w:tcPr>
            <w:tcW w:w="1076" w:type="pct"/>
            <w:noWrap/>
            <w:vAlign w:val="center"/>
            <w:hideMark/>
          </w:tcPr>
          <w:p w14:paraId="7421C42B"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21,5%</w:t>
            </w:r>
          </w:p>
        </w:tc>
      </w:tr>
      <w:tr w:rsidR="00107F31" w:rsidRPr="00107F31" w14:paraId="14F6F91E" w14:textId="77777777" w:rsidTr="002B6F15">
        <w:trPr>
          <w:trHeight w:val="290"/>
        </w:trPr>
        <w:tc>
          <w:tcPr>
            <w:tcW w:w="914" w:type="pct"/>
            <w:vAlign w:val="center"/>
            <w:hideMark/>
          </w:tcPr>
          <w:p w14:paraId="2D1F570E" w14:textId="67DDC7C3" w:rsidR="00D328AA" w:rsidRPr="00107F31" w:rsidRDefault="00592716">
            <w:pPr>
              <w:spacing w:after="0"/>
              <w:jc w:val="left"/>
              <w:rPr>
                <w:rFonts w:ascii="Calibri" w:eastAsia="Times New Roman" w:hAnsi="Calibri" w:cs="Calibri"/>
                <w:color w:val="000000" w:themeColor="text1"/>
                <w:sz w:val="20"/>
                <w:szCs w:val="20"/>
                <w:lang w:eastAsia="it-IT"/>
              </w:rPr>
            </w:pPr>
            <w:r>
              <w:rPr>
                <w:rFonts w:ascii="Calibri" w:eastAsia="Times New Roman" w:hAnsi="Calibri" w:cs="Calibri"/>
                <w:color w:val="000000" w:themeColor="text1"/>
                <w:sz w:val="20"/>
                <w:szCs w:val="20"/>
                <w:lang w:eastAsia="it-IT"/>
              </w:rPr>
              <w:t>P.A. di Trento</w:t>
            </w:r>
          </w:p>
        </w:tc>
        <w:tc>
          <w:tcPr>
            <w:tcW w:w="949" w:type="pct"/>
            <w:noWrap/>
            <w:vAlign w:val="center"/>
            <w:hideMark/>
          </w:tcPr>
          <w:p w14:paraId="265B7DAB"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100,0%</w:t>
            </w:r>
          </w:p>
        </w:tc>
        <w:tc>
          <w:tcPr>
            <w:tcW w:w="1100" w:type="pct"/>
            <w:noWrap/>
            <w:vAlign w:val="center"/>
            <w:hideMark/>
          </w:tcPr>
          <w:p w14:paraId="1EF0CAD6"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100,0%</w:t>
            </w:r>
          </w:p>
        </w:tc>
        <w:tc>
          <w:tcPr>
            <w:tcW w:w="961" w:type="pct"/>
            <w:noWrap/>
            <w:vAlign w:val="center"/>
            <w:hideMark/>
          </w:tcPr>
          <w:p w14:paraId="16A232AF"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100,0%</w:t>
            </w:r>
          </w:p>
        </w:tc>
        <w:tc>
          <w:tcPr>
            <w:tcW w:w="1076" w:type="pct"/>
            <w:noWrap/>
            <w:vAlign w:val="center"/>
            <w:hideMark/>
          </w:tcPr>
          <w:p w14:paraId="677F2D3A"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100,0%</w:t>
            </w:r>
          </w:p>
        </w:tc>
      </w:tr>
      <w:tr w:rsidR="00107F31" w:rsidRPr="00107F31" w14:paraId="751A05B5" w14:textId="77777777" w:rsidTr="002B6F15">
        <w:trPr>
          <w:trHeight w:val="290"/>
        </w:trPr>
        <w:tc>
          <w:tcPr>
            <w:tcW w:w="914" w:type="pct"/>
            <w:vAlign w:val="center"/>
            <w:hideMark/>
          </w:tcPr>
          <w:p w14:paraId="61BFAEB7"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Umbria</w:t>
            </w:r>
          </w:p>
        </w:tc>
        <w:tc>
          <w:tcPr>
            <w:tcW w:w="949" w:type="pct"/>
            <w:noWrap/>
            <w:vAlign w:val="center"/>
            <w:hideMark/>
          </w:tcPr>
          <w:p w14:paraId="119E92E0"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16,1%</w:t>
            </w:r>
          </w:p>
        </w:tc>
        <w:tc>
          <w:tcPr>
            <w:tcW w:w="1100" w:type="pct"/>
            <w:noWrap/>
            <w:vAlign w:val="center"/>
            <w:hideMark/>
          </w:tcPr>
          <w:p w14:paraId="0B75608A"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17,0%</w:t>
            </w:r>
          </w:p>
        </w:tc>
        <w:tc>
          <w:tcPr>
            <w:tcW w:w="961" w:type="pct"/>
            <w:noWrap/>
            <w:vAlign w:val="center"/>
            <w:hideMark/>
          </w:tcPr>
          <w:p w14:paraId="31053459"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9,0%</w:t>
            </w:r>
          </w:p>
        </w:tc>
        <w:tc>
          <w:tcPr>
            <w:tcW w:w="1076" w:type="pct"/>
            <w:noWrap/>
            <w:vAlign w:val="center"/>
            <w:hideMark/>
          </w:tcPr>
          <w:p w14:paraId="2FB6063C"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8,4%</w:t>
            </w:r>
          </w:p>
        </w:tc>
      </w:tr>
      <w:tr w:rsidR="00107F31" w:rsidRPr="00107F31" w14:paraId="51C79932" w14:textId="77777777" w:rsidTr="002B6F15">
        <w:trPr>
          <w:trHeight w:val="290"/>
        </w:trPr>
        <w:tc>
          <w:tcPr>
            <w:tcW w:w="914" w:type="pct"/>
            <w:vAlign w:val="center"/>
            <w:hideMark/>
          </w:tcPr>
          <w:p w14:paraId="0259EFC3"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Valle D’Aosta</w:t>
            </w:r>
          </w:p>
        </w:tc>
        <w:tc>
          <w:tcPr>
            <w:tcW w:w="949" w:type="pct"/>
            <w:noWrap/>
            <w:vAlign w:val="center"/>
            <w:hideMark/>
          </w:tcPr>
          <w:p w14:paraId="4F4FBAD2"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100,0%</w:t>
            </w:r>
          </w:p>
        </w:tc>
        <w:tc>
          <w:tcPr>
            <w:tcW w:w="1100" w:type="pct"/>
            <w:noWrap/>
            <w:vAlign w:val="center"/>
            <w:hideMark/>
          </w:tcPr>
          <w:p w14:paraId="40BEDFDC"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100,0%</w:t>
            </w:r>
          </w:p>
        </w:tc>
        <w:tc>
          <w:tcPr>
            <w:tcW w:w="961" w:type="pct"/>
            <w:noWrap/>
            <w:vAlign w:val="center"/>
            <w:hideMark/>
          </w:tcPr>
          <w:p w14:paraId="759ED608"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100,0%</w:t>
            </w:r>
          </w:p>
        </w:tc>
        <w:tc>
          <w:tcPr>
            <w:tcW w:w="1076" w:type="pct"/>
            <w:noWrap/>
            <w:vAlign w:val="center"/>
            <w:hideMark/>
          </w:tcPr>
          <w:p w14:paraId="6985EC50"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100,0%</w:t>
            </w:r>
          </w:p>
        </w:tc>
      </w:tr>
      <w:tr w:rsidR="00107F31" w:rsidRPr="00107F31" w14:paraId="1BCA6DFC" w14:textId="77777777" w:rsidTr="002B6F15">
        <w:trPr>
          <w:trHeight w:val="290"/>
        </w:trPr>
        <w:tc>
          <w:tcPr>
            <w:tcW w:w="914" w:type="pct"/>
            <w:vAlign w:val="center"/>
            <w:hideMark/>
          </w:tcPr>
          <w:p w14:paraId="714CEEB9" w14:textId="77777777" w:rsidR="00D328AA" w:rsidRPr="00107F31" w:rsidRDefault="00D328AA">
            <w:pPr>
              <w:spacing w:after="0"/>
              <w:jc w:val="lef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Veneto</w:t>
            </w:r>
          </w:p>
        </w:tc>
        <w:tc>
          <w:tcPr>
            <w:tcW w:w="949" w:type="pct"/>
            <w:noWrap/>
            <w:vAlign w:val="center"/>
            <w:hideMark/>
          </w:tcPr>
          <w:p w14:paraId="2F6F2E10"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3,3%</w:t>
            </w:r>
          </w:p>
        </w:tc>
        <w:tc>
          <w:tcPr>
            <w:tcW w:w="1100" w:type="pct"/>
            <w:noWrap/>
            <w:vAlign w:val="center"/>
            <w:hideMark/>
          </w:tcPr>
          <w:p w14:paraId="5746E338"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5,7%</w:t>
            </w:r>
          </w:p>
        </w:tc>
        <w:tc>
          <w:tcPr>
            <w:tcW w:w="961" w:type="pct"/>
            <w:noWrap/>
            <w:vAlign w:val="center"/>
            <w:hideMark/>
          </w:tcPr>
          <w:p w14:paraId="5587B927"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2,6%</w:t>
            </w:r>
          </w:p>
        </w:tc>
        <w:tc>
          <w:tcPr>
            <w:tcW w:w="1076" w:type="pct"/>
            <w:noWrap/>
            <w:vAlign w:val="center"/>
            <w:hideMark/>
          </w:tcPr>
          <w:p w14:paraId="52D6F6E4" w14:textId="77777777" w:rsidR="00D328AA" w:rsidRPr="00107F31" w:rsidRDefault="00D328AA">
            <w:pPr>
              <w:spacing w:after="0"/>
              <w:jc w:val="right"/>
              <w:rPr>
                <w:rFonts w:ascii="Calibri" w:eastAsia="Times New Roman" w:hAnsi="Calibri" w:cs="Calibri"/>
                <w:color w:val="000000" w:themeColor="text1"/>
                <w:sz w:val="20"/>
                <w:szCs w:val="20"/>
                <w:lang w:eastAsia="it-IT"/>
              </w:rPr>
            </w:pPr>
            <w:r w:rsidRPr="00107F31">
              <w:rPr>
                <w:rFonts w:ascii="Calibri" w:eastAsia="Times New Roman" w:hAnsi="Calibri" w:cs="Calibri"/>
                <w:color w:val="000000" w:themeColor="text1"/>
                <w:sz w:val="20"/>
                <w:szCs w:val="20"/>
                <w:lang w:eastAsia="it-IT"/>
              </w:rPr>
              <w:t>1,8%</w:t>
            </w:r>
          </w:p>
        </w:tc>
      </w:tr>
      <w:tr w:rsidR="00107F31" w:rsidRPr="00107F31" w14:paraId="72D5F244" w14:textId="77777777" w:rsidTr="002B6F15">
        <w:trPr>
          <w:trHeight w:val="290"/>
        </w:trPr>
        <w:tc>
          <w:tcPr>
            <w:tcW w:w="914" w:type="pct"/>
            <w:vAlign w:val="center"/>
            <w:hideMark/>
          </w:tcPr>
          <w:p w14:paraId="3FEA1844" w14:textId="77777777" w:rsidR="00D328AA" w:rsidRPr="00592716" w:rsidRDefault="00D328AA">
            <w:pPr>
              <w:spacing w:after="0"/>
              <w:jc w:val="left"/>
              <w:rPr>
                <w:rFonts w:ascii="Calibri" w:eastAsia="Times New Roman" w:hAnsi="Calibri" w:cs="Calibri"/>
                <w:b/>
                <w:color w:val="000000" w:themeColor="text1"/>
                <w:sz w:val="20"/>
                <w:szCs w:val="20"/>
                <w:lang w:eastAsia="it-IT"/>
              </w:rPr>
            </w:pPr>
            <w:r w:rsidRPr="00592716">
              <w:rPr>
                <w:rFonts w:ascii="Calibri" w:eastAsia="Times New Roman" w:hAnsi="Calibri" w:cs="Calibri"/>
                <w:b/>
                <w:color w:val="000000" w:themeColor="text1"/>
                <w:sz w:val="20"/>
                <w:szCs w:val="20"/>
                <w:lang w:eastAsia="it-IT"/>
              </w:rPr>
              <w:t>Italia</w:t>
            </w:r>
          </w:p>
        </w:tc>
        <w:tc>
          <w:tcPr>
            <w:tcW w:w="949" w:type="pct"/>
            <w:noWrap/>
            <w:vAlign w:val="center"/>
            <w:hideMark/>
          </w:tcPr>
          <w:p w14:paraId="12B1B9A1" w14:textId="7E39BF93" w:rsidR="00D328AA" w:rsidRPr="00592716" w:rsidRDefault="00334E16" w:rsidP="00C01492">
            <w:pPr>
              <w:jc w:val="right"/>
              <w:rPr>
                <w:rFonts w:ascii="Calibri" w:eastAsia="Times New Roman" w:hAnsi="Calibri" w:cs="Calibri"/>
                <w:b/>
                <w:color w:val="000000" w:themeColor="text1"/>
                <w:sz w:val="20"/>
                <w:szCs w:val="20"/>
                <w:lang w:eastAsia="it-IT"/>
              </w:rPr>
            </w:pPr>
            <w:r>
              <w:rPr>
                <w:rFonts w:ascii="Calibri" w:eastAsia="Times New Roman" w:hAnsi="Calibri" w:cs="Calibri"/>
                <w:b/>
                <w:color w:val="000000" w:themeColor="text1"/>
                <w:sz w:val="20"/>
                <w:szCs w:val="20"/>
                <w:lang w:eastAsia="it-IT"/>
              </w:rPr>
              <w:t>19,8%</w:t>
            </w:r>
          </w:p>
        </w:tc>
        <w:tc>
          <w:tcPr>
            <w:tcW w:w="1100" w:type="pct"/>
            <w:noWrap/>
            <w:vAlign w:val="center"/>
            <w:hideMark/>
          </w:tcPr>
          <w:p w14:paraId="472B0F8F" w14:textId="77777777" w:rsidR="00D328AA" w:rsidRPr="00592716" w:rsidRDefault="00D328AA">
            <w:pPr>
              <w:spacing w:after="0"/>
              <w:jc w:val="right"/>
              <w:rPr>
                <w:rFonts w:ascii="Calibri" w:eastAsia="Times New Roman" w:hAnsi="Calibri" w:cs="Calibri"/>
                <w:b/>
                <w:color w:val="000000" w:themeColor="text1"/>
                <w:sz w:val="20"/>
                <w:szCs w:val="20"/>
                <w:lang w:eastAsia="it-IT"/>
              </w:rPr>
            </w:pPr>
            <w:r w:rsidRPr="00592716">
              <w:rPr>
                <w:rFonts w:ascii="Calibri" w:eastAsia="Times New Roman" w:hAnsi="Calibri" w:cs="Calibri"/>
                <w:b/>
                <w:color w:val="000000" w:themeColor="text1"/>
                <w:sz w:val="20"/>
                <w:szCs w:val="20"/>
                <w:lang w:eastAsia="it-IT"/>
              </w:rPr>
              <w:t>20,8%</w:t>
            </w:r>
          </w:p>
        </w:tc>
        <w:tc>
          <w:tcPr>
            <w:tcW w:w="961" w:type="pct"/>
            <w:noWrap/>
            <w:vAlign w:val="center"/>
            <w:hideMark/>
          </w:tcPr>
          <w:p w14:paraId="5A00B205" w14:textId="77777777" w:rsidR="00D328AA" w:rsidRPr="00592716" w:rsidRDefault="00D328AA">
            <w:pPr>
              <w:spacing w:after="0"/>
              <w:jc w:val="right"/>
              <w:rPr>
                <w:rFonts w:ascii="Calibri" w:eastAsia="Times New Roman" w:hAnsi="Calibri" w:cs="Calibri"/>
                <w:b/>
                <w:color w:val="000000" w:themeColor="text1"/>
                <w:sz w:val="20"/>
                <w:szCs w:val="20"/>
                <w:lang w:eastAsia="it-IT"/>
              </w:rPr>
            </w:pPr>
            <w:r w:rsidRPr="00592716">
              <w:rPr>
                <w:rFonts w:ascii="Calibri" w:eastAsia="Times New Roman" w:hAnsi="Calibri" w:cs="Calibri"/>
                <w:b/>
                <w:color w:val="000000" w:themeColor="text1"/>
                <w:sz w:val="20"/>
                <w:szCs w:val="20"/>
                <w:lang w:eastAsia="it-IT"/>
              </w:rPr>
              <w:t>22,8%</w:t>
            </w:r>
          </w:p>
        </w:tc>
        <w:tc>
          <w:tcPr>
            <w:tcW w:w="1076" w:type="pct"/>
            <w:noWrap/>
            <w:vAlign w:val="center"/>
            <w:hideMark/>
          </w:tcPr>
          <w:p w14:paraId="67BA582F" w14:textId="77777777" w:rsidR="00D328AA" w:rsidRPr="00592716" w:rsidRDefault="00D328AA">
            <w:pPr>
              <w:spacing w:after="0"/>
              <w:jc w:val="right"/>
              <w:rPr>
                <w:rFonts w:ascii="Calibri" w:eastAsia="Times New Roman" w:hAnsi="Calibri" w:cs="Calibri"/>
                <w:b/>
                <w:color w:val="000000" w:themeColor="text1"/>
                <w:sz w:val="20"/>
                <w:szCs w:val="20"/>
                <w:lang w:eastAsia="it-IT"/>
              </w:rPr>
            </w:pPr>
            <w:r w:rsidRPr="00592716">
              <w:rPr>
                <w:rFonts w:ascii="Calibri" w:eastAsia="Times New Roman" w:hAnsi="Calibri" w:cs="Calibri"/>
                <w:b/>
                <w:color w:val="000000" w:themeColor="text1"/>
                <w:sz w:val="20"/>
                <w:szCs w:val="20"/>
                <w:lang w:eastAsia="it-IT"/>
              </w:rPr>
              <w:t>23,9%</w:t>
            </w:r>
          </w:p>
        </w:tc>
      </w:tr>
    </w:tbl>
    <w:p w14:paraId="14BC09D3" w14:textId="58F81018" w:rsidR="00D328AA" w:rsidRPr="00EC38DD" w:rsidRDefault="00D328AA" w:rsidP="00D328AA">
      <w:pPr>
        <w:pStyle w:val="Fontetabellagrafico"/>
        <w:spacing w:before="60"/>
        <w:rPr>
          <w:color w:val="000000" w:themeColor="text1"/>
          <w:sz w:val="20"/>
          <w:szCs w:val="20"/>
        </w:rPr>
      </w:pPr>
      <w:r w:rsidRPr="00EC38DD">
        <w:rPr>
          <w:color w:val="000000" w:themeColor="text1"/>
          <w:sz w:val="20"/>
          <w:szCs w:val="20"/>
        </w:rPr>
        <w:t xml:space="preserve">Fonte: elaborazioni su dati RICA </w:t>
      </w:r>
    </w:p>
    <w:p w14:paraId="0D7859FA" w14:textId="5D2075DB" w:rsidR="001208E0" w:rsidRPr="001208E0" w:rsidRDefault="001208E0" w:rsidP="001208E0"/>
    <w:p w14:paraId="136860DC" w14:textId="1780081A" w:rsidR="0089138E" w:rsidRPr="0089138E" w:rsidRDefault="0089138E" w:rsidP="0089138E">
      <w:pPr>
        <w:pStyle w:val="Titolotab-grafReport"/>
        <w:numPr>
          <w:ilvl w:val="0"/>
          <w:numId w:val="0"/>
        </w:numPr>
        <w:spacing w:after="120"/>
        <w:rPr>
          <w:rFonts w:eastAsia="Times New Roman" w:cs="Calibri"/>
          <w:color w:val="000000" w:themeColor="text1"/>
          <w:lang w:eastAsia="it-IT"/>
        </w:rPr>
      </w:pPr>
      <w:r w:rsidRPr="0089138E">
        <w:rPr>
          <w:rFonts w:eastAsia="Times New Roman" w:cs="Calibri"/>
          <w:color w:val="000000" w:themeColor="text1"/>
          <w:lang w:eastAsia="it-IT"/>
        </w:rPr>
        <w:t xml:space="preserve">Figura </w:t>
      </w:r>
      <w:proofErr w:type="gramStart"/>
      <w:r w:rsidR="00D17486">
        <w:rPr>
          <w:rFonts w:eastAsia="Times New Roman" w:cs="Calibri"/>
          <w:color w:val="000000" w:themeColor="text1"/>
          <w:lang w:eastAsia="it-IT"/>
        </w:rPr>
        <w:t>1.2</w:t>
      </w:r>
      <w:r w:rsidRPr="0089138E">
        <w:rPr>
          <w:rFonts w:eastAsia="Times New Roman" w:cs="Calibri"/>
          <w:color w:val="000000" w:themeColor="text1"/>
          <w:lang w:eastAsia="it-IT"/>
        </w:rPr>
        <w:t xml:space="preserve">  </w:t>
      </w:r>
      <w:r w:rsidR="005203B0" w:rsidRPr="0089138E">
        <w:rPr>
          <w:rFonts w:eastAsia="Times New Roman" w:cs="Calibri"/>
          <w:color w:val="000000" w:themeColor="text1"/>
          <w:lang w:eastAsia="it-IT"/>
        </w:rPr>
        <w:t>La</w:t>
      </w:r>
      <w:proofErr w:type="gramEnd"/>
      <w:r w:rsidR="005203B0" w:rsidRPr="0089138E">
        <w:rPr>
          <w:rFonts w:eastAsia="Times New Roman" w:cs="Calibri"/>
          <w:color w:val="000000" w:themeColor="text1"/>
          <w:lang w:eastAsia="it-IT"/>
        </w:rPr>
        <w:t xml:space="preserve"> classificazione del territorio italiano per grado di “</w:t>
      </w:r>
      <w:proofErr w:type="spellStart"/>
      <w:r w:rsidR="005203B0" w:rsidRPr="0089138E">
        <w:rPr>
          <w:rFonts w:eastAsia="Times New Roman" w:cs="Calibri"/>
          <w:color w:val="000000" w:themeColor="text1"/>
          <w:lang w:eastAsia="it-IT"/>
        </w:rPr>
        <w:t>montanità</w:t>
      </w:r>
      <w:proofErr w:type="spellEnd"/>
      <w:r w:rsidR="005203B0" w:rsidRPr="0089138E">
        <w:rPr>
          <w:rFonts w:eastAsia="Times New Roman" w:cs="Calibri"/>
          <w:color w:val="000000" w:themeColor="text1"/>
          <w:lang w:eastAsia="it-IT"/>
        </w:rPr>
        <w:t>”</w:t>
      </w:r>
    </w:p>
    <w:p w14:paraId="63176830" w14:textId="046B9BF1" w:rsidR="00531D9D" w:rsidRDefault="00531D9D" w:rsidP="00A9238C">
      <w:pPr>
        <w:pStyle w:val="Titolotab-grafReport"/>
        <w:numPr>
          <w:ilvl w:val="0"/>
          <w:numId w:val="0"/>
        </w:numPr>
        <w:jc w:val="left"/>
        <w:rPr>
          <w:rFonts w:eastAsia="Times New Roman" w:cs="Calibri"/>
          <w:color w:val="FF0000"/>
          <w:lang w:eastAsia="it-IT"/>
        </w:rPr>
      </w:pPr>
      <w:r>
        <w:rPr>
          <w:noProof/>
          <w:color w:val="FF0000"/>
          <w:lang w:eastAsia="it-IT"/>
        </w:rPr>
        <w:drawing>
          <wp:inline distT="0" distB="0" distL="0" distR="0" wp14:anchorId="5516713C" wp14:editId="5A298A11">
            <wp:extent cx="3676650" cy="3185012"/>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80984" cy="3188767"/>
                    </a:xfrm>
                    <a:prstGeom prst="rect">
                      <a:avLst/>
                    </a:prstGeom>
                    <a:noFill/>
                    <a:ln>
                      <a:noFill/>
                    </a:ln>
                  </pic:spPr>
                </pic:pic>
              </a:graphicData>
            </a:graphic>
          </wp:inline>
        </w:drawing>
      </w:r>
    </w:p>
    <w:p w14:paraId="1404D933" w14:textId="0D593852" w:rsidR="00531D9D" w:rsidRPr="00DC56F9" w:rsidRDefault="00531D9D" w:rsidP="00531D9D">
      <w:pPr>
        <w:pStyle w:val="Fontetabellagrafico"/>
        <w:spacing w:before="60"/>
        <w:rPr>
          <w:color w:val="000000" w:themeColor="text1"/>
          <w:sz w:val="20"/>
          <w:szCs w:val="20"/>
        </w:rPr>
      </w:pPr>
      <w:r w:rsidRPr="00DC56F9">
        <w:rPr>
          <w:color w:val="000000" w:themeColor="text1"/>
          <w:sz w:val="20"/>
          <w:szCs w:val="20"/>
        </w:rPr>
        <w:t xml:space="preserve">Fonte: </w:t>
      </w:r>
      <w:r w:rsidR="00DC56F9" w:rsidRPr="00DC56F9">
        <w:rPr>
          <w:color w:val="000000" w:themeColor="text1"/>
          <w:sz w:val="20"/>
          <w:szCs w:val="20"/>
        </w:rPr>
        <w:t xml:space="preserve">tratto da Arzeni e </w:t>
      </w:r>
      <w:proofErr w:type="spellStart"/>
      <w:r w:rsidR="00DC56F9" w:rsidRPr="00DC56F9">
        <w:rPr>
          <w:color w:val="000000" w:themeColor="text1"/>
          <w:sz w:val="20"/>
          <w:szCs w:val="20"/>
        </w:rPr>
        <w:t>Sotte</w:t>
      </w:r>
      <w:proofErr w:type="spellEnd"/>
      <w:r w:rsidR="00DC56F9" w:rsidRPr="00DC56F9">
        <w:rPr>
          <w:color w:val="000000" w:themeColor="text1"/>
          <w:sz w:val="20"/>
          <w:szCs w:val="20"/>
        </w:rPr>
        <w:t xml:space="preserve"> (2013) </w:t>
      </w:r>
    </w:p>
    <w:p w14:paraId="4F7FA779" w14:textId="7C40C802" w:rsidR="00C01492" w:rsidRDefault="00C01492" w:rsidP="00C01492">
      <w:pPr>
        <w:pStyle w:val="Titolotab-grafReport"/>
        <w:numPr>
          <w:ilvl w:val="0"/>
          <w:numId w:val="0"/>
        </w:numPr>
        <w:spacing w:before="120" w:after="120"/>
      </w:pPr>
      <w:r>
        <w:lastRenderedPageBreak/>
        <w:t xml:space="preserve">Figura </w:t>
      </w:r>
      <w:r w:rsidR="00C758B8">
        <w:t>1.</w:t>
      </w:r>
      <w:r w:rsidR="00A9238C">
        <w:t>3</w:t>
      </w:r>
      <w:r>
        <w:t xml:space="preserve"> Numero di imprese iscritte in ciascun anno per </w:t>
      </w:r>
      <w:proofErr w:type="gramStart"/>
      <w:r>
        <w:t>macro-area</w:t>
      </w:r>
      <w:proofErr w:type="gramEnd"/>
      <w:r>
        <w:t xml:space="preserve"> nell’agricoltura, silvicoltura e caccia</w:t>
      </w:r>
    </w:p>
    <w:p w14:paraId="6F48A119" w14:textId="66F6003A" w:rsidR="00C01492" w:rsidRDefault="00A9238C" w:rsidP="00C01492">
      <w:pPr>
        <w:pStyle w:val="Titolotab-grafReport"/>
        <w:numPr>
          <w:ilvl w:val="0"/>
          <w:numId w:val="0"/>
        </w:numPr>
        <w:spacing w:before="120" w:after="120"/>
        <w:rPr>
          <w:rFonts w:eastAsia="Times New Roman" w:cs="Calibri"/>
          <w:kern w:val="2"/>
          <w:lang w:eastAsia="ar-SA"/>
        </w:rPr>
      </w:pPr>
      <w:r>
        <w:rPr>
          <w:rFonts w:eastAsia="Times New Roman" w:cs="Calibri"/>
          <w:noProof/>
          <w:kern w:val="2"/>
          <w:lang w:eastAsia="ar-SA"/>
        </w:rPr>
        <w:drawing>
          <wp:inline distT="0" distB="0" distL="0" distR="0" wp14:anchorId="04C79635" wp14:editId="5AE7DEB0">
            <wp:extent cx="4755556" cy="2717800"/>
            <wp:effectExtent l="0" t="0" r="6985" b="635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0590" cy="2720677"/>
                    </a:xfrm>
                    <a:prstGeom prst="rect">
                      <a:avLst/>
                    </a:prstGeom>
                    <a:noFill/>
                  </pic:spPr>
                </pic:pic>
              </a:graphicData>
            </a:graphic>
          </wp:inline>
        </w:drawing>
      </w:r>
    </w:p>
    <w:p w14:paraId="50593B9C" w14:textId="77777777" w:rsidR="00C01492" w:rsidRPr="006C0337" w:rsidRDefault="00C01492" w:rsidP="00C01492">
      <w:pPr>
        <w:pStyle w:val="Fontetabellagrafico"/>
        <w:spacing w:before="60"/>
        <w:rPr>
          <w:sz w:val="20"/>
          <w:szCs w:val="20"/>
        </w:rPr>
      </w:pPr>
      <w:r w:rsidRPr="008E471B">
        <w:rPr>
          <w:sz w:val="20"/>
          <w:szCs w:val="20"/>
        </w:rPr>
        <w:t xml:space="preserve">Fonte: </w:t>
      </w:r>
      <w:r>
        <w:rPr>
          <w:sz w:val="20"/>
          <w:szCs w:val="20"/>
        </w:rPr>
        <w:t>elaborazioni su d</w:t>
      </w:r>
      <w:r w:rsidRPr="008E471B">
        <w:rPr>
          <w:sz w:val="20"/>
          <w:szCs w:val="20"/>
        </w:rPr>
        <w:t xml:space="preserve">ati </w:t>
      </w:r>
      <w:r>
        <w:rPr>
          <w:sz w:val="20"/>
          <w:szCs w:val="20"/>
        </w:rPr>
        <w:t>Infocamere-Sì Camera</w:t>
      </w:r>
    </w:p>
    <w:p w14:paraId="50038FFF" w14:textId="77777777" w:rsidR="00C01492" w:rsidRPr="006C0337" w:rsidRDefault="00C01492" w:rsidP="00C01492">
      <w:pPr>
        <w:pStyle w:val="Fontetabellagrafico"/>
        <w:spacing w:before="60"/>
        <w:rPr>
          <w:sz w:val="20"/>
          <w:szCs w:val="20"/>
        </w:rPr>
      </w:pPr>
    </w:p>
    <w:p w14:paraId="09B7EECF" w14:textId="7CC22D72" w:rsidR="00BB6E70" w:rsidRDefault="00A05180" w:rsidP="00BB6E70">
      <w:pPr>
        <w:pStyle w:val="Titolotab-grafReport"/>
        <w:numPr>
          <w:ilvl w:val="0"/>
          <w:numId w:val="0"/>
        </w:numPr>
        <w:spacing w:after="120"/>
      </w:pPr>
      <w:r w:rsidRPr="00A9238C">
        <w:t xml:space="preserve">Tabella </w:t>
      </w:r>
      <w:r w:rsidR="00C758B8" w:rsidRPr="00A9238C">
        <w:t>1.</w:t>
      </w:r>
      <w:r w:rsidR="00A800CB" w:rsidRPr="00A9238C">
        <w:t>5</w:t>
      </w:r>
      <w:r w:rsidRPr="00A9238C">
        <w:t xml:space="preserve"> Numero di aziende agricole, silvicole e della caccia iscritte nel registro delle imprese* (valori assoluti</w:t>
      </w:r>
      <w:r w:rsidR="00C01492" w:rsidRPr="00A9238C">
        <w:t xml:space="preserve"> e variazioni, anno </w:t>
      </w:r>
      <w:r w:rsidRPr="00A9238C">
        <w:t>2018</w:t>
      </w:r>
      <w:r w:rsidR="00C01492" w:rsidRPr="00A9238C">
        <w:t>)</w:t>
      </w:r>
    </w:p>
    <w:tbl>
      <w:tblPr>
        <w:tblW w:w="5000" w:type="pct"/>
        <w:tblCellMar>
          <w:left w:w="70" w:type="dxa"/>
          <w:right w:w="70" w:type="dxa"/>
        </w:tblCellMar>
        <w:tblLook w:val="04A0" w:firstRow="1" w:lastRow="0" w:firstColumn="1" w:lastColumn="0" w:noHBand="0" w:noVBand="1"/>
      </w:tblPr>
      <w:tblGrid>
        <w:gridCol w:w="1754"/>
        <w:gridCol w:w="701"/>
        <w:gridCol w:w="802"/>
        <w:gridCol w:w="599"/>
        <w:gridCol w:w="701"/>
        <w:gridCol w:w="663"/>
        <w:gridCol w:w="701"/>
        <w:gridCol w:w="701"/>
        <w:gridCol w:w="932"/>
        <w:gridCol w:w="1037"/>
        <w:gridCol w:w="1037"/>
      </w:tblGrid>
      <w:tr w:rsidR="00D47324" w:rsidRPr="00D47324" w14:paraId="0C2E17B6" w14:textId="77777777" w:rsidTr="00D47324">
        <w:trPr>
          <w:trHeight w:val="290"/>
        </w:trPr>
        <w:tc>
          <w:tcPr>
            <w:tcW w:w="911" w:type="pct"/>
            <w:tcBorders>
              <w:top w:val="single" w:sz="4" w:space="0" w:color="auto"/>
              <w:left w:val="single" w:sz="4" w:space="0" w:color="auto"/>
              <w:bottom w:val="single" w:sz="4" w:space="0" w:color="auto"/>
              <w:right w:val="single" w:sz="4" w:space="0" w:color="auto"/>
            </w:tcBorders>
            <w:shd w:val="clear" w:color="000000" w:fill="B8CCE4"/>
            <w:vAlign w:val="center"/>
            <w:hideMark/>
          </w:tcPr>
          <w:p w14:paraId="57B1F1A8"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 </w:t>
            </w:r>
          </w:p>
        </w:tc>
        <w:tc>
          <w:tcPr>
            <w:tcW w:w="781" w:type="pct"/>
            <w:gridSpan w:val="2"/>
            <w:tcBorders>
              <w:top w:val="single" w:sz="4" w:space="0" w:color="auto"/>
              <w:left w:val="nil"/>
              <w:bottom w:val="single" w:sz="4" w:space="0" w:color="auto"/>
              <w:right w:val="single" w:sz="4" w:space="0" w:color="000000"/>
            </w:tcBorders>
            <w:shd w:val="clear" w:color="000000" w:fill="B8CCE4"/>
            <w:vAlign w:val="center"/>
            <w:hideMark/>
          </w:tcPr>
          <w:p w14:paraId="6090AE18"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Ditte individuali</w:t>
            </w:r>
          </w:p>
        </w:tc>
        <w:tc>
          <w:tcPr>
            <w:tcW w:w="675" w:type="pct"/>
            <w:gridSpan w:val="2"/>
            <w:tcBorders>
              <w:top w:val="single" w:sz="4" w:space="0" w:color="auto"/>
              <w:left w:val="nil"/>
              <w:bottom w:val="single" w:sz="4" w:space="0" w:color="auto"/>
              <w:right w:val="single" w:sz="4" w:space="0" w:color="000000"/>
            </w:tcBorders>
            <w:shd w:val="clear" w:color="000000" w:fill="B8CCE4"/>
            <w:vAlign w:val="center"/>
            <w:hideMark/>
          </w:tcPr>
          <w:p w14:paraId="2973B66C"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Società cap. e di persone</w:t>
            </w:r>
          </w:p>
        </w:tc>
        <w:tc>
          <w:tcPr>
            <w:tcW w:w="702" w:type="pct"/>
            <w:gridSpan w:val="2"/>
            <w:tcBorders>
              <w:top w:val="single" w:sz="4" w:space="0" w:color="auto"/>
              <w:left w:val="nil"/>
              <w:bottom w:val="single" w:sz="4" w:space="0" w:color="auto"/>
              <w:right w:val="single" w:sz="4" w:space="0" w:color="000000"/>
            </w:tcBorders>
            <w:shd w:val="clear" w:color="000000" w:fill="B8CCE4"/>
            <w:vAlign w:val="center"/>
            <w:hideMark/>
          </w:tcPr>
          <w:p w14:paraId="572A0FB2"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Altre forme</w:t>
            </w:r>
          </w:p>
        </w:tc>
        <w:tc>
          <w:tcPr>
            <w:tcW w:w="854" w:type="pct"/>
            <w:gridSpan w:val="2"/>
            <w:tcBorders>
              <w:top w:val="single" w:sz="4" w:space="0" w:color="auto"/>
              <w:left w:val="nil"/>
              <w:bottom w:val="single" w:sz="4" w:space="0" w:color="auto"/>
              <w:right w:val="single" w:sz="4" w:space="0" w:color="000000"/>
            </w:tcBorders>
            <w:shd w:val="clear" w:color="000000" w:fill="B8CCE4"/>
            <w:vAlign w:val="center"/>
            <w:hideMark/>
          </w:tcPr>
          <w:p w14:paraId="03A8FDEE"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totale</w:t>
            </w:r>
          </w:p>
        </w:tc>
        <w:tc>
          <w:tcPr>
            <w:tcW w:w="1077" w:type="pct"/>
            <w:gridSpan w:val="2"/>
            <w:tcBorders>
              <w:top w:val="single" w:sz="4" w:space="0" w:color="auto"/>
              <w:left w:val="nil"/>
              <w:bottom w:val="single" w:sz="4" w:space="0" w:color="auto"/>
              <w:right w:val="single" w:sz="4" w:space="0" w:color="000000"/>
            </w:tcBorders>
            <w:shd w:val="clear" w:color="000000" w:fill="B8CCE4"/>
            <w:vAlign w:val="center"/>
            <w:hideMark/>
          </w:tcPr>
          <w:p w14:paraId="052233E9"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Variazioni Registrate</w:t>
            </w:r>
          </w:p>
        </w:tc>
      </w:tr>
      <w:tr w:rsidR="00D47324" w:rsidRPr="00D47324" w14:paraId="54D29405" w14:textId="77777777" w:rsidTr="00D47324">
        <w:trPr>
          <w:trHeight w:val="520"/>
        </w:trPr>
        <w:tc>
          <w:tcPr>
            <w:tcW w:w="911" w:type="pct"/>
            <w:tcBorders>
              <w:top w:val="nil"/>
              <w:left w:val="single" w:sz="4" w:space="0" w:color="auto"/>
              <w:bottom w:val="single" w:sz="4" w:space="0" w:color="auto"/>
              <w:right w:val="single" w:sz="4" w:space="0" w:color="auto"/>
            </w:tcBorders>
            <w:shd w:val="clear" w:color="000000" w:fill="B8CCE4"/>
            <w:vAlign w:val="center"/>
            <w:hideMark/>
          </w:tcPr>
          <w:p w14:paraId="5F505F15"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anno 2018</w:t>
            </w:r>
          </w:p>
        </w:tc>
        <w:tc>
          <w:tcPr>
            <w:tcW w:w="364" w:type="pct"/>
            <w:tcBorders>
              <w:top w:val="nil"/>
              <w:left w:val="nil"/>
              <w:bottom w:val="single" w:sz="4" w:space="0" w:color="auto"/>
              <w:right w:val="single" w:sz="4" w:space="0" w:color="auto"/>
            </w:tcBorders>
            <w:shd w:val="clear" w:color="000000" w:fill="B8CCE4"/>
            <w:vAlign w:val="center"/>
            <w:hideMark/>
          </w:tcPr>
          <w:p w14:paraId="295C8AC9" w14:textId="18984563" w:rsidR="00D47324" w:rsidRPr="00D47324" w:rsidRDefault="00D47324" w:rsidP="00D47324">
            <w:pPr>
              <w:spacing w:after="0"/>
              <w:jc w:val="center"/>
              <w:rPr>
                <w:rFonts w:ascii="Calibri" w:eastAsia="Times New Roman" w:hAnsi="Calibri" w:cs="Calibri"/>
                <w:b/>
                <w:bCs/>
                <w:color w:val="000000"/>
                <w:sz w:val="20"/>
                <w:szCs w:val="20"/>
                <w:lang w:eastAsia="it-IT"/>
              </w:rPr>
            </w:pPr>
            <w:proofErr w:type="spellStart"/>
            <w:r w:rsidRPr="00D47324">
              <w:rPr>
                <w:rFonts w:ascii="Calibri" w:eastAsia="Times New Roman" w:hAnsi="Calibri" w:cs="Calibri"/>
                <w:b/>
                <w:bCs/>
                <w:color w:val="000000"/>
                <w:sz w:val="20"/>
                <w:szCs w:val="20"/>
                <w:lang w:eastAsia="it-IT"/>
              </w:rPr>
              <w:t>Iscr</w:t>
            </w:r>
            <w:proofErr w:type="spellEnd"/>
            <w:r>
              <w:rPr>
                <w:rFonts w:ascii="Calibri" w:eastAsia="Times New Roman" w:hAnsi="Calibri" w:cs="Calibri"/>
                <w:b/>
                <w:bCs/>
                <w:color w:val="000000"/>
                <w:sz w:val="20"/>
                <w:szCs w:val="20"/>
                <w:lang w:eastAsia="it-IT"/>
              </w:rPr>
              <w:t>.</w:t>
            </w:r>
          </w:p>
        </w:tc>
        <w:tc>
          <w:tcPr>
            <w:tcW w:w="416" w:type="pct"/>
            <w:tcBorders>
              <w:top w:val="nil"/>
              <w:left w:val="nil"/>
              <w:bottom w:val="single" w:sz="4" w:space="0" w:color="auto"/>
              <w:right w:val="single" w:sz="4" w:space="0" w:color="auto"/>
            </w:tcBorders>
            <w:shd w:val="clear" w:color="000000" w:fill="B8CCE4"/>
            <w:vAlign w:val="center"/>
            <w:hideMark/>
          </w:tcPr>
          <w:p w14:paraId="5E4518E9" w14:textId="40249086"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Reg</w:t>
            </w:r>
            <w:r>
              <w:rPr>
                <w:rFonts w:ascii="Calibri" w:eastAsia="Times New Roman" w:hAnsi="Calibri" w:cs="Calibri"/>
                <w:b/>
                <w:bCs/>
                <w:color w:val="000000"/>
                <w:sz w:val="20"/>
                <w:szCs w:val="20"/>
                <w:lang w:eastAsia="it-IT"/>
              </w:rPr>
              <w:t>.</w:t>
            </w:r>
          </w:p>
        </w:tc>
        <w:tc>
          <w:tcPr>
            <w:tcW w:w="311" w:type="pct"/>
            <w:tcBorders>
              <w:top w:val="nil"/>
              <w:left w:val="nil"/>
              <w:bottom w:val="single" w:sz="4" w:space="0" w:color="auto"/>
              <w:right w:val="single" w:sz="4" w:space="0" w:color="auto"/>
            </w:tcBorders>
            <w:shd w:val="clear" w:color="000000" w:fill="B8CCE4"/>
            <w:vAlign w:val="center"/>
            <w:hideMark/>
          </w:tcPr>
          <w:p w14:paraId="1BD97EF5" w14:textId="5F3DFEF2" w:rsidR="00D47324" w:rsidRPr="00D47324" w:rsidRDefault="00D47324" w:rsidP="00D47324">
            <w:pPr>
              <w:spacing w:after="0"/>
              <w:jc w:val="center"/>
              <w:rPr>
                <w:rFonts w:ascii="Calibri" w:eastAsia="Times New Roman" w:hAnsi="Calibri" w:cs="Calibri"/>
                <w:b/>
                <w:bCs/>
                <w:color w:val="000000"/>
                <w:sz w:val="20"/>
                <w:szCs w:val="20"/>
                <w:lang w:eastAsia="it-IT"/>
              </w:rPr>
            </w:pPr>
            <w:proofErr w:type="spellStart"/>
            <w:r w:rsidRPr="00D47324">
              <w:rPr>
                <w:rFonts w:ascii="Calibri" w:eastAsia="Times New Roman" w:hAnsi="Calibri" w:cs="Calibri"/>
                <w:b/>
                <w:bCs/>
                <w:color w:val="000000"/>
                <w:sz w:val="20"/>
                <w:szCs w:val="20"/>
                <w:lang w:eastAsia="it-IT"/>
              </w:rPr>
              <w:t>Iscr</w:t>
            </w:r>
            <w:proofErr w:type="spellEnd"/>
            <w:r>
              <w:rPr>
                <w:rFonts w:ascii="Calibri" w:eastAsia="Times New Roman" w:hAnsi="Calibri" w:cs="Calibri"/>
                <w:b/>
                <w:bCs/>
                <w:color w:val="000000"/>
                <w:sz w:val="20"/>
                <w:szCs w:val="20"/>
                <w:lang w:eastAsia="it-IT"/>
              </w:rPr>
              <w:t>.</w:t>
            </w:r>
          </w:p>
        </w:tc>
        <w:tc>
          <w:tcPr>
            <w:tcW w:w="364" w:type="pct"/>
            <w:tcBorders>
              <w:top w:val="nil"/>
              <w:left w:val="nil"/>
              <w:bottom w:val="single" w:sz="4" w:space="0" w:color="auto"/>
              <w:right w:val="single" w:sz="4" w:space="0" w:color="auto"/>
            </w:tcBorders>
            <w:shd w:val="clear" w:color="000000" w:fill="B8CCE4"/>
            <w:vAlign w:val="center"/>
            <w:hideMark/>
          </w:tcPr>
          <w:p w14:paraId="01E84E74" w14:textId="56EE98DA"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Reg</w:t>
            </w:r>
            <w:r>
              <w:rPr>
                <w:rFonts w:ascii="Calibri" w:eastAsia="Times New Roman" w:hAnsi="Calibri" w:cs="Calibri"/>
                <w:b/>
                <w:bCs/>
                <w:color w:val="000000"/>
                <w:sz w:val="20"/>
                <w:szCs w:val="20"/>
                <w:lang w:eastAsia="it-IT"/>
              </w:rPr>
              <w:t>.</w:t>
            </w:r>
          </w:p>
        </w:tc>
        <w:tc>
          <w:tcPr>
            <w:tcW w:w="355" w:type="pct"/>
            <w:tcBorders>
              <w:top w:val="nil"/>
              <w:left w:val="nil"/>
              <w:bottom w:val="single" w:sz="4" w:space="0" w:color="auto"/>
              <w:right w:val="single" w:sz="4" w:space="0" w:color="auto"/>
            </w:tcBorders>
            <w:shd w:val="clear" w:color="000000" w:fill="B8CCE4"/>
            <w:vAlign w:val="center"/>
            <w:hideMark/>
          </w:tcPr>
          <w:p w14:paraId="48167CA0" w14:textId="5E2CD2A0" w:rsidR="00D47324" w:rsidRPr="00D47324" w:rsidRDefault="00D47324" w:rsidP="00D47324">
            <w:pPr>
              <w:spacing w:after="0"/>
              <w:jc w:val="center"/>
              <w:rPr>
                <w:rFonts w:ascii="Calibri" w:eastAsia="Times New Roman" w:hAnsi="Calibri" w:cs="Calibri"/>
                <w:b/>
                <w:bCs/>
                <w:color w:val="000000"/>
                <w:sz w:val="20"/>
                <w:szCs w:val="20"/>
                <w:lang w:eastAsia="it-IT"/>
              </w:rPr>
            </w:pPr>
            <w:proofErr w:type="spellStart"/>
            <w:r w:rsidRPr="00D47324">
              <w:rPr>
                <w:rFonts w:ascii="Calibri" w:eastAsia="Times New Roman" w:hAnsi="Calibri" w:cs="Calibri"/>
                <w:b/>
                <w:bCs/>
                <w:color w:val="000000"/>
                <w:sz w:val="20"/>
                <w:szCs w:val="20"/>
                <w:lang w:eastAsia="it-IT"/>
              </w:rPr>
              <w:t>Iscr</w:t>
            </w:r>
            <w:proofErr w:type="spellEnd"/>
            <w:r>
              <w:rPr>
                <w:rFonts w:ascii="Calibri" w:eastAsia="Times New Roman" w:hAnsi="Calibri" w:cs="Calibri"/>
                <w:b/>
                <w:bCs/>
                <w:color w:val="000000"/>
                <w:sz w:val="20"/>
                <w:szCs w:val="20"/>
                <w:lang w:eastAsia="it-IT"/>
              </w:rPr>
              <w:t>.</w:t>
            </w:r>
          </w:p>
        </w:tc>
        <w:tc>
          <w:tcPr>
            <w:tcW w:w="347" w:type="pct"/>
            <w:tcBorders>
              <w:top w:val="nil"/>
              <w:left w:val="nil"/>
              <w:bottom w:val="single" w:sz="4" w:space="0" w:color="auto"/>
              <w:right w:val="single" w:sz="4" w:space="0" w:color="auto"/>
            </w:tcBorders>
            <w:shd w:val="clear" w:color="000000" w:fill="B8CCE4"/>
            <w:vAlign w:val="center"/>
            <w:hideMark/>
          </w:tcPr>
          <w:p w14:paraId="21B7E0B8" w14:textId="29CB289B"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Reg</w:t>
            </w:r>
            <w:r>
              <w:rPr>
                <w:rFonts w:ascii="Calibri" w:eastAsia="Times New Roman" w:hAnsi="Calibri" w:cs="Calibri"/>
                <w:b/>
                <w:bCs/>
                <w:color w:val="000000"/>
                <w:sz w:val="20"/>
                <w:szCs w:val="20"/>
                <w:lang w:eastAsia="it-IT"/>
              </w:rPr>
              <w:t>.</w:t>
            </w:r>
          </w:p>
        </w:tc>
        <w:tc>
          <w:tcPr>
            <w:tcW w:w="364" w:type="pct"/>
            <w:tcBorders>
              <w:top w:val="nil"/>
              <w:left w:val="nil"/>
              <w:bottom w:val="single" w:sz="4" w:space="0" w:color="auto"/>
              <w:right w:val="single" w:sz="4" w:space="0" w:color="auto"/>
            </w:tcBorders>
            <w:shd w:val="clear" w:color="000000" w:fill="B8CCE4"/>
            <w:vAlign w:val="center"/>
            <w:hideMark/>
          </w:tcPr>
          <w:p w14:paraId="2634AE1D" w14:textId="08636BCB" w:rsidR="00D47324" w:rsidRPr="00D47324" w:rsidRDefault="00D47324" w:rsidP="00D47324">
            <w:pPr>
              <w:spacing w:after="0"/>
              <w:jc w:val="center"/>
              <w:rPr>
                <w:rFonts w:ascii="Calibri" w:eastAsia="Times New Roman" w:hAnsi="Calibri" w:cs="Calibri"/>
                <w:b/>
                <w:bCs/>
                <w:color w:val="000000"/>
                <w:sz w:val="20"/>
                <w:szCs w:val="20"/>
                <w:lang w:eastAsia="it-IT"/>
              </w:rPr>
            </w:pPr>
            <w:proofErr w:type="spellStart"/>
            <w:r w:rsidRPr="00D47324">
              <w:rPr>
                <w:rFonts w:ascii="Calibri" w:eastAsia="Times New Roman" w:hAnsi="Calibri" w:cs="Calibri"/>
                <w:b/>
                <w:bCs/>
                <w:color w:val="000000"/>
                <w:sz w:val="20"/>
                <w:szCs w:val="20"/>
                <w:lang w:eastAsia="it-IT"/>
              </w:rPr>
              <w:t>Iscr</w:t>
            </w:r>
            <w:proofErr w:type="spellEnd"/>
            <w:r>
              <w:rPr>
                <w:rFonts w:ascii="Calibri" w:eastAsia="Times New Roman" w:hAnsi="Calibri" w:cs="Calibri"/>
                <w:b/>
                <w:bCs/>
                <w:color w:val="000000"/>
                <w:sz w:val="20"/>
                <w:szCs w:val="20"/>
                <w:lang w:eastAsia="it-IT"/>
              </w:rPr>
              <w:t>.</w:t>
            </w:r>
          </w:p>
        </w:tc>
        <w:tc>
          <w:tcPr>
            <w:tcW w:w="490" w:type="pct"/>
            <w:tcBorders>
              <w:top w:val="nil"/>
              <w:left w:val="nil"/>
              <w:bottom w:val="single" w:sz="4" w:space="0" w:color="auto"/>
              <w:right w:val="single" w:sz="4" w:space="0" w:color="auto"/>
            </w:tcBorders>
            <w:shd w:val="clear" w:color="000000" w:fill="B8CCE4"/>
            <w:vAlign w:val="center"/>
            <w:hideMark/>
          </w:tcPr>
          <w:p w14:paraId="4E085C03" w14:textId="2F429B15"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Reg</w:t>
            </w:r>
            <w:r>
              <w:rPr>
                <w:rFonts w:ascii="Calibri" w:eastAsia="Times New Roman" w:hAnsi="Calibri" w:cs="Calibri"/>
                <w:b/>
                <w:bCs/>
                <w:color w:val="000000"/>
                <w:sz w:val="20"/>
                <w:szCs w:val="20"/>
                <w:lang w:eastAsia="it-IT"/>
              </w:rPr>
              <w:t>.</w:t>
            </w:r>
          </w:p>
        </w:tc>
        <w:tc>
          <w:tcPr>
            <w:tcW w:w="539" w:type="pct"/>
            <w:tcBorders>
              <w:top w:val="nil"/>
              <w:left w:val="nil"/>
              <w:bottom w:val="single" w:sz="4" w:space="0" w:color="auto"/>
              <w:right w:val="single" w:sz="4" w:space="0" w:color="auto"/>
            </w:tcBorders>
            <w:shd w:val="clear" w:color="000000" w:fill="B8CCE4"/>
            <w:vAlign w:val="center"/>
            <w:hideMark/>
          </w:tcPr>
          <w:p w14:paraId="31BEB1E3"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2018/2015</w:t>
            </w:r>
          </w:p>
        </w:tc>
        <w:tc>
          <w:tcPr>
            <w:tcW w:w="539" w:type="pct"/>
            <w:tcBorders>
              <w:top w:val="nil"/>
              <w:left w:val="nil"/>
              <w:bottom w:val="single" w:sz="4" w:space="0" w:color="auto"/>
              <w:right w:val="single" w:sz="4" w:space="0" w:color="auto"/>
            </w:tcBorders>
            <w:shd w:val="clear" w:color="000000" w:fill="B8CCE4"/>
            <w:vAlign w:val="center"/>
            <w:hideMark/>
          </w:tcPr>
          <w:p w14:paraId="7BBB2049"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2018/2010</w:t>
            </w:r>
          </w:p>
        </w:tc>
      </w:tr>
      <w:tr w:rsidR="00D47324" w:rsidRPr="00D47324" w14:paraId="752753D1"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2D855544"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Abruzzo</w:t>
            </w:r>
          </w:p>
        </w:tc>
        <w:tc>
          <w:tcPr>
            <w:tcW w:w="364" w:type="pct"/>
            <w:tcBorders>
              <w:top w:val="nil"/>
              <w:left w:val="nil"/>
              <w:bottom w:val="single" w:sz="4" w:space="0" w:color="auto"/>
              <w:right w:val="single" w:sz="4" w:space="0" w:color="auto"/>
            </w:tcBorders>
            <w:shd w:val="clear" w:color="auto" w:fill="auto"/>
            <w:noWrap/>
            <w:vAlign w:val="bottom"/>
            <w:hideMark/>
          </w:tcPr>
          <w:p w14:paraId="6F24D62F"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997</w:t>
            </w:r>
          </w:p>
        </w:tc>
        <w:tc>
          <w:tcPr>
            <w:tcW w:w="416" w:type="pct"/>
            <w:tcBorders>
              <w:top w:val="nil"/>
              <w:left w:val="nil"/>
              <w:bottom w:val="single" w:sz="4" w:space="0" w:color="auto"/>
              <w:right w:val="single" w:sz="4" w:space="0" w:color="auto"/>
            </w:tcBorders>
            <w:shd w:val="clear" w:color="auto" w:fill="auto"/>
            <w:noWrap/>
            <w:vAlign w:val="bottom"/>
            <w:hideMark/>
          </w:tcPr>
          <w:p w14:paraId="7339CA06"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25.039</w:t>
            </w:r>
          </w:p>
        </w:tc>
        <w:tc>
          <w:tcPr>
            <w:tcW w:w="311" w:type="pct"/>
            <w:tcBorders>
              <w:top w:val="nil"/>
              <w:left w:val="nil"/>
              <w:bottom w:val="single" w:sz="4" w:space="0" w:color="auto"/>
              <w:right w:val="single" w:sz="4" w:space="0" w:color="auto"/>
            </w:tcBorders>
            <w:shd w:val="clear" w:color="auto" w:fill="auto"/>
            <w:noWrap/>
            <w:vAlign w:val="bottom"/>
            <w:hideMark/>
          </w:tcPr>
          <w:p w14:paraId="0B083940"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61</w:t>
            </w:r>
          </w:p>
        </w:tc>
        <w:tc>
          <w:tcPr>
            <w:tcW w:w="364" w:type="pct"/>
            <w:tcBorders>
              <w:top w:val="nil"/>
              <w:left w:val="nil"/>
              <w:bottom w:val="single" w:sz="4" w:space="0" w:color="auto"/>
              <w:right w:val="single" w:sz="4" w:space="0" w:color="auto"/>
            </w:tcBorders>
            <w:shd w:val="clear" w:color="auto" w:fill="auto"/>
            <w:noWrap/>
            <w:vAlign w:val="bottom"/>
            <w:hideMark/>
          </w:tcPr>
          <w:p w14:paraId="55890379"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1.257</w:t>
            </w:r>
          </w:p>
        </w:tc>
        <w:tc>
          <w:tcPr>
            <w:tcW w:w="355" w:type="pct"/>
            <w:tcBorders>
              <w:top w:val="nil"/>
              <w:left w:val="nil"/>
              <w:bottom w:val="single" w:sz="4" w:space="0" w:color="auto"/>
              <w:right w:val="single" w:sz="4" w:space="0" w:color="auto"/>
            </w:tcBorders>
            <w:shd w:val="clear" w:color="auto" w:fill="auto"/>
            <w:noWrap/>
            <w:vAlign w:val="bottom"/>
            <w:hideMark/>
          </w:tcPr>
          <w:p w14:paraId="04570DC8"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w:t>
            </w:r>
          </w:p>
        </w:tc>
        <w:tc>
          <w:tcPr>
            <w:tcW w:w="347" w:type="pct"/>
            <w:tcBorders>
              <w:top w:val="nil"/>
              <w:left w:val="nil"/>
              <w:bottom w:val="single" w:sz="4" w:space="0" w:color="auto"/>
              <w:right w:val="single" w:sz="4" w:space="0" w:color="auto"/>
            </w:tcBorders>
            <w:shd w:val="clear" w:color="auto" w:fill="auto"/>
            <w:noWrap/>
            <w:vAlign w:val="bottom"/>
            <w:hideMark/>
          </w:tcPr>
          <w:p w14:paraId="1AB8567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285</w:t>
            </w:r>
          </w:p>
        </w:tc>
        <w:tc>
          <w:tcPr>
            <w:tcW w:w="364" w:type="pct"/>
            <w:tcBorders>
              <w:top w:val="nil"/>
              <w:left w:val="nil"/>
              <w:bottom w:val="single" w:sz="4" w:space="0" w:color="auto"/>
              <w:right w:val="single" w:sz="4" w:space="0" w:color="auto"/>
            </w:tcBorders>
            <w:shd w:val="clear" w:color="auto" w:fill="auto"/>
            <w:noWrap/>
            <w:vAlign w:val="bottom"/>
            <w:hideMark/>
          </w:tcPr>
          <w:p w14:paraId="2CD9345F"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1.061</w:t>
            </w:r>
          </w:p>
        </w:tc>
        <w:tc>
          <w:tcPr>
            <w:tcW w:w="490" w:type="pct"/>
            <w:tcBorders>
              <w:top w:val="nil"/>
              <w:left w:val="nil"/>
              <w:bottom w:val="single" w:sz="4" w:space="0" w:color="auto"/>
              <w:right w:val="single" w:sz="4" w:space="0" w:color="auto"/>
            </w:tcBorders>
            <w:shd w:val="clear" w:color="auto" w:fill="auto"/>
            <w:noWrap/>
            <w:vAlign w:val="bottom"/>
            <w:hideMark/>
          </w:tcPr>
          <w:p w14:paraId="23BAFC00"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26.581</w:t>
            </w:r>
          </w:p>
        </w:tc>
        <w:tc>
          <w:tcPr>
            <w:tcW w:w="539" w:type="pct"/>
            <w:tcBorders>
              <w:top w:val="nil"/>
              <w:left w:val="nil"/>
              <w:bottom w:val="single" w:sz="4" w:space="0" w:color="auto"/>
              <w:right w:val="single" w:sz="4" w:space="0" w:color="auto"/>
            </w:tcBorders>
            <w:shd w:val="clear" w:color="auto" w:fill="auto"/>
            <w:noWrap/>
            <w:vAlign w:val="bottom"/>
            <w:hideMark/>
          </w:tcPr>
          <w:p w14:paraId="57625D85"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-2,0%</w:t>
            </w:r>
          </w:p>
        </w:tc>
        <w:tc>
          <w:tcPr>
            <w:tcW w:w="539" w:type="pct"/>
            <w:tcBorders>
              <w:top w:val="nil"/>
              <w:left w:val="nil"/>
              <w:bottom w:val="single" w:sz="4" w:space="0" w:color="auto"/>
              <w:right w:val="single" w:sz="4" w:space="0" w:color="auto"/>
            </w:tcBorders>
            <w:shd w:val="clear" w:color="auto" w:fill="auto"/>
            <w:noWrap/>
            <w:vAlign w:val="bottom"/>
            <w:hideMark/>
          </w:tcPr>
          <w:p w14:paraId="73AAA921"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-14,2%</w:t>
            </w:r>
          </w:p>
        </w:tc>
      </w:tr>
      <w:tr w:rsidR="00D47324" w:rsidRPr="00D47324" w14:paraId="7D488C1D"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00C76A72"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Basilicata</w:t>
            </w:r>
          </w:p>
        </w:tc>
        <w:tc>
          <w:tcPr>
            <w:tcW w:w="364" w:type="pct"/>
            <w:tcBorders>
              <w:top w:val="nil"/>
              <w:left w:val="nil"/>
              <w:bottom w:val="single" w:sz="4" w:space="0" w:color="auto"/>
              <w:right w:val="single" w:sz="4" w:space="0" w:color="auto"/>
            </w:tcBorders>
            <w:shd w:val="clear" w:color="auto" w:fill="auto"/>
            <w:noWrap/>
            <w:vAlign w:val="bottom"/>
            <w:hideMark/>
          </w:tcPr>
          <w:p w14:paraId="7D4B5214"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649</w:t>
            </w:r>
          </w:p>
        </w:tc>
        <w:tc>
          <w:tcPr>
            <w:tcW w:w="416" w:type="pct"/>
            <w:tcBorders>
              <w:top w:val="nil"/>
              <w:left w:val="nil"/>
              <w:bottom w:val="single" w:sz="4" w:space="0" w:color="auto"/>
              <w:right w:val="single" w:sz="4" w:space="0" w:color="auto"/>
            </w:tcBorders>
            <w:shd w:val="clear" w:color="auto" w:fill="auto"/>
            <w:noWrap/>
            <w:vAlign w:val="bottom"/>
            <w:hideMark/>
          </w:tcPr>
          <w:p w14:paraId="4D98D216"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17.105</w:t>
            </w:r>
          </w:p>
        </w:tc>
        <w:tc>
          <w:tcPr>
            <w:tcW w:w="311" w:type="pct"/>
            <w:tcBorders>
              <w:top w:val="nil"/>
              <w:left w:val="nil"/>
              <w:bottom w:val="single" w:sz="4" w:space="0" w:color="auto"/>
              <w:right w:val="single" w:sz="4" w:space="0" w:color="auto"/>
            </w:tcBorders>
            <w:shd w:val="clear" w:color="auto" w:fill="auto"/>
            <w:noWrap/>
            <w:vAlign w:val="bottom"/>
            <w:hideMark/>
          </w:tcPr>
          <w:p w14:paraId="7AC06EE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49</w:t>
            </w:r>
          </w:p>
        </w:tc>
        <w:tc>
          <w:tcPr>
            <w:tcW w:w="364" w:type="pct"/>
            <w:tcBorders>
              <w:top w:val="nil"/>
              <w:left w:val="nil"/>
              <w:bottom w:val="single" w:sz="4" w:space="0" w:color="auto"/>
              <w:right w:val="single" w:sz="4" w:space="0" w:color="auto"/>
            </w:tcBorders>
            <w:shd w:val="clear" w:color="auto" w:fill="auto"/>
            <w:noWrap/>
            <w:vAlign w:val="bottom"/>
            <w:hideMark/>
          </w:tcPr>
          <w:p w14:paraId="436C919A"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948</w:t>
            </w:r>
          </w:p>
        </w:tc>
        <w:tc>
          <w:tcPr>
            <w:tcW w:w="355" w:type="pct"/>
            <w:tcBorders>
              <w:top w:val="nil"/>
              <w:left w:val="nil"/>
              <w:bottom w:val="single" w:sz="4" w:space="0" w:color="auto"/>
              <w:right w:val="single" w:sz="4" w:space="0" w:color="auto"/>
            </w:tcBorders>
            <w:shd w:val="clear" w:color="auto" w:fill="auto"/>
            <w:noWrap/>
            <w:vAlign w:val="bottom"/>
            <w:hideMark/>
          </w:tcPr>
          <w:p w14:paraId="371AA59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w:t>
            </w:r>
          </w:p>
        </w:tc>
        <w:tc>
          <w:tcPr>
            <w:tcW w:w="347" w:type="pct"/>
            <w:tcBorders>
              <w:top w:val="nil"/>
              <w:left w:val="nil"/>
              <w:bottom w:val="single" w:sz="4" w:space="0" w:color="auto"/>
              <w:right w:val="single" w:sz="4" w:space="0" w:color="auto"/>
            </w:tcBorders>
            <w:shd w:val="clear" w:color="auto" w:fill="auto"/>
            <w:noWrap/>
            <w:vAlign w:val="bottom"/>
            <w:hideMark/>
          </w:tcPr>
          <w:p w14:paraId="144ED012"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325</w:t>
            </w:r>
          </w:p>
        </w:tc>
        <w:tc>
          <w:tcPr>
            <w:tcW w:w="364" w:type="pct"/>
            <w:tcBorders>
              <w:top w:val="nil"/>
              <w:left w:val="nil"/>
              <w:bottom w:val="single" w:sz="4" w:space="0" w:color="auto"/>
              <w:right w:val="single" w:sz="4" w:space="0" w:color="auto"/>
            </w:tcBorders>
            <w:shd w:val="clear" w:color="auto" w:fill="auto"/>
            <w:noWrap/>
            <w:vAlign w:val="bottom"/>
            <w:hideMark/>
          </w:tcPr>
          <w:p w14:paraId="2E9109F2"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702</w:t>
            </w:r>
          </w:p>
        </w:tc>
        <w:tc>
          <w:tcPr>
            <w:tcW w:w="490" w:type="pct"/>
            <w:tcBorders>
              <w:top w:val="nil"/>
              <w:left w:val="nil"/>
              <w:bottom w:val="single" w:sz="4" w:space="0" w:color="auto"/>
              <w:right w:val="single" w:sz="4" w:space="0" w:color="auto"/>
            </w:tcBorders>
            <w:shd w:val="clear" w:color="auto" w:fill="auto"/>
            <w:noWrap/>
            <w:vAlign w:val="bottom"/>
            <w:hideMark/>
          </w:tcPr>
          <w:p w14:paraId="0D3766BA"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18.378</w:t>
            </w:r>
          </w:p>
        </w:tc>
        <w:tc>
          <w:tcPr>
            <w:tcW w:w="539" w:type="pct"/>
            <w:tcBorders>
              <w:top w:val="nil"/>
              <w:left w:val="nil"/>
              <w:bottom w:val="single" w:sz="4" w:space="0" w:color="auto"/>
              <w:right w:val="single" w:sz="4" w:space="0" w:color="auto"/>
            </w:tcBorders>
            <w:shd w:val="clear" w:color="auto" w:fill="auto"/>
            <w:noWrap/>
            <w:vAlign w:val="bottom"/>
            <w:hideMark/>
          </w:tcPr>
          <w:p w14:paraId="216CB0EF"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4,0%</w:t>
            </w:r>
          </w:p>
        </w:tc>
        <w:tc>
          <w:tcPr>
            <w:tcW w:w="539" w:type="pct"/>
            <w:tcBorders>
              <w:top w:val="nil"/>
              <w:left w:val="nil"/>
              <w:bottom w:val="single" w:sz="4" w:space="0" w:color="auto"/>
              <w:right w:val="single" w:sz="4" w:space="0" w:color="auto"/>
            </w:tcBorders>
            <w:shd w:val="clear" w:color="auto" w:fill="auto"/>
            <w:noWrap/>
            <w:vAlign w:val="bottom"/>
            <w:hideMark/>
          </w:tcPr>
          <w:p w14:paraId="61CC7F9D"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-8,1%</w:t>
            </w:r>
          </w:p>
        </w:tc>
      </w:tr>
      <w:tr w:rsidR="00D47324" w:rsidRPr="00D47324" w14:paraId="41101CEA"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63342BD2"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Calabria</w:t>
            </w:r>
          </w:p>
        </w:tc>
        <w:tc>
          <w:tcPr>
            <w:tcW w:w="364" w:type="pct"/>
            <w:tcBorders>
              <w:top w:val="nil"/>
              <w:left w:val="nil"/>
              <w:bottom w:val="single" w:sz="4" w:space="0" w:color="auto"/>
              <w:right w:val="single" w:sz="4" w:space="0" w:color="auto"/>
            </w:tcBorders>
            <w:shd w:val="clear" w:color="auto" w:fill="auto"/>
            <w:noWrap/>
            <w:vAlign w:val="bottom"/>
            <w:hideMark/>
          </w:tcPr>
          <w:p w14:paraId="6381F7B8"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1.504</w:t>
            </w:r>
          </w:p>
        </w:tc>
        <w:tc>
          <w:tcPr>
            <w:tcW w:w="416" w:type="pct"/>
            <w:tcBorders>
              <w:top w:val="nil"/>
              <w:left w:val="nil"/>
              <w:bottom w:val="single" w:sz="4" w:space="0" w:color="auto"/>
              <w:right w:val="single" w:sz="4" w:space="0" w:color="auto"/>
            </w:tcBorders>
            <w:shd w:val="clear" w:color="auto" w:fill="auto"/>
            <w:noWrap/>
            <w:vAlign w:val="bottom"/>
            <w:hideMark/>
          </w:tcPr>
          <w:p w14:paraId="0C094548"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29.377</w:t>
            </w:r>
          </w:p>
        </w:tc>
        <w:tc>
          <w:tcPr>
            <w:tcW w:w="311" w:type="pct"/>
            <w:tcBorders>
              <w:top w:val="nil"/>
              <w:left w:val="nil"/>
              <w:bottom w:val="single" w:sz="4" w:space="0" w:color="auto"/>
              <w:right w:val="single" w:sz="4" w:space="0" w:color="auto"/>
            </w:tcBorders>
            <w:shd w:val="clear" w:color="auto" w:fill="auto"/>
            <w:noWrap/>
            <w:vAlign w:val="bottom"/>
            <w:hideMark/>
          </w:tcPr>
          <w:p w14:paraId="5AB3A329"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68</w:t>
            </w:r>
          </w:p>
        </w:tc>
        <w:tc>
          <w:tcPr>
            <w:tcW w:w="364" w:type="pct"/>
            <w:tcBorders>
              <w:top w:val="nil"/>
              <w:left w:val="nil"/>
              <w:bottom w:val="single" w:sz="4" w:space="0" w:color="auto"/>
              <w:right w:val="single" w:sz="4" w:space="0" w:color="auto"/>
            </w:tcBorders>
            <w:shd w:val="clear" w:color="auto" w:fill="auto"/>
            <w:noWrap/>
            <w:vAlign w:val="bottom"/>
            <w:hideMark/>
          </w:tcPr>
          <w:p w14:paraId="38874B17"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1.813</w:t>
            </w:r>
          </w:p>
        </w:tc>
        <w:tc>
          <w:tcPr>
            <w:tcW w:w="355" w:type="pct"/>
            <w:tcBorders>
              <w:top w:val="nil"/>
              <w:left w:val="nil"/>
              <w:bottom w:val="single" w:sz="4" w:space="0" w:color="auto"/>
              <w:right w:val="single" w:sz="4" w:space="0" w:color="auto"/>
            </w:tcBorders>
            <w:shd w:val="clear" w:color="auto" w:fill="auto"/>
            <w:noWrap/>
            <w:vAlign w:val="bottom"/>
            <w:hideMark/>
          </w:tcPr>
          <w:p w14:paraId="39587A1D"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12</w:t>
            </w:r>
          </w:p>
        </w:tc>
        <w:tc>
          <w:tcPr>
            <w:tcW w:w="347" w:type="pct"/>
            <w:tcBorders>
              <w:top w:val="nil"/>
              <w:left w:val="nil"/>
              <w:bottom w:val="single" w:sz="4" w:space="0" w:color="auto"/>
              <w:right w:val="single" w:sz="4" w:space="0" w:color="auto"/>
            </w:tcBorders>
            <w:shd w:val="clear" w:color="auto" w:fill="auto"/>
            <w:noWrap/>
            <w:vAlign w:val="bottom"/>
            <w:hideMark/>
          </w:tcPr>
          <w:p w14:paraId="12516C5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861</w:t>
            </w:r>
          </w:p>
        </w:tc>
        <w:tc>
          <w:tcPr>
            <w:tcW w:w="364" w:type="pct"/>
            <w:tcBorders>
              <w:top w:val="nil"/>
              <w:left w:val="nil"/>
              <w:bottom w:val="single" w:sz="4" w:space="0" w:color="auto"/>
              <w:right w:val="single" w:sz="4" w:space="0" w:color="auto"/>
            </w:tcBorders>
            <w:shd w:val="clear" w:color="auto" w:fill="auto"/>
            <w:noWrap/>
            <w:vAlign w:val="bottom"/>
            <w:hideMark/>
          </w:tcPr>
          <w:p w14:paraId="58B5720F"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1.584</w:t>
            </w:r>
          </w:p>
        </w:tc>
        <w:tc>
          <w:tcPr>
            <w:tcW w:w="490" w:type="pct"/>
            <w:tcBorders>
              <w:top w:val="nil"/>
              <w:left w:val="nil"/>
              <w:bottom w:val="single" w:sz="4" w:space="0" w:color="auto"/>
              <w:right w:val="single" w:sz="4" w:space="0" w:color="auto"/>
            </w:tcBorders>
            <w:shd w:val="clear" w:color="auto" w:fill="auto"/>
            <w:noWrap/>
            <w:vAlign w:val="bottom"/>
            <w:hideMark/>
          </w:tcPr>
          <w:p w14:paraId="43E59559"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32.051</w:t>
            </w:r>
          </w:p>
        </w:tc>
        <w:tc>
          <w:tcPr>
            <w:tcW w:w="539" w:type="pct"/>
            <w:tcBorders>
              <w:top w:val="nil"/>
              <w:left w:val="nil"/>
              <w:bottom w:val="single" w:sz="4" w:space="0" w:color="auto"/>
              <w:right w:val="single" w:sz="4" w:space="0" w:color="auto"/>
            </w:tcBorders>
            <w:shd w:val="clear" w:color="auto" w:fill="auto"/>
            <w:noWrap/>
            <w:vAlign w:val="bottom"/>
            <w:hideMark/>
          </w:tcPr>
          <w:p w14:paraId="599F406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4,7%</w:t>
            </w:r>
          </w:p>
        </w:tc>
        <w:tc>
          <w:tcPr>
            <w:tcW w:w="539" w:type="pct"/>
            <w:tcBorders>
              <w:top w:val="nil"/>
              <w:left w:val="nil"/>
              <w:bottom w:val="single" w:sz="4" w:space="0" w:color="auto"/>
              <w:right w:val="single" w:sz="4" w:space="0" w:color="auto"/>
            </w:tcBorders>
            <w:shd w:val="clear" w:color="auto" w:fill="auto"/>
            <w:noWrap/>
            <w:vAlign w:val="bottom"/>
            <w:hideMark/>
          </w:tcPr>
          <w:p w14:paraId="4D75F3A0"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-2,0%</w:t>
            </w:r>
          </w:p>
        </w:tc>
      </w:tr>
      <w:tr w:rsidR="00D47324" w:rsidRPr="00D47324" w14:paraId="035AFCAE"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2232040B"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Campania</w:t>
            </w:r>
          </w:p>
        </w:tc>
        <w:tc>
          <w:tcPr>
            <w:tcW w:w="364" w:type="pct"/>
            <w:tcBorders>
              <w:top w:val="nil"/>
              <w:left w:val="nil"/>
              <w:bottom w:val="single" w:sz="4" w:space="0" w:color="auto"/>
              <w:right w:val="single" w:sz="4" w:space="0" w:color="auto"/>
            </w:tcBorders>
            <w:shd w:val="clear" w:color="auto" w:fill="auto"/>
            <w:noWrap/>
            <w:vAlign w:val="bottom"/>
            <w:hideMark/>
          </w:tcPr>
          <w:p w14:paraId="73D1D4F6"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3.607</w:t>
            </w:r>
          </w:p>
        </w:tc>
        <w:tc>
          <w:tcPr>
            <w:tcW w:w="416" w:type="pct"/>
            <w:tcBorders>
              <w:top w:val="nil"/>
              <w:left w:val="nil"/>
              <w:bottom w:val="single" w:sz="4" w:space="0" w:color="auto"/>
              <w:right w:val="single" w:sz="4" w:space="0" w:color="auto"/>
            </w:tcBorders>
            <w:shd w:val="clear" w:color="auto" w:fill="auto"/>
            <w:noWrap/>
            <w:vAlign w:val="bottom"/>
            <w:hideMark/>
          </w:tcPr>
          <w:p w14:paraId="53E3DFB2"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57.082</w:t>
            </w:r>
          </w:p>
        </w:tc>
        <w:tc>
          <w:tcPr>
            <w:tcW w:w="311" w:type="pct"/>
            <w:tcBorders>
              <w:top w:val="nil"/>
              <w:left w:val="nil"/>
              <w:bottom w:val="single" w:sz="4" w:space="0" w:color="auto"/>
              <w:right w:val="single" w:sz="4" w:space="0" w:color="auto"/>
            </w:tcBorders>
            <w:shd w:val="clear" w:color="auto" w:fill="auto"/>
            <w:noWrap/>
            <w:vAlign w:val="bottom"/>
            <w:hideMark/>
          </w:tcPr>
          <w:p w14:paraId="68099317"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150</w:t>
            </w:r>
          </w:p>
        </w:tc>
        <w:tc>
          <w:tcPr>
            <w:tcW w:w="364" w:type="pct"/>
            <w:tcBorders>
              <w:top w:val="nil"/>
              <w:left w:val="nil"/>
              <w:bottom w:val="single" w:sz="4" w:space="0" w:color="auto"/>
              <w:right w:val="single" w:sz="4" w:space="0" w:color="auto"/>
            </w:tcBorders>
            <w:shd w:val="clear" w:color="auto" w:fill="auto"/>
            <w:noWrap/>
            <w:vAlign w:val="bottom"/>
            <w:hideMark/>
          </w:tcPr>
          <w:p w14:paraId="525CDAFB"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3.372</w:t>
            </w:r>
          </w:p>
        </w:tc>
        <w:tc>
          <w:tcPr>
            <w:tcW w:w="355" w:type="pct"/>
            <w:tcBorders>
              <w:top w:val="nil"/>
              <w:left w:val="nil"/>
              <w:bottom w:val="single" w:sz="4" w:space="0" w:color="auto"/>
              <w:right w:val="single" w:sz="4" w:space="0" w:color="auto"/>
            </w:tcBorders>
            <w:shd w:val="clear" w:color="auto" w:fill="auto"/>
            <w:noWrap/>
            <w:vAlign w:val="bottom"/>
            <w:hideMark/>
          </w:tcPr>
          <w:p w14:paraId="4F49B22A"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10</w:t>
            </w:r>
          </w:p>
        </w:tc>
        <w:tc>
          <w:tcPr>
            <w:tcW w:w="347" w:type="pct"/>
            <w:tcBorders>
              <w:top w:val="nil"/>
              <w:left w:val="nil"/>
              <w:bottom w:val="single" w:sz="4" w:space="0" w:color="auto"/>
              <w:right w:val="single" w:sz="4" w:space="0" w:color="auto"/>
            </w:tcBorders>
            <w:shd w:val="clear" w:color="auto" w:fill="auto"/>
            <w:noWrap/>
            <w:vAlign w:val="bottom"/>
            <w:hideMark/>
          </w:tcPr>
          <w:p w14:paraId="5944CD1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1.110</w:t>
            </w:r>
          </w:p>
        </w:tc>
        <w:tc>
          <w:tcPr>
            <w:tcW w:w="364" w:type="pct"/>
            <w:tcBorders>
              <w:top w:val="nil"/>
              <w:left w:val="nil"/>
              <w:bottom w:val="single" w:sz="4" w:space="0" w:color="auto"/>
              <w:right w:val="single" w:sz="4" w:space="0" w:color="auto"/>
            </w:tcBorders>
            <w:shd w:val="clear" w:color="auto" w:fill="auto"/>
            <w:noWrap/>
            <w:vAlign w:val="bottom"/>
            <w:hideMark/>
          </w:tcPr>
          <w:p w14:paraId="3F7C273F"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3.767</w:t>
            </w:r>
          </w:p>
        </w:tc>
        <w:tc>
          <w:tcPr>
            <w:tcW w:w="490" w:type="pct"/>
            <w:tcBorders>
              <w:top w:val="nil"/>
              <w:left w:val="nil"/>
              <w:bottom w:val="single" w:sz="4" w:space="0" w:color="auto"/>
              <w:right w:val="single" w:sz="4" w:space="0" w:color="auto"/>
            </w:tcBorders>
            <w:shd w:val="clear" w:color="auto" w:fill="auto"/>
            <w:noWrap/>
            <w:vAlign w:val="bottom"/>
            <w:hideMark/>
          </w:tcPr>
          <w:p w14:paraId="18FA7175"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61.564</w:t>
            </w:r>
          </w:p>
        </w:tc>
        <w:tc>
          <w:tcPr>
            <w:tcW w:w="539" w:type="pct"/>
            <w:tcBorders>
              <w:top w:val="nil"/>
              <w:left w:val="nil"/>
              <w:bottom w:val="single" w:sz="4" w:space="0" w:color="auto"/>
              <w:right w:val="single" w:sz="4" w:space="0" w:color="auto"/>
            </w:tcBorders>
            <w:shd w:val="clear" w:color="auto" w:fill="auto"/>
            <w:noWrap/>
            <w:vAlign w:val="bottom"/>
            <w:hideMark/>
          </w:tcPr>
          <w:p w14:paraId="5ADF599D"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-0,3%</w:t>
            </w:r>
          </w:p>
        </w:tc>
        <w:tc>
          <w:tcPr>
            <w:tcW w:w="539" w:type="pct"/>
            <w:tcBorders>
              <w:top w:val="nil"/>
              <w:left w:val="nil"/>
              <w:bottom w:val="single" w:sz="4" w:space="0" w:color="auto"/>
              <w:right w:val="single" w:sz="4" w:space="0" w:color="auto"/>
            </w:tcBorders>
            <w:shd w:val="clear" w:color="auto" w:fill="auto"/>
            <w:noWrap/>
            <w:vAlign w:val="bottom"/>
            <w:hideMark/>
          </w:tcPr>
          <w:p w14:paraId="457DBA25"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-14,6%</w:t>
            </w:r>
          </w:p>
        </w:tc>
      </w:tr>
      <w:tr w:rsidR="00D47324" w:rsidRPr="00D47324" w14:paraId="6E1EAE8B"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549C4D84"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Emilia-Romagna</w:t>
            </w:r>
          </w:p>
        </w:tc>
        <w:tc>
          <w:tcPr>
            <w:tcW w:w="364" w:type="pct"/>
            <w:tcBorders>
              <w:top w:val="nil"/>
              <w:left w:val="nil"/>
              <w:bottom w:val="single" w:sz="4" w:space="0" w:color="auto"/>
              <w:right w:val="single" w:sz="4" w:space="0" w:color="auto"/>
            </w:tcBorders>
            <w:shd w:val="clear" w:color="auto" w:fill="auto"/>
            <w:noWrap/>
            <w:vAlign w:val="bottom"/>
            <w:hideMark/>
          </w:tcPr>
          <w:p w14:paraId="0B56A489"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1.233</w:t>
            </w:r>
          </w:p>
        </w:tc>
        <w:tc>
          <w:tcPr>
            <w:tcW w:w="416" w:type="pct"/>
            <w:tcBorders>
              <w:top w:val="nil"/>
              <w:left w:val="nil"/>
              <w:bottom w:val="single" w:sz="4" w:space="0" w:color="auto"/>
              <w:right w:val="single" w:sz="4" w:space="0" w:color="auto"/>
            </w:tcBorders>
            <w:shd w:val="clear" w:color="auto" w:fill="auto"/>
            <w:noWrap/>
            <w:vAlign w:val="bottom"/>
            <w:hideMark/>
          </w:tcPr>
          <w:p w14:paraId="15F2DE9C"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43.449</w:t>
            </w:r>
          </w:p>
        </w:tc>
        <w:tc>
          <w:tcPr>
            <w:tcW w:w="311" w:type="pct"/>
            <w:tcBorders>
              <w:top w:val="nil"/>
              <w:left w:val="nil"/>
              <w:bottom w:val="single" w:sz="4" w:space="0" w:color="auto"/>
              <w:right w:val="single" w:sz="4" w:space="0" w:color="auto"/>
            </w:tcBorders>
            <w:shd w:val="clear" w:color="auto" w:fill="auto"/>
            <w:noWrap/>
            <w:vAlign w:val="bottom"/>
            <w:hideMark/>
          </w:tcPr>
          <w:p w14:paraId="2152BB0D"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319</w:t>
            </w:r>
          </w:p>
        </w:tc>
        <w:tc>
          <w:tcPr>
            <w:tcW w:w="364" w:type="pct"/>
            <w:tcBorders>
              <w:top w:val="nil"/>
              <w:left w:val="nil"/>
              <w:bottom w:val="single" w:sz="4" w:space="0" w:color="auto"/>
              <w:right w:val="single" w:sz="4" w:space="0" w:color="auto"/>
            </w:tcBorders>
            <w:shd w:val="clear" w:color="auto" w:fill="auto"/>
            <w:noWrap/>
            <w:vAlign w:val="bottom"/>
            <w:hideMark/>
          </w:tcPr>
          <w:p w14:paraId="7DDE93EC"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11.067</w:t>
            </w:r>
          </w:p>
        </w:tc>
        <w:tc>
          <w:tcPr>
            <w:tcW w:w="355" w:type="pct"/>
            <w:tcBorders>
              <w:top w:val="nil"/>
              <w:left w:val="nil"/>
              <w:bottom w:val="single" w:sz="4" w:space="0" w:color="auto"/>
              <w:right w:val="single" w:sz="4" w:space="0" w:color="auto"/>
            </w:tcBorders>
            <w:shd w:val="clear" w:color="auto" w:fill="auto"/>
            <w:noWrap/>
            <w:vAlign w:val="bottom"/>
            <w:hideMark/>
          </w:tcPr>
          <w:p w14:paraId="5EDDB965"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6</w:t>
            </w:r>
          </w:p>
        </w:tc>
        <w:tc>
          <w:tcPr>
            <w:tcW w:w="347" w:type="pct"/>
            <w:tcBorders>
              <w:top w:val="nil"/>
              <w:left w:val="nil"/>
              <w:bottom w:val="single" w:sz="4" w:space="0" w:color="auto"/>
              <w:right w:val="single" w:sz="4" w:space="0" w:color="auto"/>
            </w:tcBorders>
            <w:shd w:val="clear" w:color="auto" w:fill="auto"/>
            <w:noWrap/>
            <w:vAlign w:val="bottom"/>
            <w:hideMark/>
          </w:tcPr>
          <w:p w14:paraId="7B1E50D9"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650</w:t>
            </w:r>
          </w:p>
        </w:tc>
        <w:tc>
          <w:tcPr>
            <w:tcW w:w="364" w:type="pct"/>
            <w:tcBorders>
              <w:top w:val="nil"/>
              <w:left w:val="nil"/>
              <w:bottom w:val="single" w:sz="4" w:space="0" w:color="auto"/>
              <w:right w:val="single" w:sz="4" w:space="0" w:color="auto"/>
            </w:tcBorders>
            <w:shd w:val="clear" w:color="auto" w:fill="auto"/>
            <w:noWrap/>
            <w:vAlign w:val="bottom"/>
            <w:hideMark/>
          </w:tcPr>
          <w:p w14:paraId="55108A05"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1.558</w:t>
            </w:r>
          </w:p>
        </w:tc>
        <w:tc>
          <w:tcPr>
            <w:tcW w:w="490" w:type="pct"/>
            <w:tcBorders>
              <w:top w:val="nil"/>
              <w:left w:val="nil"/>
              <w:bottom w:val="single" w:sz="4" w:space="0" w:color="auto"/>
              <w:right w:val="single" w:sz="4" w:space="0" w:color="auto"/>
            </w:tcBorders>
            <w:shd w:val="clear" w:color="auto" w:fill="auto"/>
            <w:noWrap/>
            <w:vAlign w:val="bottom"/>
            <w:hideMark/>
          </w:tcPr>
          <w:p w14:paraId="768BBEF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55.166</w:t>
            </w:r>
          </w:p>
        </w:tc>
        <w:tc>
          <w:tcPr>
            <w:tcW w:w="539" w:type="pct"/>
            <w:tcBorders>
              <w:top w:val="nil"/>
              <w:left w:val="nil"/>
              <w:bottom w:val="single" w:sz="4" w:space="0" w:color="auto"/>
              <w:right w:val="single" w:sz="4" w:space="0" w:color="auto"/>
            </w:tcBorders>
            <w:shd w:val="clear" w:color="auto" w:fill="auto"/>
            <w:noWrap/>
            <w:vAlign w:val="bottom"/>
            <w:hideMark/>
          </w:tcPr>
          <w:p w14:paraId="6A29680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-5,3%</w:t>
            </w:r>
          </w:p>
        </w:tc>
        <w:tc>
          <w:tcPr>
            <w:tcW w:w="539" w:type="pct"/>
            <w:tcBorders>
              <w:top w:val="nil"/>
              <w:left w:val="nil"/>
              <w:bottom w:val="single" w:sz="4" w:space="0" w:color="auto"/>
              <w:right w:val="single" w:sz="4" w:space="0" w:color="auto"/>
            </w:tcBorders>
            <w:shd w:val="clear" w:color="auto" w:fill="auto"/>
            <w:noWrap/>
            <w:vAlign w:val="bottom"/>
            <w:hideMark/>
          </w:tcPr>
          <w:p w14:paraId="51881F1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-18,2%</w:t>
            </w:r>
          </w:p>
        </w:tc>
      </w:tr>
      <w:tr w:rsidR="00D47324" w:rsidRPr="00D47324" w14:paraId="74F24E55"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2A1AF2DF"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Friuli-Venezia Giulia</w:t>
            </w:r>
          </w:p>
        </w:tc>
        <w:tc>
          <w:tcPr>
            <w:tcW w:w="364" w:type="pct"/>
            <w:tcBorders>
              <w:top w:val="nil"/>
              <w:left w:val="nil"/>
              <w:bottom w:val="single" w:sz="4" w:space="0" w:color="auto"/>
              <w:right w:val="single" w:sz="4" w:space="0" w:color="auto"/>
            </w:tcBorders>
            <w:shd w:val="clear" w:color="auto" w:fill="auto"/>
            <w:noWrap/>
            <w:vAlign w:val="bottom"/>
            <w:hideMark/>
          </w:tcPr>
          <w:p w14:paraId="66E42FE6"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413</w:t>
            </w:r>
          </w:p>
        </w:tc>
        <w:tc>
          <w:tcPr>
            <w:tcW w:w="416" w:type="pct"/>
            <w:tcBorders>
              <w:top w:val="nil"/>
              <w:left w:val="nil"/>
              <w:bottom w:val="single" w:sz="4" w:space="0" w:color="auto"/>
              <w:right w:val="single" w:sz="4" w:space="0" w:color="auto"/>
            </w:tcBorders>
            <w:shd w:val="clear" w:color="auto" w:fill="auto"/>
            <w:noWrap/>
            <w:vAlign w:val="bottom"/>
            <w:hideMark/>
          </w:tcPr>
          <w:p w14:paraId="5B0E710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11.015</w:t>
            </w:r>
          </w:p>
        </w:tc>
        <w:tc>
          <w:tcPr>
            <w:tcW w:w="311" w:type="pct"/>
            <w:tcBorders>
              <w:top w:val="nil"/>
              <w:left w:val="nil"/>
              <w:bottom w:val="single" w:sz="4" w:space="0" w:color="auto"/>
              <w:right w:val="single" w:sz="4" w:space="0" w:color="auto"/>
            </w:tcBorders>
            <w:shd w:val="clear" w:color="auto" w:fill="auto"/>
            <w:noWrap/>
            <w:vAlign w:val="bottom"/>
            <w:hideMark/>
          </w:tcPr>
          <w:p w14:paraId="54141282"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84</w:t>
            </w:r>
          </w:p>
        </w:tc>
        <w:tc>
          <w:tcPr>
            <w:tcW w:w="364" w:type="pct"/>
            <w:tcBorders>
              <w:top w:val="nil"/>
              <w:left w:val="nil"/>
              <w:bottom w:val="single" w:sz="4" w:space="0" w:color="auto"/>
              <w:right w:val="single" w:sz="4" w:space="0" w:color="auto"/>
            </w:tcBorders>
            <w:shd w:val="clear" w:color="auto" w:fill="auto"/>
            <w:noWrap/>
            <w:vAlign w:val="bottom"/>
            <w:hideMark/>
          </w:tcPr>
          <w:p w14:paraId="2116D8B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2.212</w:t>
            </w:r>
          </w:p>
        </w:tc>
        <w:tc>
          <w:tcPr>
            <w:tcW w:w="355" w:type="pct"/>
            <w:tcBorders>
              <w:top w:val="nil"/>
              <w:left w:val="nil"/>
              <w:bottom w:val="single" w:sz="4" w:space="0" w:color="auto"/>
              <w:right w:val="single" w:sz="4" w:space="0" w:color="auto"/>
            </w:tcBorders>
            <w:shd w:val="clear" w:color="auto" w:fill="auto"/>
            <w:noWrap/>
            <w:vAlign w:val="bottom"/>
            <w:hideMark/>
          </w:tcPr>
          <w:p w14:paraId="04840BD8"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w:t>
            </w:r>
          </w:p>
        </w:tc>
        <w:tc>
          <w:tcPr>
            <w:tcW w:w="347" w:type="pct"/>
            <w:tcBorders>
              <w:top w:val="nil"/>
              <w:left w:val="nil"/>
              <w:bottom w:val="single" w:sz="4" w:space="0" w:color="auto"/>
              <w:right w:val="single" w:sz="4" w:space="0" w:color="auto"/>
            </w:tcBorders>
            <w:shd w:val="clear" w:color="auto" w:fill="auto"/>
            <w:noWrap/>
            <w:vAlign w:val="bottom"/>
            <w:hideMark/>
          </w:tcPr>
          <w:p w14:paraId="58C71584"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179</w:t>
            </w:r>
          </w:p>
        </w:tc>
        <w:tc>
          <w:tcPr>
            <w:tcW w:w="364" w:type="pct"/>
            <w:tcBorders>
              <w:top w:val="nil"/>
              <w:left w:val="nil"/>
              <w:bottom w:val="single" w:sz="4" w:space="0" w:color="auto"/>
              <w:right w:val="single" w:sz="4" w:space="0" w:color="auto"/>
            </w:tcBorders>
            <w:shd w:val="clear" w:color="auto" w:fill="auto"/>
            <w:noWrap/>
            <w:vAlign w:val="bottom"/>
            <w:hideMark/>
          </w:tcPr>
          <w:p w14:paraId="68913DB2"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500</w:t>
            </w:r>
          </w:p>
        </w:tc>
        <w:tc>
          <w:tcPr>
            <w:tcW w:w="490" w:type="pct"/>
            <w:tcBorders>
              <w:top w:val="nil"/>
              <w:left w:val="nil"/>
              <w:bottom w:val="single" w:sz="4" w:space="0" w:color="auto"/>
              <w:right w:val="single" w:sz="4" w:space="0" w:color="auto"/>
            </w:tcBorders>
            <w:shd w:val="clear" w:color="auto" w:fill="auto"/>
            <w:noWrap/>
            <w:vAlign w:val="bottom"/>
            <w:hideMark/>
          </w:tcPr>
          <w:p w14:paraId="26F8C037"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13.406</w:t>
            </w:r>
          </w:p>
        </w:tc>
        <w:tc>
          <w:tcPr>
            <w:tcW w:w="539" w:type="pct"/>
            <w:tcBorders>
              <w:top w:val="nil"/>
              <w:left w:val="nil"/>
              <w:bottom w:val="single" w:sz="4" w:space="0" w:color="auto"/>
              <w:right w:val="single" w:sz="4" w:space="0" w:color="auto"/>
            </w:tcBorders>
            <w:shd w:val="clear" w:color="auto" w:fill="auto"/>
            <w:noWrap/>
            <w:vAlign w:val="bottom"/>
            <w:hideMark/>
          </w:tcPr>
          <w:p w14:paraId="2FF2BCB2"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-4,7%</w:t>
            </w:r>
          </w:p>
        </w:tc>
        <w:tc>
          <w:tcPr>
            <w:tcW w:w="539" w:type="pct"/>
            <w:tcBorders>
              <w:top w:val="nil"/>
              <w:left w:val="nil"/>
              <w:bottom w:val="single" w:sz="4" w:space="0" w:color="auto"/>
              <w:right w:val="single" w:sz="4" w:space="0" w:color="auto"/>
            </w:tcBorders>
            <w:shd w:val="clear" w:color="auto" w:fill="auto"/>
            <w:noWrap/>
            <w:vAlign w:val="bottom"/>
            <w:hideMark/>
          </w:tcPr>
          <w:p w14:paraId="0E3DD3C8"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-24,3%</w:t>
            </w:r>
          </w:p>
        </w:tc>
      </w:tr>
      <w:tr w:rsidR="00D47324" w:rsidRPr="00D47324" w14:paraId="4891A3BB"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0EB4194E"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Lazio</w:t>
            </w:r>
          </w:p>
        </w:tc>
        <w:tc>
          <w:tcPr>
            <w:tcW w:w="364" w:type="pct"/>
            <w:tcBorders>
              <w:top w:val="nil"/>
              <w:left w:val="nil"/>
              <w:bottom w:val="single" w:sz="4" w:space="0" w:color="auto"/>
              <w:right w:val="single" w:sz="4" w:space="0" w:color="auto"/>
            </w:tcBorders>
            <w:shd w:val="clear" w:color="auto" w:fill="auto"/>
            <w:noWrap/>
            <w:vAlign w:val="bottom"/>
            <w:hideMark/>
          </w:tcPr>
          <w:p w14:paraId="2E3B73B8"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1.205</w:t>
            </w:r>
          </w:p>
        </w:tc>
        <w:tc>
          <w:tcPr>
            <w:tcW w:w="416" w:type="pct"/>
            <w:tcBorders>
              <w:top w:val="nil"/>
              <w:left w:val="nil"/>
              <w:bottom w:val="single" w:sz="4" w:space="0" w:color="auto"/>
              <w:right w:val="single" w:sz="4" w:space="0" w:color="auto"/>
            </w:tcBorders>
            <w:shd w:val="clear" w:color="auto" w:fill="auto"/>
            <w:noWrap/>
            <w:vAlign w:val="bottom"/>
            <w:hideMark/>
          </w:tcPr>
          <w:p w14:paraId="39D31E07"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36.857</w:t>
            </w:r>
          </w:p>
        </w:tc>
        <w:tc>
          <w:tcPr>
            <w:tcW w:w="311" w:type="pct"/>
            <w:tcBorders>
              <w:top w:val="nil"/>
              <w:left w:val="nil"/>
              <w:bottom w:val="single" w:sz="4" w:space="0" w:color="auto"/>
              <w:right w:val="single" w:sz="4" w:space="0" w:color="auto"/>
            </w:tcBorders>
            <w:shd w:val="clear" w:color="auto" w:fill="auto"/>
            <w:noWrap/>
            <w:vAlign w:val="bottom"/>
            <w:hideMark/>
          </w:tcPr>
          <w:p w14:paraId="7333D79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213</w:t>
            </w:r>
          </w:p>
        </w:tc>
        <w:tc>
          <w:tcPr>
            <w:tcW w:w="364" w:type="pct"/>
            <w:tcBorders>
              <w:top w:val="nil"/>
              <w:left w:val="nil"/>
              <w:bottom w:val="single" w:sz="4" w:space="0" w:color="auto"/>
              <w:right w:val="single" w:sz="4" w:space="0" w:color="auto"/>
            </w:tcBorders>
            <w:shd w:val="clear" w:color="auto" w:fill="auto"/>
            <w:noWrap/>
            <w:vAlign w:val="bottom"/>
            <w:hideMark/>
          </w:tcPr>
          <w:p w14:paraId="26E3C9E0"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5.641</w:t>
            </w:r>
          </w:p>
        </w:tc>
        <w:tc>
          <w:tcPr>
            <w:tcW w:w="355" w:type="pct"/>
            <w:tcBorders>
              <w:top w:val="nil"/>
              <w:left w:val="nil"/>
              <w:bottom w:val="single" w:sz="4" w:space="0" w:color="auto"/>
              <w:right w:val="single" w:sz="4" w:space="0" w:color="auto"/>
            </w:tcBorders>
            <w:shd w:val="clear" w:color="auto" w:fill="auto"/>
            <w:noWrap/>
            <w:vAlign w:val="bottom"/>
            <w:hideMark/>
          </w:tcPr>
          <w:p w14:paraId="0BC46B6C"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7</w:t>
            </w:r>
          </w:p>
        </w:tc>
        <w:tc>
          <w:tcPr>
            <w:tcW w:w="347" w:type="pct"/>
            <w:tcBorders>
              <w:top w:val="nil"/>
              <w:left w:val="nil"/>
              <w:bottom w:val="single" w:sz="4" w:space="0" w:color="auto"/>
              <w:right w:val="single" w:sz="4" w:space="0" w:color="auto"/>
            </w:tcBorders>
            <w:shd w:val="clear" w:color="auto" w:fill="auto"/>
            <w:noWrap/>
            <w:vAlign w:val="bottom"/>
            <w:hideMark/>
          </w:tcPr>
          <w:p w14:paraId="0959C7EF"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866</w:t>
            </w:r>
          </w:p>
        </w:tc>
        <w:tc>
          <w:tcPr>
            <w:tcW w:w="364" w:type="pct"/>
            <w:tcBorders>
              <w:top w:val="nil"/>
              <w:left w:val="nil"/>
              <w:bottom w:val="single" w:sz="4" w:space="0" w:color="auto"/>
              <w:right w:val="single" w:sz="4" w:space="0" w:color="auto"/>
            </w:tcBorders>
            <w:shd w:val="clear" w:color="auto" w:fill="auto"/>
            <w:noWrap/>
            <w:vAlign w:val="bottom"/>
            <w:hideMark/>
          </w:tcPr>
          <w:p w14:paraId="5457CA0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1.425</w:t>
            </w:r>
          </w:p>
        </w:tc>
        <w:tc>
          <w:tcPr>
            <w:tcW w:w="490" w:type="pct"/>
            <w:tcBorders>
              <w:top w:val="nil"/>
              <w:left w:val="nil"/>
              <w:bottom w:val="single" w:sz="4" w:space="0" w:color="auto"/>
              <w:right w:val="single" w:sz="4" w:space="0" w:color="auto"/>
            </w:tcBorders>
            <w:shd w:val="clear" w:color="auto" w:fill="auto"/>
            <w:noWrap/>
            <w:vAlign w:val="bottom"/>
            <w:hideMark/>
          </w:tcPr>
          <w:p w14:paraId="46EF57B2"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43.364</w:t>
            </w:r>
          </w:p>
        </w:tc>
        <w:tc>
          <w:tcPr>
            <w:tcW w:w="539" w:type="pct"/>
            <w:tcBorders>
              <w:top w:val="nil"/>
              <w:left w:val="nil"/>
              <w:bottom w:val="single" w:sz="4" w:space="0" w:color="auto"/>
              <w:right w:val="single" w:sz="4" w:space="0" w:color="auto"/>
            </w:tcBorders>
            <w:shd w:val="clear" w:color="auto" w:fill="auto"/>
            <w:noWrap/>
            <w:vAlign w:val="bottom"/>
            <w:hideMark/>
          </w:tcPr>
          <w:p w14:paraId="670434FB"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0,1%</w:t>
            </w:r>
          </w:p>
        </w:tc>
        <w:tc>
          <w:tcPr>
            <w:tcW w:w="539" w:type="pct"/>
            <w:tcBorders>
              <w:top w:val="nil"/>
              <w:left w:val="nil"/>
              <w:bottom w:val="single" w:sz="4" w:space="0" w:color="auto"/>
              <w:right w:val="single" w:sz="4" w:space="0" w:color="auto"/>
            </w:tcBorders>
            <w:shd w:val="clear" w:color="auto" w:fill="auto"/>
            <w:noWrap/>
            <w:vAlign w:val="bottom"/>
            <w:hideMark/>
          </w:tcPr>
          <w:p w14:paraId="277181EA"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-10,1%</w:t>
            </w:r>
          </w:p>
        </w:tc>
      </w:tr>
      <w:tr w:rsidR="00D47324" w:rsidRPr="00D47324" w14:paraId="1ED9FF4E"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16431FD8"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Liguria</w:t>
            </w:r>
          </w:p>
        </w:tc>
        <w:tc>
          <w:tcPr>
            <w:tcW w:w="364" w:type="pct"/>
            <w:tcBorders>
              <w:top w:val="nil"/>
              <w:left w:val="nil"/>
              <w:bottom w:val="single" w:sz="4" w:space="0" w:color="auto"/>
              <w:right w:val="single" w:sz="4" w:space="0" w:color="auto"/>
            </w:tcBorders>
            <w:shd w:val="clear" w:color="auto" w:fill="auto"/>
            <w:noWrap/>
            <w:vAlign w:val="bottom"/>
            <w:hideMark/>
          </w:tcPr>
          <w:p w14:paraId="28294BF4"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417</w:t>
            </w:r>
          </w:p>
        </w:tc>
        <w:tc>
          <w:tcPr>
            <w:tcW w:w="416" w:type="pct"/>
            <w:tcBorders>
              <w:top w:val="nil"/>
              <w:left w:val="nil"/>
              <w:bottom w:val="single" w:sz="4" w:space="0" w:color="auto"/>
              <w:right w:val="single" w:sz="4" w:space="0" w:color="auto"/>
            </w:tcBorders>
            <w:shd w:val="clear" w:color="auto" w:fill="auto"/>
            <w:noWrap/>
            <w:vAlign w:val="bottom"/>
            <w:hideMark/>
          </w:tcPr>
          <w:p w14:paraId="5353A91B"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8.880</w:t>
            </w:r>
          </w:p>
        </w:tc>
        <w:tc>
          <w:tcPr>
            <w:tcW w:w="311" w:type="pct"/>
            <w:tcBorders>
              <w:top w:val="nil"/>
              <w:left w:val="nil"/>
              <w:bottom w:val="single" w:sz="4" w:space="0" w:color="auto"/>
              <w:right w:val="single" w:sz="4" w:space="0" w:color="auto"/>
            </w:tcBorders>
            <w:shd w:val="clear" w:color="auto" w:fill="auto"/>
            <w:noWrap/>
            <w:vAlign w:val="bottom"/>
            <w:hideMark/>
          </w:tcPr>
          <w:p w14:paraId="4B8B4600"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27</w:t>
            </w:r>
          </w:p>
        </w:tc>
        <w:tc>
          <w:tcPr>
            <w:tcW w:w="364" w:type="pct"/>
            <w:tcBorders>
              <w:top w:val="nil"/>
              <w:left w:val="nil"/>
              <w:bottom w:val="single" w:sz="4" w:space="0" w:color="auto"/>
              <w:right w:val="single" w:sz="4" w:space="0" w:color="auto"/>
            </w:tcBorders>
            <w:shd w:val="clear" w:color="auto" w:fill="auto"/>
            <w:noWrap/>
            <w:vAlign w:val="bottom"/>
            <w:hideMark/>
          </w:tcPr>
          <w:p w14:paraId="39095BFF"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752</w:t>
            </w:r>
          </w:p>
        </w:tc>
        <w:tc>
          <w:tcPr>
            <w:tcW w:w="355" w:type="pct"/>
            <w:tcBorders>
              <w:top w:val="nil"/>
              <w:left w:val="nil"/>
              <w:bottom w:val="single" w:sz="4" w:space="0" w:color="auto"/>
              <w:right w:val="single" w:sz="4" w:space="0" w:color="auto"/>
            </w:tcBorders>
            <w:shd w:val="clear" w:color="auto" w:fill="auto"/>
            <w:noWrap/>
            <w:vAlign w:val="bottom"/>
            <w:hideMark/>
          </w:tcPr>
          <w:p w14:paraId="371B11FD"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w:t>
            </w:r>
          </w:p>
        </w:tc>
        <w:tc>
          <w:tcPr>
            <w:tcW w:w="347" w:type="pct"/>
            <w:tcBorders>
              <w:top w:val="nil"/>
              <w:left w:val="nil"/>
              <w:bottom w:val="single" w:sz="4" w:space="0" w:color="auto"/>
              <w:right w:val="single" w:sz="4" w:space="0" w:color="auto"/>
            </w:tcBorders>
            <w:shd w:val="clear" w:color="auto" w:fill="auto"/>
            <w:noWrap/>
            <w:vAlign w:val="bottom"/>
            <w:hideMark/>
          </w:tcPr>
          <w:p w14:paraId="248DF446"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171</w:t>
            </w:r>
          </w:p>
        </w:tc>
        <w:tc>
          <w:tcPr>
            <w:tcW w:w="364" w:type="pct"/>
            <w:tcBorders>
              <w:top w:val="nil"/>
              <w:left w:val="nil"/>
              <w:bottom w:val="single" w:sz="4" w:space="0" w:color="auto"/>
              <w:right w:val="single" w:sz="4" w:space="0" w:color="auto"/>
            </w:tcBorders>
            <w:shd w:val="clear" w:color="auto" w:fill="auto"/>
            <w:noWrap/>
            <w:vAlign w:val="bottom"/>
            <w:hideMark/>
          </w:tcPr>
          <w:p w14:paraId="74E0E157"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445</w:t>
            </w:r>
          </w:p>
        </w:tc>
        <w:tc>
          <w:tcPr>
            <w:tcW w:w="490" w:type="pct"/>
            <w:tcBorders>
              <w:top w:val="nil"/>
              <w:left w:val="nil"/>
              <w:bottom w:val="single" w:sz="4" w:space="0" w:color="auto"/>
              <w:right w:val="single" w:sz="4" w:space="0" w:color="auto"/>
            </w:tcBorders>
            <w:shd w:val="clear" w:color="auto" w:fill="auto"/>
            <w:noWrap/>
            <w:vAlign w:val="bottom"/>
            <w:hideMark/>
          </w:tcPr>
          <w:p w14:paraId="7231C47B"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9.803</w:t>
            </w:r>
          </w:p>
        </w:tc>
        <w:tc>
          <w:tcPr>
            <w:tcW w:w="539" w:type="pct"/>
            <w:tcBorders>
              <w:top w:val="nil"/>
              <w:left w:val="nil"/>
              <w:bottom w:val="single" w:sz="4" w:space="0" w:color="auto"/>
              <w:right w:val="single" w:sz="4" w:space="0" w:color="auto"/>
            </w:tcBorders>
            <w:shd w:val="clear" w:color="auto" w:fill="auto"/>
            <w:noWrap/>
            <w:vAlign w:val="bottom"/>
            <w:hideMark/>
          </w:tcPr>
          <w:p w14:paraId="7A4BA8E0"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-1,7%</w:t>
            </w:r>
          </w:p>
        </w:tc>
        <w:tc>
          <w:tcPr>
            <w:tcW w:w="539" w:type="pct"/>
            <w:tcBorders>
              <w:top w:val="nil"/>
              <w:left w:val="nil"/>
              <w:bottom w:val="single" w:sz="4" w:space="0" w:color="auto"/>
              <w:right w:val="single" w:sz="4" w:space="0" w:color="auto"/>
            </w:tcBorders>
            <w:shd w:val="clear" w:color="auto" w:fill="auto"/>
            <w:noWrap/>
            <w:vAlign w:val="bottom"/>
            <w:hideMark/>
          </w:tcPr>
          <w:p w14:paraId="439AA5D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-21,7%</w:t>
            </w:r>
          </w:p>
        </w:tc>
      </w:tr>
      <w:tr w:rsidR="00D47324" w:rsidRPr="00D47324" w14:paraId="5E15956F"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2C241C05"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Lombardia</w:t>
            </w:r>
          </w:p>
        </w:tc>
        <w:tc>
          <w:tcPr>
            <w:tcW w:w="364" w:type="pct"/>
            <w:tcBorders>
              <w:top w:val="nil"/>
              <w:left w:val="nil"/>
              <w:bottom w:val="single" w:sz="4" w:space="0" w:color="auto"/>
              <w:right w:val="single" w:sz="4" w:space="0" w:color="auto"/>
            </w:tcBorders>
            <w:shd w:val="clear" w:color="auto" w:fill="auto"/>
            <w:noWrap/>
            <w:vAlign w:val="bottom"/>
            <w:hideMark/>
          </w:tcPr>
          <w:p w14:paraId="0053A6A4"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988</w:t>
            </w:r>
          </w:p>
        </w:tc>
        <w:tc>
          <w:tcPr>
            <w:tcW w:w="416" w:type="pct"/>
            <w:tcBorders>
              <w:top w:val="nil"/>
              <w:left w:val="nil"/>
              <w:bottom w:val="single" w:sz="4" w:space="0" w:color="auto"/>
              <w:right w:val="single" w:sz="4" w:space="0" w:color="auto"/>
            </w:tcBorders>
            <w:shd w:val="clear" w:color="auto" w:fill="auto"/>
            <w:noWrap/>
            <w:vAlign w:val="bottom"/>
            <w:hideMark/>
          </w:tcPr>
          <w:p w14:paraId="242C853F"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33.561</w:t>
            </w:r>
          </w:p>
        </w:tc>
        <w:tc>
          <w:tcPr>
            <w:tcW w:w="311" w:type="pct"/>
            <w:tcBorders>
              <w:top w:val="nil"/>
              <w:left w:val="nil"/>
              <w:bottom w:val="single" w:sz="4" w:space="0" w:color="auto"/>
              <w:right w:val="single" w:sz="4" w:space="0" w:color="auto"/>
            </w:tcBorders>
            <w:shd w:val="clear" w:color="auto" w:fill="auto"/>
            <w:noWrap/>
            <w:vAlign w:val="bottom"/>
            <w:hideMark/>
          </w:tcPr>
          <w:p w14:paraId="5B00870C"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276</w:t>
            </w:r>
          </w:p>
        </w:tc>
        <w:tc>
          <w:tcPr>
            <w:tcW w:w="364" w:type="pct"/>
            <w:tcBorders>
              <w:top w:val="nil"/>
              <w:left w:val="nil"/>
              <w:bottom w:val="single" w:sz="4" w:space="0" w:color="auto"/>
              <w:right w:val="single" w:sz="4" w:space="0" w:color="auto"/>
            </w:tcBorders>
            <w:shd w:val="clear" w:color="auto" w:fill="auto"/>
            <w:noWrap/>
            <w:vAlign w:val="bottom"/>
            <w:hideMark/>
          </w:tcPr>
          <w:p w14:paraId="3E49B25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11.982</w:t>
            </w:r>
          </w:p>
        </w:tc>
        <w:tc>
          <w:tcPr>
            <w:tcW w:w="355" w:type="pct"/>
            <w:tcBorders>
              <w:top w:val="nil"/>
              <w:left w:val="nil"/>
              <w:bottom w:val="single" w:sz="4" w:space="0" w:color="auto"/>
              <w:right w:val="single" w:sz="4" w:space="0" w:color="auto"/>
            </w:tcBorders>
            <w:shd w:val="clear" w:color="auto" w:fill="auto"/>
            <w:noWrap/>
            <w:vAlign w:val="bottom"/>
            <w:hideMark/>
          </w:tcPr>
          <w:p w14:paraId="2C4AE14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7</w:t>
            </w:r>
          </w:p>
        </w:tc>
        <w:tc>
          <w:tcPr>
            <w:tcW w:w="347" w:type="pct"/>
            <w:tcBorders>
              <w:top w:val="nil"/>
              <w:left w:val="nil"/>
              <w:bottom w:val="single" w:sz="4" w:space="0" w:color="auto"/>
              <w:right w:val="single" w:sz="4" w:space="0" w:color="auto"/>
            </w:tcBorders>
            <w:shd w:val="clear" w:color="auto" w:fill="auto"/>
            <w:noWrap/>
            <w:vAlign w:val="bottom"/>
            <w:hideMark/>
          </w:tcPr>
          <w:p w14:paraId="4FB08947"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507</w:t>
            </w:r>
          </w:p>
        </w:tc>
        <w:tc>
          <w:tcPr>
            <w:tcW w:w="364" w:type="pct"/>
            <w:tcBorders>
              <w:top w:val="nil"/>
              <w:left w:val="nil"/>
              <w:bottom w:val="single" w:sz="4" w:space="0" w:color="auto"/>
              <w:right w:val="single" w:sz="4" w:space="0" w:color="auto"/>
            </w:tcBorders>
            <w:shd w:val="clear" w:color="auto" w:fill="auto"/>
            <w:noWrap/>
            <w:vAlign w:val="bottom"/>
            <w:hideMark/>
          </w:tcPr>
          <w:p w14:paraId="428F3CA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1.271</w:t>
            </w:r>
          </w:p>
        </w:tc>
        <w:tc>
          <w:tcPr>
            <w:tcW w:w="490" w:type="pct"/>
            <w:tcBorders>
              <w:top w:val="nil"/>
              <w:left w:val="nil"/>
              <w:bottom w:val="single" w:sz="4" w:space="0" w:color="auto"/>
              <w:right w:val="single" w:sz="4" w:space="0" w:color="auto"/>
            </w:tcBorders>
            <w:shd w:val="clear" w:color="auto" w:fill="auto"/>
            <w:noWrap/>
            <w:vAlign w:val="bottom"/>
            <w:hideMark/>
          </w:tcPr>
          <w:p w14:paraId="0C161CDF"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46.050</w:t>
            </w:r>
          </w:p>
        </w:tc>
        <w:tc>
          <w:tcPr>
            <w:tcW w:w="539" w:type="pct"/>
            <w:tcBorders>
              <w:top w:val="nil"/>
              <w:left w:val="nil"/>
              <w:bottom w:val="single" w:sz="4" w:space="0" w:color="auto"/>
              <w:right w:val="single" w:sz="4" w:space="0" w:color="auto"/>
            </w:tcBorders>
            <w:shd w:val="clear" w:color="auto" w:fill="auto"/>
            <w:noWrap/>
            <w:vAlign w:val="bottom"/>
            <w:hideMark/>
          </w:tcPr>
          <w:p w14:paraId="475E60D1"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-3,3%</w:t>
            </w:r>
          </w:p>
        </w:tc>
        <w:tc>
          <w:tcPr>
            <w:tcW w:w="539" w:type="pct"/>
            <w:tcBorders>
              <w:top w:val="nil"/>
              <w:left w:val="nil"/>
              <w:bottom w:val="single" w:sz="4" w:space="0" w:color="auto"/>
              <w:right w:val="single" w:sz="4" w:space="0" w:color="auto"/>
            </w:tcBorders>
            <w:shd w:val="clear" w:color="auto" w:fill="auto"/>
            <w:noWrap/>
            <w:vAlign w:val="bottom"/>
            <w:hideMark/>
          </w:tcPr>
          <w:p w14:paraId="0AB5088C"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-11,8%</w:t>
            </w:r>
          </w:p>
        </w:tc>
      </w:tr>
      <w:tr w:rsidR="00D47324" w:rsidRPr="00D47324" w14:paraId="433E5E91"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7D12B476"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Marche</w:t>
            </w:r>
          </w:p>
        </w:tc>
        <w:tc>
          <w:tcPr>
            <w:tcW w:w="364" w:type="pct"/>
            <w:tcBorders>
              <w:top w:val="nil"/>
              <w:left w:val="nil"/>
              <w:bottom w:val="single" w:sz="4" w:space="0" w:color="auto"/>
              <w:right w:val="single" w:sz="4" w:space="0" w:color="auto"/>
            </w:tcBorders>
            <w:shd w:val="clear" w:color="auto" w:fill="auto"/>
            <w:noWrap/>
            <w:vAlign w:val="bottom"/>
            <w:hideMark/>
          </w:tcPr>
          <w:p w14:paraId="51A21DB5"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734</w:t>
            </w:r>
          </w:p>
        </w:tc>
        <w:tc>
          <w:tcPr>
            <w:tcW w:w="416" w:type="pct"/>
            <w:tcBorders>
              <w:top w:val="nil"/>
              <w:left w:val="nil"/>
              <w:bottom w:val="single" w:sz="4" w:space="0" w:color="auto"/>
              <w:right w:val="single" w:sz="4" w:space="0" w:color="auto"/>
            </w:tcBorders>
            <w:shd w:val="clear" w:color="auto" w:fill="auto"/>
            <w:noWrap/>
            <w:vAlign w:val="bottom"/>
            <w:hideMark/>
          </w:tcPr>
          <w:p w14:paraId="535A98EC"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22.593</w:t>
            </w:r>
          </w:p>
        </w:tc>
        <w:tc>
          <w:tcPr>
            <w:tcW w:w="311" w:type="pct"/>
            <w:tcBorders>
              <w:top w:val="nil"/>
              <w:left w:val="nil"/>
              <w:bottom w:val="single" w:sz="4" w:space="0" w:color="auto"/>
              <w:right w:val="single" w:sz="4" w:space="0" w:color="auto"/>
            </w:tcBorders>
            <w:shd w:val="clear" w:color="auto" w:fill="auto"/>
            <w:noWrap/>
            <w:vAlign w:val="bottom"/>
            <w:hideMark/>
          </w:tcPr>
          <w:p w14:paraId="55A96C5A"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181</w:t>
            </w:r>
          </w:p>
        </w:tc>
        <w:tc>
          <w:tcPr>
            <w:tcW w:w="364" w:type="pct"/>
            <w:tcBorders>
              <w:top w:val="nil"/>
              <w:left w:val="nil"/>
              <w:bottom w:val="single" w:sz="4" w:space="0" w:color="auto"/>
              <w:right w:val="single" w:sz="4" w:space="0" w:color="auto"/>
            </w:tcBorders>
            <w:shd w:val="clear" w:color="auto" w:fill="auto"/>
            <w:noWrap/>
            <w:vAlign w:val="bottom"/>
            <w:hideMark/>
          </w:tcPr>
          <w:p w14:paraId="5FAE91A2"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3.385</w:t>
            </w:r>
          </w:p>
        </w:tc>
        <w:tc>
          <w:tcPr>
            <w:tcW w:w="355" w:type="pct"/>
            <w:tcBorders>
              <w:top w:val="nil"/>
              <w:left w:val="nil"/>
              <w:bottom w:val="single" w:sz="4" w:space="0" w:color="auto"/>
              <w:right w:val="single" w:sz="4" w:space="0" w:color="auto"/>
            </w:tcBorders>
            <w:shd w:val="clear" w:color="auto" w:fill="auto"/>
            <w:noWrap/>
            <w:vAlign w:val="bottom"/>
            <w:hideMark/>
          </w:tcPr>
          <w:p w14:paraId="4715E4F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w:t>
            </w:r>
          </w:p>
        </w:tc>
        <w:tc>
          <w:tcPr>
            <w:tcW w:w="347" w:type="pct"/>
            <w:tcBorders>
              <w:top w:val="nil"/>
              <w:left w:val="nil"/>
              <w:bottom w:val="single" w:sz="4" w:space="0" w:color="auto"/>
              <w:right w:val="single" w:sz="4" w:space="0" w:color="auto"/>
            </w:tcBorders>
            <w:shd w:val="clear" w:color="auto" w:fill="auto"/>
            <w:noWrap/>
            <w:vAlign w:val="bottom"/>
            <w:hideMark/>
          </w:tcPr>
          <w:p w14:paraId="2DFEC8C1"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305</w:t>
            </w:r>
          </w:p>
        </w:tc>
        <w:tc>
          <w:tcPr>
            <w:tcW w:w="364" w:type="pct"/>
            <w:tcBorders>
              <w:top w:val="nil"/>
              <w:left w:val="nil"/>
              <w:bottom w:val="single" w:sz="4" w:space="0" w:color="auto"/>
              <w:right w:val="single" w:sz="4" w:space="0" w:color="auto"/>
            </w:tcBorders>
            <w:shd w:val="clear" w:color="auto" w:fill="auto"/>
            <w:noWrap/>
            <w:vAlign w:val="bottom"/>
            <w:hideMark/>
          </w:tcPr>
          <w:p w14:paraId="22685DD8"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916</w:t>
            </w:r>
          </w:p>
        </w:tc>
        <w:tc>
          <w:tcPr>
            <w:tcW w:w="490" w:type="pct"/>
            <w:tcBorders>
              <w:top w:val="nil"/>
              <w:left w:val="nil"/>
              <w:bottom w:val="single" w:sz="4" w:space="0" w:color="auto"/>
              <w:right w:val="single" w:sz="4" w:space="0" w:color="auto"/>
            </w:tcBorders>
            <w:shd w:val="clear" w:color="auto" w:fill="auto"/>
            <w:noWrap/>
            <w:vAlign w:val="bottom"/>
            <w:hideMark/>
          </w:tcPr>
          <w:p w14:paraId="18E4F71F"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26.283</w:t>
            </w:r>
          </w:p>
        </w:tc>
        <w:tc>
          <w:tcPr>
            <w:tcW w:w="539" w:type="pct"/>
            <w:tcBorders>
              <w:top w:val="nil"/>
              <w:left w:val="nil"/>
              <w:bottom w:val="single" w:sz="4" w:space="0" w:color="auto"/>
              <w:right w:val="single" w:sz="4" w:space="0" w:color="auto"/>
            </w:tcBorders>
            <w:shd w:val="clear" w:color="auto" w:fill="auto"/>
            <w:noWrap/>
            <w:vAlign w:val="bottom"/>
            <w:hideMark/>
          </w:tcPr>
          <w:p w14:paraId="22E916F6"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-5,7%</w:t>
            </w:r>
          </w:p>
        </w:tc>
        <w:tc>
          <w:tcPr>
            <w:tcW w:w="539" w:type="pct"/>
            <w:tcBorders>
              <w:top w:val="nil"/>
              <w:left w:val="nil"/>
              <w:bottom w:val="single" w:sz="4" w:space="0" w:color="auto"/>
              <w:right w:val="single" w:sz="4" w:space="0" w:color="auto"/>
            </w:tcBorders>
            <w:shd w:val="clear" w:color="auto" w:fill="auto"/>
            <w:noWrap/>
            <w:vAlign w:val="bottom"/>
            <w:hideMark/>
          </w:tcPr>
          <w:p w14:paraId="6322A5C5"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-18,6%</w:t>
            </w:r>
          </w:p>
        </w:tc>
      </w:tr>
      <w:tr w:rsidR="00D47324" w:rsidRPr="00D47324" w14:paraId="1006239F"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4ABEBF03"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Molise</w:t>
            </w:r>
          </w:p>
        </w:tc>
        <w:tc>
          <w:tcPr>
            <w:tcW w:w="364" w:type="pct"/>
            <w:tcBorders>
              <w:top w:val="nil"/>
              <w:left w:val="nil"/>
              <w:bottom w:val="single" w:sz="4" w:space="0" w:color="auto"/>
              <w:right w:val="single" w:sz="4" w:space="0" w:color="auto"/>
            </w:tcBorders>
            <w:shd w:val="clear" w:color="auto" w:fill="auto"/>
            <w:noWrap/>
            <w:vAlign w:val="bottom"/>
            <w:hideMark/>
          </w:tcPr>
          <w:p w14:paraId="12B2A3D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297</w:t>
            </w:r>
          </w:p>
        </w:tc>
        <w:tc>
          <w:tcPr>
            <w:tcW w:w="416" w:type="pct"/>
            <w:tcBorders>
              <w:top w:val="nil"/>
              <w:left w:val="nil"/>
              <w:bottom w:val="single" w:sz="4" w:space="0" w:color="auto"/>
              <w:right w:val="single" w:sz="4" w:space="0" w:color="auto"/>
            </w:tcBorders>
            <w:shd w:val="clear" w:color="auto" w:fill="auto"/>
            <w:noWrap/>
            <w:vAlign w:val="bottom"/>
            <w:hideMark/>
          </w:tcPr>
          <w:p w14:paraId="6A4543F4"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9.599</w:t>
            </w:r>
          </w:p>
        </w:tc>
        <w:tc>
          <w:tcPr>
            <w:tcW w:w="311" w:type="pct"/>
            <w:tcBorders>
              <w:top w:val="nil"/>
              <w:left w:val="nil"/>
              <w:bottom w:val="single" w:sz="4" w:space="0" w:color="auto"/>
              <w:right w:val="single" w:sz="4" w:space="0" w:color="auto"/>
            </w:tcBorders>
            <w:shd w:val="clear" w:color="auto" w:fill="auto"/>
            <w:noWrap/>
            <w:vAlign w:val="bottom"/>
            <w:hideMark/>
          </w:tcPr>
          <w:p w14:paraId="7E4CCC57"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8</w:t>
            </w:r>
          </w:p>
        </w:tc>
        <w:tc>
          <w:tcPr>
            <w:tcW w:w="364" w:type="pct"/>
            <w:tcBorders>
              <w:top w:val="nil"/>
              <w:left w:val="nil"/>
              <w:bottom w:val="single" w:sz="4" w:space="0" w:color="auto"/>
              <w:right w:val="single" w:sz="4" w:space="0" w:color="auto"/>
            </w:tcBorders>
            <w:shd w:val="clear" w:color="auto" w:fill="auto"/>
            <w:noWrap/>
            <w:vAlign w:val="bottom"/>
            <w:hideMark/>
          </w:tcPr>
          <w:p w14:paraId="63482A9A"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326</w:t>
            </w:r>
          </w:p>
        </w:tc>
        <w:tc>
          <w:tcPr>
            <w:tcW w:w="355" w:type="pct"/>
            <w:tcBorders>
              <w:top w:val="nil"/>
              <w:left w:val="nil"/>
              <w:bottom w:val="single" w:sz="4" w:space="0" w:color="auto"/>
              <w:right w:val="single" w:sz="4" w:space="0" w:color="auto"/>
            </w:tcBorders>
            <w:shd w:val="clear" w:color="auto" w:fill="auto"/>
            <w:noWrap/>
            <w:vAlign w:val="bottom"/>
            <w:hideMark/>
          </w:tcPr>
          <w:p w14:paraId="62973FAB"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0</w:t>
            </w:r>
          </w:p>
        </w:tc>
        <w:tc>
          <w:tcPr>
            <w:tcW w:w="347" w:type="pct"/>
            <w:tcBorders>
              <w:top w:val="nil"/>
              <w:left w:val="nil"/>
              <w:bottom w:val="single" w:sz="4" w:space="0" w:color="auto"/>
              <w:right w:val="single" w:sz="4" w:space="0" w:color="auto"/>
            </w:tcBorders>
            <w:shd w:val="clear" w:color="auto" w:fill="auto"/>
            <w:noWrap/>
            <w:vAlign w:val="bottom"/>
            <w:hideMark/>
          </w:tcPr>
          <w:p w14:paraId="5F726846"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104</w:t>
            </w:r>
          </w:p>
        </w:tc>
        <w:tc>
          <w:tcPr>
            <w:tcW w:w="364" w:type="pct"/>
            <w:tcBorders>
              <w:top w:val="nil"/>
              <w:left w:val="nil"/>
              <w:bottom w:val="single" w:sz="4" w:space="0" w:color="auto"/>
              <w:right w:val="single" w:sz="4" w:space="0" w:color="auto"/>
            </w:tcBorders>
            <w:shd w:val="clear" w:color="auto" w:fill="auto"/>
            <w:noWrap/>
            <w:vAlign w:val="bottom"/>
            <w:hideMark/>
          </w:tcPr>
          <w:p w14:paraId="4317278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305</w:t>
            </w:r>
          </w:p>
        </w:tc>
        <w:tc>
          <w:tcPr>
            <w:tcW w:w="490" w:type="pct"/>
            <w:tcBorders>
              <w:top w:val="nil"/>
              <w:left w:val="nil"/>
              <w:bottom w:val="single" w:sz="4" w:space="0" w:color="auto"/>
              <w:right w:val="single" w:sz="4" w:space="0" w:color="auto"/>
            </w:tcBorders>
            <w:shd w:val="clear" w:color="auto" w:fill="auto"/>
            <w:noWrap/>
            <w:vAlign w:val="bottom"/>
            <w:hideMark/>
          </w:tcPr>
          <w:p w14:paraId="6A539D8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10.029</w:t>
            </w:r>
          </w:p>
        </w:tc>
        <w:tc>
          <w:tcPr>
            <w:tcW w:w="539" w:type="pct"/>
            <w:tcBorders>
              <w:top w:val="nil"/>
              <w:left w:val="nil"/>
              <w:bottom w:val="single" w:sz="4" w:space="0" w:color="auto"/>
              <w:right w:val="single" w:sz="4" w:space="0" w:color="auto"/>
            </w:tcBorders>
            <w:shd w:val="clear" w:color="auto" w:fill="auto"/>
            <w:noWrap/>
            <w:vAlign w:val="bottom"/>
            <w:hideMark/>
          </w:tcPr>
          <w:p w14:paraId="24CE8B06"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-1,2%</w:t>
            </w:r>
          </w:p>
        </w:tc>
        <w:tc>
          <w:tcPr>
            <w:tcW w:w="539" w:type="pct"/>
            <w:tcBorders>
              <w:top w:val="nil"/>
              <w:left w:val="nil"/>
              <w:bottom w:val="single" w:sz="4" w:space="0" w:color="auto"/>
              <w:right w:val="single" w:sz="4" w:space="0" w:color="auto"/>
            </w:tcBorders>
            <w:shd w:val="clear" w:color="auto" w:fill="auto"/>
            <w:noWrap/>
            <w:vAlign w:val="bottom"/>
            <w:hideMark/>
          </w:tcPr>
          <w:p w14:paraId="22B83641"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-11,5%</w:t>
            </w:r>
          </w:p>
        </w:tc>
      </w:tr>
      <w:tr w:rsidR="00D47324" w:rsidRPr="00D47324" w14:paraId="7857FD82"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56915397"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Piemonte</w:t>
            </w:r>
          </w:p>
        </w:tc>
        <w:tc>
          <w:tcPr>
            <w:tcW w:w="364" w:type="pct"/>
            <w:tcBorders>
              <w:top w:val="nil"/>
              <w:left w:val="nil"/>
              <w:bottom w:val="single" w:sz="4" w:space="0" w:color="auto"/>
              <w:right w:val="single" w:sz="4" w:space="0" w:color="auto"/>
            </w:tcBorders>
            <w:shd w:val="clear" w:color="auto" w:fill="auto"/>
            <w:noWrap/>
            <w:vAlign w:val="bottom"/>
            <w:hideMark/>
          </w:tcPr>
          <w:p w14:paraId="2040B6FA"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1.250</w:t>
            </w:r>
          </w:p>
        </w:tc>
        <w:tc>
          <w:tcPr>
            <w:tcW w:w="416" w:type="pct"/>
            <w:tcBorders>
              <w:top w:val="nil"/>
              <w:left w:val="nil"/>
              <w:bottom w:val="single" w:sz="4" w:space="0" w:color="auto"/>
              <w:right w:val="single" w:sz="4" w:space="0" w:color="auto"/>
            </w:tcBorders>
            <w:shd w:val="clear" w:color="auto" w:fill="auto"/>
            <w:noWrap/>
            <w:vAlign w:val="bottom"/>
            <w:hideMark/>
          </w:tcPr>
          <w:p w14:paraId="6DB8569B"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45.908</w:t>
            </w:r>
          </w:p>
        </w:tc>
        <w:tc>
          <w:tcPr>
            <w:tcW w:w="311" w:type="pct"/>
            <w:tcBorders>
              <w:top w:val="nil"/>
              <w:left w:val="nil"/>
              <w:bottom w:val="single" w:sz="4" w:space="0" w:color="auto"/>
              <w:right w:val="single" w:sz="4" w:space="0" w:color="auto"/>
            </w:tcBorders>
            <w:shd w:val="clear" w:color="auto" w:fill="auto"/>
            <w:noWrap/>
            <w:vAlign w:val="bottom"/>
            <w:hideMark/>
          </w:tcPr>
          <w:p w14:paraId="53DF6494"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213</w:t>
            </w:r>
          </w:p>
        </w:tc>
        <w:tc>
          <w:tcPr>
            <w:tcW w:w="364" w:type="pct"/>
            <w:tcBorders>
              <w:top w:val="nil"/>
              <w:left w:val="nil"/>
              <w:bottom w:val="single" w:sz="4" w:space="0" w:color="auto"/>
              <w:right w:val="single" w:sz="4" w:space="0" w:color="auto"/>
            </w:tcBorders>
            <w:shd w:val="clear" w:color="auto" w:fill="auto"/>
            <w:noWrap/>
            <w:vAlign w:val="bottom"/>
            <w:hideMark/>
          </w:tcPr>
          <w:p w14:paraId="3C226DBD"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6.001</w:t>
            </w:r>
          </w:p>
        </w:tc>
        <w:tc>
          <w:tcPr>
            <w:tcW w:w="355" w:type="pct"/>
            <w:tcBorders>
              <w:top w:val="nil"/>
              <w:left w:val="nil"/>
              <w:bottom w:val="single" w:sz="4" w:space="0" w:color="auto"/>
              <w:right w:val="single" w:sz="4" w:space="0" w:color="auto"/>
            </w:tcBorders>
            <w:shd w:val="clear" w:color="auto" w:fill="auto"/>
            <w:noWrap/>
            <w:vAlign w:val="bottom"/>
            <w:hideMark/>
          </w:tcPr>
          <w:p w14:paraId="0FD8BBB0"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9</w:t>
            </w:r>
          </w:p>
        </w:tc>
        <w:tc>
          <w:tcPr>
            <w:tcW w:w="347" w:type="pct"/>
            <w:tcBorders>
              <w:top w:val="nil"/>
              <w:left w:val="nil"/>
              <w:bottom w:val="single" w:sz="4" w:space="0" w:color="auto"/>
              <w:right w:val="single" w:sz="4" w:space="0" w:color="auto"/>
            </w:tcBorders>
            <w:shd w:val="clear" w:color="auto" w:fill="auto"/>
            <w:noWrap/>
            <w:vAlign w:val="bottom"/>
            <w:hideMark/>
          </w:tcPr>
          <w:p w14:paraId="08A5021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541</w:t>
            </w:r>
          </w:p>
        </w:tc>
        <w:tc>
          <w:tcPr>
            <w:tcW w:w="364" w:type="pct"/>
            <w:tcBorders>
              <w:top w:val="nil"/>
              <w:left w:val="nil"/>
              <w:bottom w:val="single" w:sz="4" w:space="0" w:color="auto"/>
              <w:right w:val="single" w:sz="4" w:space="0" w:color="auto"/>
            </w:tcBorders>
            <w:shd w:val="clear" w:color="auto" w:fill="auto"/>
            <w:noWrap/>
            <w:vAlign w:val="bottom"/>
            <w:hideMark/>
          </w:tcPr>
          <w:p w14:paraId="3D4EEEB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1.472</w:t>
            </w:r>
          </w:p>
        </w:tc>
        <w:tc>
          <w:tcPr>
            <w:tcW w:w="490" w:type="pct"/>
            <w:tcBorders>
              <w:top w:val="nil"/>
              <w:left w:val="nil"/>
              <w:bottom w:val="single" w:sz="4" w:space="0" w:color="auto"/>
              <w:right w:val="single" w:sz="4" w:space="0" w:color="auto"/>
            </w:tcBorders>
            <w:shd w:val="clear" w:color="auto" w:fill="auto"/>
            <w:noWrap/>
            <w:vAlign w:val="bottom"/>
            <w:hideMark/>
          </w:tcPr>
          <w:p w14:paraId="18280C8A"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52.450</w:t>
            </w:r>
          </w:p>
        </w:tc>
        <w:tc>
          <w:tcPr>
            <w:tcW w:w="539" w:type="pct"/>
            <w:tcBorders>
              <w:top w:val="nil"/>
              <w:left w:val="nil"/>
              <w:bottom w:val="single" w:sz="4" w:space="0" w:color="auto"/>
              <w:right w:val="single" w:sz="4" w:space="0" w:color="auto"/>
            </w:tcBorders>
            <w:shd w:val="clear" w:color="auto" w:fill="auto"/>
            <w:noWrap/>
            <w:vAlign w:val="bottom"/>
            <w:hideMark/>
          </w:tcPr>
          <w:p w14:paraId="5375D6DC"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-4,1%</w:t>
            </w:r>
          </w:p>
        </w:tc>
        <w:tc>
          <w:tcPr>
            <w:tcW w:w="539" w:type="pct"/>
            <w:tcBorders>
              <w:top w:val="nil"/>
              <w:left w:val="nil"/>
              <w:bottom w:val="single" w:sz="4" w:space="0" w:color="auto"/>
              <w:right w:val="single" w:sz="4" w:space="0" w:color="auto"/>
            </w:tcBorders>
            <w:shd w:val="clear" w:color="auto" w:fill="auto"/>
            <w:noWrap/>
            <w:vAlign w:val="bottom"/>
            <w:hideMark/>
          </w:tcPr>
          <w:p w14:paraId="6AC08FC2"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-16,6%</w:t>
            </w:r>
          </w:p>
        </w:tc>
      </w:tr>
      <w:tr w:rsidR="00D47324" w:rsidRPr="00D47324" w14:paraId="5410724C"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62A563FA"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Puglia</w:t>
            </w:r>
          </w:p>
        </w:tc>
        <w:tc>
          <w:tcPr>
            <w:tcW w:w="364" w:type="pct"/>
            <w:tcBorders>
              <w:top w:val="nil"/>
              <w:left w:val="nil"/>
              <w:bottom w:val="single" w:sz="4" w:space="0" w:color="auto"/>
              <w:right w:val="single" w:sz="4" w:space="0" w:color="auto"/>
            </w:tcBorders>
            <w:shd w:val="clear" w:color="auto" w:fill="auto"/>
            <w:noWrap/>
            <w:vAlign w:val="bottom"/>
            <w:hideMark/>
          </w:tcPr>
          <w:p w14:paraId="7DF9627B"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2.872</w:t>
            </w:r>
          </w:p>
        </w:tc>
        <w:tc>
          <w:tcPr>
            <w:tcW w:w="416" w:type="pct"/>
            <w:tcBorders>
              <w:top w:val="nil"/>
              <w:left w:val="nil"/>
              <w:bottom w:val="single" w:sz="4" w:space="0" w:color="auto"/>
              <w:right w:val="single" w:sz="4" w:space="0" w:color="auto"/>
            </w:tcBorders>
            <w:shd w:val="clear" w:color="auto" w:fill="auto"/>
            <w:noWrap/>
            <w:vAlign w:val="bottom"/>
            <w:hideMark/>
          </w:tcPr>
          <w:p w14:paraId="634401C4"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71.785</w:t>
            </w:r>
          </w:p>
        </w:tc>
        <w:tc>
          <w:tcPr>
            <w:tcW w:w="311" w:type="pct"/>
            <w:tcBorders>
              <w:top w:val="nil"/>
              <w:left w:val="nil"/>
              <w:bottom w:val="single" w:sz="4" w:space="0" w:color="auto"/>
              <w:right w:val="single" w:sz="4" w:space="0" w:color="auto"/>
            </w:tcBorders>
            <w:shd w:val="clear" w:color="auto" w:fill="auto"/>
            <w:noWrap/>
            <w:vAlign w:val="bottom"/>
            <w:hideMark/>
          </w:tcPr>
          <w:p w14:paraId="4304AA6C"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137</w:t>
            </w:r>
          </w:p>
        </w:tc>
        <w:tc>
          <w:tcPr>
            <w:tcW w:w="364" w:type="pct"/>
            <w:tcBorders>
              <w:top w:val="nil"/>
              <w:left w:val="nil"/>
              <w:bottom w:val="single" w:sz="4" w:space="0" w:color="auto"/>
              <w:right w:val="single" w:sz="4" w:space="0" w:color="auto"/>
            </w:tcBorders>
            <w:shd w:val="clear" w:color="auto" w:fill="auto"/>
            <w:noWrap/>
            <w:vAlign w:val="bottom"/>
            <w:hideMark/>
          </w:tcPr>
          <w:p w14:paraId="250AD27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4.626</w:t>
            </w:r>
          </w:p>
        </w:tc>
        <w:tc>
          <w:tcPr>
            <w:tcW w:w="355" w:type="pct"/>
            <w:tcBorders>
              <w:top w:val="nil"/>
              <w:left w:val="nil"/>
              <w:bottom w:val="single" w:sz="4" w:space="0" w:color="auto"/>
              <w:right w:val="single" w:sz="4" w:space="0" w:color="auto"/>
            </w:tcBorders>
            <w:shd w:val="clear" w:color="auto" w:fill="auto"/>
            <w:noWrap/>
            <w:vAlign w:val="bottom"/>
            <w:hideMark/>
          </w:tcPr>
          <w:p w14:paraId="2B39FCC6"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15</w:t>
            </w:r>
          </w:p>
        </w:tc>
        <w:tc>
          <w:tcPr>
            <w:tcW w:w="347" w:type="pct"/>
            <w:tcBorders>
              <w:top w:val="nil"/>
              <w:left w:val="nil"/>
              <w:bottom w:val="single" w:sz="4" w:space="0" w:color="auto"/>
              <w:right w:val="single" w:sz="4" w:space="0" w:color="auto"/>
            </w:tcBorders>
            <w:shd w:val="clear" w:color="auto" w:fill="auto"/>
            <w:noWrap/>
            <w:vAlign w:val="bottom"/>
            <w:hideMark/>
          </w:tcPr>
          <w:p w14:paraId="6AA2F8F7"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1.526</w:t>
            </w:r>
          </w:p>
        </w:tc>
        <w:tc>
          <w:tcPr>
            <w:tcW w:w="364" w:type="pct"/>
            <w:tcBorders>
              <w:top w:val="nil"/>
              <w:left w:val="nil"/>
              <w:bottom w:val="single" w:sz="4" w:space="0" w:color="auto"/>
              <w:right w:val="single" w:sz="4" w:space="0" w:color="auto"/>
            </w:tcBorders>
            <w:shd w:val="clear" w:color="auto" w:fill="auto"/>
            <w:noWrap/>
            <w:vAlign w:val="bottom"/>
            <w:hideMark/>
          </w:tcPr>
          <w:p w14:paraId="09360F0C"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3.024</w:t>
            </w:r>
          </w:p>
        </w:tc>
        <w:tc>
          <w:tcPr>
            <w:tcW w:w="490" w:type="pct"/>
            <w:tcBorders>
              <w:top w:val="nil"/>
              <w:left w:val="nil"/>
              <w:bottom w:val="single" w:sz="4" w:space="0" w:color="auto"/>
              <w:right w:val="single" w:sz="4" w:space="0" w:color="auto"/>
            </w:tcBorders>
            <w:shd w:val="clear" w:color="auto" w:fill="auto"/>
            <w:noWrap/>
            <w:vAlign w:val="bottom"/>
            <w:hideMark/>
          </w:tcPr>
          <w:p w14:paraId="79EC07BD"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77.937</w:t>
            </w:r>
          </w:p>
        </w:tc>
        <w:tc>
          <w:tcPr>
            <w:tcW w:w="539" w:type="pct"/>
            <w:tcBorders>
              <w:top w:val="nil"/>
              <w:left w:val="nil"/>
              <w:bottom w:val="single" w:sz="4" w:space="0" w:color="auto"/>
              <w:right w:val="single" w:sz="4" w:space="0" w:color="auto"/>
            </w:tcBorders>
            <w:shd w:val="clear" w:color="auto" w:fill="auto"/>
            <w:noWrap/>
            <w:vAlign w:val="bottom"/>
            <w:hideMark/>
          </w:tcPr>
          <w:p w14:paraId="6EF1C954"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-0,3%</w:t>
            </w:r>
          </w:p>
        </w:tc>
        <w:tc>
          <w:tcPr>
            <w:tcW w:w="539" w:type="pct"/>
            <w:tcBorders>
              <w:top w:val="nil"/>
              <w:left w:val="nil"/>
              <w:bottom w:val="single" w:sz="4" w:space="0" w:color="auto"/>
              <w:right w:val="single" w:sz="4" w:space="0" w:color="auto"/>
            </w:tcBorders>
            <w:shd w:val="clear" w:color="auto" w:fill="auto"/>
            <w:noWrap/>
            <w:vAlign w:val="bottom"/>
            <w:hideMark/>
          </w:tcPr>
          <w:p w14:paraId="4CC59C77"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-12,1%</w:t>
            </w:r>
          </w:p>
        </w:tc>
      </w:tr>
      <w:tr w:rsidR="00D47324" w:rsidRPr="00D47324" w14:paraId="2C793085"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15FDAB1F"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Sardegna</w:t>
            </w:r>
          </w:p>
        </w:tc>
        <w:tc>
          <w:tcPr>
            <w:tcW w:w="364" w:type="pct"/>
            <w:tcBorders>
              <w:top w:val="nil"/>
              <w:left w:val="nil"/>
              <w:bottom w:val="single" w:sz="4" w:space="0" w:color="auto"/>
              <w:right w:val="single" w:sz="4" w:space="0" w:color="auto"/>
            </w:tcBorders>
            <w:shd w:val="clear" w:color="auto" w:fill="auto"/>
            <w:noWrap/>
            <w:vAlign w:val="bottom"/>
            <w:hideMark/>
          </w:tcPr>
          <w:p w14:paraId="3F9A921D"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938</w:t>
            </w:r>
          </w:p>
        </w:tc>
        <w:tc>
          <w:tcPr>
            <w:tcW w:w="416" w:type="pct"/>
            <w:tcBorders>
              <w:top w:val="nil"/>
              <w:left w:val="nil"/>
              <w:bottom w:val="single" w:sz="4" w:space="0" w:color="auto"/>
              <w:right w:val="single" w:sz="4" w:space="0" w:color="auto"/>
            </w:tcBorders>
            <w:shd w:val="clear" w:color="auto" w:fill="auto"/>
            <w:noWrap/>
            <w:vAlign w:val="bottom"/>
            <w:hideMark/>
          </w:tcPr>
          <w:p w14:paraId="27E431D0"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29.816</w:t>
            </w:r>
          </w:p>
        </w:tc>
        <w:tc>
          <w:tcPr>
            <w:tcW w:w="311" w:type="pct"/>
            <w:tcBorders>
              <w:top w:val="nil"/>
              <w:left w:val="nil"/>
              <w:bottom w:val="single" w:sz="4" w:space="0" w:color="auto"/>
              <w:right w:val="single" w:sz="4" w:space="0" w:color="auto"/>
            </w:tcBorders>
            <w:shd w:val="clear" w:color="auto" w:fill="auto"/>
            <w:noWrap/>
            <w:vAlign w:val="bottom"/>
            <w:hideMark/>
          </w:tcPr>
          <w:p w14:paraId="7857B2C7"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374</w:t>
            </w:r>
          </w:p>
        </w:tc>
        <w:tc>
          <w:tcPr>
            <w:tcW w:w="364" w:type="pct"/>
            <w:tcBorders>
              <w:top w:val="nil"/>
              <w:left w:val="nil"/>
              <w:bottom w:val="single" w:sz="4" w:space="0" w:color="auto"/>
              <w:right w:val="single" w:sz="4" w:space="0" w:color="auto"/>
            </w:tcBorders>
            <w:shd w:val="clear" w:color="auto" w:fill="auto"/>
            <w:noWrap/>
            <w:vAlign w:val="bottom"/>
            <w:hideMark/>
          </w:tcPr>
          <w:p w14:paraId="577281AA"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3.744</w:t>
            </w:r>
          </w:p>
        </w:tc>
        <w:tc>
          <w:tcPr>
            <w:tcW w:w="355" w:type="pct"/>
            <w:tcBorders>
              <w:top w:val="nil"/>
              <w:left w:val="nil"/>
              <w:bottom w:val="single" w:sz="4" w:space="0" w:color="auto"/>
              <w:right w:val="single" w:sz="4" w:space="0" w:color="auto"/>
            </w:tcBorders>
            <w:shd w:val="clear" w:color="auto" w:fill="auto"/>
            <w:noWrap/>
            <w:vAlign w:val="bottom"/>
            <w:hideMark/>
          </w:tcPr>
          <w:p w14:paraId="5EE53CE2"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5</w:t>
            </w:r>
          </w:p>
        </w:tc>
        <w:tc>
          <w:tcPr>
            <w:tcW w:w="347" w:type="pct"/>
            <w:tcBorders>
              <w:top w:val="nil"/>
              <w:left w:val="nil"/>
              <w:bottom w:val="single" w:sz="4" w:space="0" w:color="auto"/>
              <w:right w:val="single" w:sz="4" w:space="0" w:color="auto"/>
            </w:tcBorders>
            <w:shd w:val="clear" w:color="auto" w:fill="auto"/>
            <w:noWrap/>
            <w:vAlign w:val="bottom"/>
            <w:hideMark/>
          </w:tcPr>
          <w:p w14:paraId="1B5D9A0C"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426</w:t>
            </w:r>
          </w:p>
        </w:tc>
        <w:tc>
          <w:tcPr>
            <w:tcW w:w="364" w:type="pct"/>
            <w:tcBorders>
              <w:top w:val="nil"/>
              <w:left w:val="nil"/>
              <w:bottom w:val="single" w:sz="4" w:space="0" w:color="auto"/>
              <w:right w:val="single" w:sz="4" w:space="0" w:color="auto"/>
            </w:tcBorders>
            <w:shd w:val="clear" w:color="auto" w:fill="auto"/>
            <w:noWrap/>
            <w:vAlign w:val="bottom"/>
            <w:hideMark/>
          </w:tcPr>
          <w:p w14:paraId="70EB8012"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1.317</w:t>
            </w:r>
          </w:p>
        </w:tc>
        <w:tc>
          <w:tcPr>
            <w:tcW w:w="490" w:type="pct"/>
            <w:tcBorders>
              <w:top w:val="nil"/>
              <w:left w:val="nil"/>
              <w:bottom w:val="single" w:sz="4" w:space="0" w:color="auto"/>
              <w:right w:val="single" w:sz="4" w:space="0" w:color="auto"/>
            </w:tcBorders>
            <w:shd w:val="clear" w:color="auto" w:fill="auto"/>
            <w:noWrap/>
            <w:vAlign w:val="bottom"/>
            <w:hideMark/>
          </w:tcPr>
          <w:p w14:paraId="159D17D8"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33.986</w:t>
            </w:r>
          </w:p>
        </w:tc>
        <w:tc>
          <w:tcPr>
            <w:tcW w:w="539" w:type="pct"/>
            <w:tcBorders>
              <w:top w:val="nil"/>
              <w:left w:val="nil"/>
              <w:bottom w:val="single" w:sz="4" w:space="0" w:color="auto"/>
              <w:right w:val="single" w:sz="4" w:space="0" w:color="auto"/>
            </w:tcBorders>
            <w:shd w:val="clear" w:color="auto" w:fill="auto"/>
            <w:noWrap/>
            <w:vAlign w:val="bottom"/>
            <w:hideMark/>
          </w:tcPr>
          <w:p w14:paraId="46A88320"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2,6%</w:t>
            </w:r>
          </w:p>
        </w:tc>
        <w:tc>
          <w:tcPr>
            <w:tcW w:w="539" w:type="pct"/>
            <w:tcBorders>
              <w:top w:val="nil"/>
              <w:left w:val="nil"/>
              <w:bottom w:val="single" w:sz="4" w:space="0" w:color="auto"/>
              <w:right w:val="single" w:sz="4" w:space="0" w:color="auto"/>
            </w:tcBorders>
            <w:shd w:val="clear" w:color="auto" w:fill="auto"/>
            <w:noWrap/>
            <w:vAlign w:val="bottom"/>
            <w:hideMark/>
          </w:tcPr>
          <w:p w14:paraId="49BB2B4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-4,6%</w:t>
            </w:r>
          </w:p>
        </w:tc>
      </w:tr>
      <w:tr w:rsidR="00D47324" w:rsidRPr="00D47324" w14:paraId="13EBF365"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40472859"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Sicilia</w:t>
            </w:r>
          </w:p>
        </w:tc>
        <w:tc>
          <w:tcPr>
            <w:tcW w:w="364" w:type="pct"/>
            <w:tcBorders>
              <w:top w:val="nil"/>
              <w:left w:val="nil"/>
              <w:bottom w:val="single" w:sz="4" w:space="0" w:color="auto"/>
              <w:right w:val="single" w:sz="4" w:space="0" w:color="auto"/>
            </w:tcBorders>
            <w:shd w:val="clear" w:color="auto" w:fill="auto"/>
            <w:noWrap/>
            <w:vAlign w:val="bottom"/>
            <w:hideMark/>
          </w:tcPr>
          <w:p w14:paraId="04E3A37F"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2.524</w:t>
            </w:r>
          </w:p>
        </w:tc>
        <w:tc>
          <w:tcPr>
            <w:tcW w:w="416" w:type="pct"/>
            <w:tcBorders>
              <w:top w:val="nil"/>
              <w:left w:val="nil"/>
              <w:bottom w:val="single" w:sz="4" w:space="0" w:color="auto"/>
              <w:right w:val="single" w:sz="4" w:space="0" w:color="auto"/>
            </w:tcBorders>
            <w:shd w:val="clear" w:color="auto" w:fill="auto"/>
            <w:noWrap/>
            <w:vAlign w:val="bottom"/>
            <w:hideMark/>
          </w:tcPr>
          <w:p w14:paraId="2C03E55A"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70.452</w:t>
            </w:r>
          </w:p>
        </w:tc>
        <w:tc>
          <w:tcPr>
            <w:tcW w:w="311" w:type="pct"/>
            <w:tcBorders>
              <w:top w:val="nil"/>
              <w:left w:val="nil"/>
              <w:bottom w:val="single" w:sz="4" w:space="0" w:color="auto"/>
              <w:right w:val="single" w:sz="4" w:space="0" w:color="auto"/>
            </w:tcBorders>
            <w:shd w:val="clear" w:color="auto" w:fill="auto"/>
            <w:noWrap/>
            <w:vAlign w:val="bottom"/>
            <w:hideMark/>
          </w:tcPr>
          <w:p w14:paraId="2C827999"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186</w:t>
            </w:r>
          </w:p>
        </w:tc>
        <w:tc>
          <w:tcPr>
            <w:tcW w:w="364" w:type="pct"/>
            <w:tcBorders>
              <w:top w:val="nil"/>
              <w:left w:val="nil"/>
              <w:bottom w:val="single" w:sz="4" w:space="0" w:color="auto"/>
              <w:right w:val="single" w:sz="4" w:space="0" w:color="auto"/>
            </w:tcBorders>
            <w:shd w:val="clear" w:color="auto" w:fill="auto"/>
            <w:noWrap/>
            <w:vAlign w:val="bottom"/>
            <w:hideMark/>
          </w:tcPr>
          <w:p w14:paraId="247FBC7F"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5.307</w:t>
            </w:r>
          </w:p>
        </w:tc>
        <w:tc>
          <w:tcPr>
            <w:tcW w:w="355" w:type="pct"/>
            <w:tcBorders>
              <w:top w:val="nil"/>
              <w:left w:val="nil"/>
              <w:bottom w:val="single" w:sz="4" w:space="0" w:color="auto"/>
              <w:right w:val="single" w:sz="4" w:space="0" w:color="auto"/>
            </w:tcBorders>
            <w:shd w:val="clear" w:color="auto" w:fill="auto"/>
            <w:noWrap/>
            <w:vAlign w:val="bottom"/>
            <w:hideMark/>
          </w:tcPr>
          <w:p w14:paraId="536F2CC7"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21</w:t>
            </w:r>
          </w:p>
        </w:tc>
        <w:tc>
          <w:tcPr>
            <w:tcW w:w="347" w:type="pct"/>
            <w:tcBorders>
              <w:top w:val="nil"/>
              <w:left w:val="nil"/>
              <w:bottom w:val="single" w:sz="4" w:space="0" w:color="auto"/>
              <w:right w:val="single" w:sz="4" w:space="0" w:color="auto"/>
            </w:tcBorders>
            <w:shd w:val="clear" w:color="auto" w:fill="auto"/>
            <w:noWrap/>
            <w:vAlign w:val="bottom"/>
            <w:hideMark/>
          </w:tcPr>
          <w:p w14:paraId="6B15A38F"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3.589</w:t>
            </w:r>
          </w:p>
        </w:tc>
        <w:tc>
          <w:tcPr>
            <w:tcW w:w="364" w:type="pct"/>
            <w:tcBorders>
              <w:top w:val="nil"/>
              <w:left w:val="nil"/>
              <w:bottom w:val="single" w:sz="4" w:space="0" w:color="auto"/>
              <w:right w:val="single" w:sz="4" w:space="0" w:color="auto"/>
            </w:tcBorders>
            <w:shd w:val="clear" w:color="auto" w:fill="auto"/>
            <w:noWrap/>
            <w:vAlign w:val="bottom"/>
            <w:hideMark/>
          </w:tcPr>
          <w:p w14:paraId="383099EA"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2.731</w:t>
            </w:r>
          </w:p>
        </w:tc>
        <w:tc>
          <w:tcPr>
            <w:tcW w:w="490" w:type="pct"/>
            <w:tcBorders>
              <w:top w:val="nil"/>
              <w:left w:val="nil"/>
              <w:bottom w:val="single" w:sz="4" w:space="0" w:color="auto"/>
              <w:right w:val="single" w:sz="4" w:space="0" w:color="auto"/>
            </w:tcBorders>
            <w:shd w:val="clear" w:color="auto" w:fill="auto"/>
            <w:noWrap/>
            <w:vAlign w:val="bottom"/>
            <w:hideMark/>
          </w:tcPr>
          <w:p w14:paraId="3B8D6E50"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79.348</w:t>
            </w:r>
          </w:p>
        </w:tc>
        <w:tc>
          <w:tcPr>
            <w:tcW w:w="539" w:type="pct"/>
            <w:tcBorders>
              <w:top w:val="nil"/>
              <w:left w:val="nil"/>
              <w:bottom w:val="single" w:sz="4" w:space="0" w:color="auto"/>
              <w:right w:val="single" w:sz="4" w:space="0" w:color="auto"/>
            </w:tcBorders>
            <w:shd w:val="clear" w:color="auto" w:fill="auto"/>
            <w:noWrap/>
            <w:vAlign w:val="bottom"/>
            <w:hideMark/>
          </w:tcPr>
          <w:p w14:paraId="3BCDD7C4"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0,6%</w:t>
            </w:r>
          </w:p>
        </w:tc>
        <w:tc>
          <w:tcPr>
            <w:tcW w:w="539" w:type="pct"/>
            <w:tcBorders>
              <w:top w:val="nil"/>
              <w:left w:val="nil"/>
              <w:bottom w:val="single" w:sz="4" w:space="0" w:color="auto"/>
              <w:right w:val="single" w:sz="4" w:space="0" w:color="auto"/>
            </w:tcBorders>
            <w:shd w:val="clear" w:color="auto" w:fill="auto"/>
            <w:noWrap/>
            <w:vAlign w:val="bottom"/>
            <w:hideMark/>
          </w:tcPr>
          <w:p w14:paraId="62DB58D6"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-14,4%</w:t>
            </w:r>
          </w:p>
        </w:tc>
      </w:tr>
      <w:tr w:rsidR="00D47324" w:rsidRPr="00D47324" w14:paraId="301D381F"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5DE52183"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Toscana</w:t>
            </w:r>
          </w:p>
        </w:tc>
        <w:tc>
          <w:tcPr>
            <w:tcW w:w="364" w:type="pct"/>
            <w:tcBorders>
              <w:top w:val="nil"/>
              <w:left w:val="nil"/>
              <w:bottom w:val="single" w:sz="4" w:space="0" w:color="auto"/>
              <w:right w:val="single" w:sz="4" w:space="0" w:color="auto"/>
            </w:tcBorders>
            <w:shd w:val="clear" w:color="auto" w:fill="auto"/>
            <w:noWrap/>
            <w:vAlign w:val="bottom"/>
            <w:hideMark/>
          </w:tcPr>
          <w:p w14:paraId="3A4384CB"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1.172</w:t>
            </w:r>
          </w:p>
        </w:tc>
        <w:tc>
          <w:tcPr>
            <w:tcW w:w="416" w:type="pct"/>
            <w:tcBorders>
              <w:top w:val="nil"/>
              <w:left w:val="nil"/>
              <w:bottom w:val="single" w:sz="4" w:space="0" w:color="auto"/>
              <w:right w:val="single" w:sz="4" w:space="0" w:color="auto"/>
            </w:tcBorders>
            <w:shd w:val="clear" w:color="auto" w:fill="auto"/>
            <w:noWrap/>
            <w:vAlign w:val="bottom"/>
            <w:hideMark/>
          </w:tcPr>
          <w:p w14:paraId="4B4A304B"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32.288</w:t>
            </w:r>
          </w:p>
        </w:tc>
        <w:tc>
          <w:tcPr>
            <w:tcW w:w="311" w:type="pct"/>
            <w:tcBorders>
              <w:top w:val="nil"/>
              <w:left w:val="nil"/>
              <w:bottom w:val="single" w:sz="4" w:space="0" w:color="auto"/>
              <w:right w:val="single" w:sz="4" w:space="0" w:color="auto"/>
            </w:tcBorders>
            <w:shd w:val="clear" w:color="auto" w:fill="auto"/>
            <w:noWrap/>
            <w:vAlign w:val="bottom"/>
            <w:hideMark/>
          </w:tcPr>
          <w:p w14:paraId="782B913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244</w:t>
            </w:r>
          </w:p>
        </w:tc>
        <w:tc>
          <w:tcPr>
            <w:tcW w:w="364" w:type="pct"/>
            <w:tcBorders>
              <w:top w:val="nil"/>
              <w:left w:val="nil"/>
              <w:bottom w:val="single" w:sz="4" w:space="0" w:color="auto"/>
              <w:right w:val="single" w:sz="4" w:space="0" w:color="auto"/>
            </w:tcBorders>
            <w:shd w:val="clear" w:color="auto" w:fill="auto"/>
            <w:noWrap/>
            <w:vAlign w:val="bottom"/>
            <w:hideMark/>
          </w:tcPr>
          <w:p w14:paraId="3A6E3735"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7.272</w:t>
            </w:r>
          </w:p>
        </w:tc>
        <w:tc>
          <w:tcPr>
            <w:tcW w:w="355" w:type="pct"/>
            <w:tcBorders>
              <w:top w:val="nil"/>
              <w:left w:val="nil"/>
              <w:bottom w:val="single" w:sz="4" w:space="0" w:color="auto"/>
              <w:right w:val="single" w:sz="4" w:space="0" w:color="auto"/>
            </w:tcBorders>
            <w:shd w:val="clear" w:color="auto" w:fill="auto"/>
            <w:noWrap/>
            <w:vAlign w:val="bottom"/>
            <w:hideMark/>
          </w:tcPr>
          <w:p w14:paraId="3148B277"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7</w:t>
            </w:r>
          </w:p>
        </w:tc>
        <w:tc>
          <w:tcPr>
            <w:tcW w:w="347" w:type="pct"/>
            <w:tcBorders>
              <w:top w:val="nil"/>
              <w:left w:val="nil"/>
              <w:bottom w:val="single" w:sz="4" w:space="0" w:color="auto"/>
              <w:right w:val="single" w:sz="4" w:space="0" w:color="auto"/>
            </w:tcBorders>
            <w:shd w:val="clear" w:color="auto" w:fill="auto"/>
            <w:noWrap/>
            <w:vAlign w:val="bottom"/>
            <w:hideMark/>
          </w:tcPr>
          <w:p w14:paraId="4CF33A46"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530</w:t>
            </w:r>
          </w:p>
        </w:tc>
        <w:tc>
          <w:tcPr>
            <w:tcW w:w="364" w:type="pct"/>
            <w:tcBorders>
              <w:top w:val="nil"/>
              <w:left w:val="nil"/>
              <w:bottom w:val="single" w:sz="4" w:space="0" w:color="auto"/>
              <w:right w:val="single" w:sz="4" w:space="0" w:color="auto"/>
            </w:tcBorders>
            <w:shd w:val="clear" w:color="auto" w:fill="auto"/>
            <w:noWrap/>
            <w:vAlign w:val="bottom"/>
            <w:hideMark/>
          </w:tcPr>
          <w:p w14:paraId="2A0F6E5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1.423</w:t>
            </w:r>
          </w:p>
        </w:tc>
        <w:tc>
          <w:tcPr>
            <w:tcW w:w="490" w:type="pct"/>
            <w:tcBorders>
              <w:top w:val="nil"/>
              <w:left w:val="nil"/>
              <w:bottom w:val="single" w:sz="4" w:space="0" w:color="auto"/>
              <w:right w:val="single" w:sz="4" w:space="0" w:color="auto"/>
            </w:tcBorders>
            <w:shd w:val="clear" w:color="auto" w:fill="auto"/>
            <w:noWrap/>
            <w:vAlign w:val="bottom"/>
            <w:hideMark/>
          </w:tcPr>
          <w:p w14:paraId="2D09C4F2"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40.090</w:t>
            </w:r>
          </w:p>
        </w:tc>
        <w:tc>
          <w:tcPr>
            <w:tcW w:w="539" w:type="pct"/>
            <w:tcBorders>
              <w:top w:val="nil"/>
              <w:left w:val="nil"/>
              <w:bottom w:val="single" w:sz="4" w:space="0" w:color="auto"/>
              <w:right w:val="single" w:sz="4" w:space="0" w:color="auto"/>
            </w:tcBorders>
            <w:shd w:val="clear" w:color="auto" w:fill="auto"/>
            <w:noWrap/>
            <w:vAlign w:val="bottom"/>
            <w:hideMark/>
          </w:tcPr>
          <w:p w14:paraId="6AD5459D"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-1,3%</w:t>
            </w:r>
          </w:p>
        </w:tc>
        <w:tc>
          <w:tcPr>
            <w:tcW w:w="539" w:type="pct"/>
            <w:tcBorders>
              <w:top w:val="nil"/>
              <w:left w:val="nil"/>
              <w:bottom w:val="single" w:sz="4" w:space="0" w:color="auto"/>
              <w:right w:val="single" w:sz="4" w:space="0" w:color="auto"/>
            </w:tcBorders>
            <w:shd w:val="clear" w:color="auto" w:fill="auto"/>
            <w:noWrap/>
            <w:vAlign w:val="bottom"/>
            <w:hideMark/>
          </w:tcPr>
          <w:p w14:paraId="12DC7FBD"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-6,9%</w:t>
            </w:r>
          </w:p>
        </w:tc>
      </w:tr>
      <w:tr w:rsidR="00D47324" w:rsidRPr="00D47324" w14:paraId="157659AD"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6BFEDB85"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Trentino-Alto Adige</w:t>
            </w:r>
          </w:p>
        </w:tc>
        <w:tc>
          <w:tcPr>
            <w:tcW w:w="364" w:type="pct"/>
            <w:tcBorders>
              <w:top w:val="nil"/>
              <w:left w:val="nil"/>
              <w:bottom w:val="single" w:sz="4" w:space="0" w:color="auto"/>
              <w:right w:val="single" w:sz="4" w:space="0" w:color="auto"/>
            </w:tcBorders>
            <w:shd w:val="clear" w:color="auto" w:fill="auto"/>
            <w:noWrap/>
            <w:vAlign w:val="bottom"/>
            <w:hideMark/>
          </w:tcPr>
          <w:p w14:paraId="2B386A7D"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937</w:t>
            </w:r>
          </w:p>
        </w:tc>
        <w:tc>
          <w:tcPr>
            <w:tcW w:w="416" w:type="pct"/>
            <w:tcBorders>
              <w:top w:val="nil"/>
              <w:left w:val="nil"/>
              <w:bottom w:val="single" w:sz="4" w:space="0" w:color="auto"/>
              <w:right w:val="single" w:sz="4" w:space="0" w:color="auto"/>
            </w:tcBorders>
            <w:shd w:val="clear" w:color="auto" w:fill="auto"/>
            <w:noWrap/>
            <w:vAlign w:val="bottom"/>
            <w:hideMark/>
          </w:tcPr>
          <w:p w14:paraId="2E5A09EA"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27.152</w:t>
            </w:r>
          </w:p>
        </w:tc>
        <w:tc>
          <w:tcPr>
            <w:tcW w:w="311" w:type="pct"/>
            <w:tcBorders>
              <w:top w:val="nil"/>
              <w:left w:val="nil"/>
              <w:bottom w:val="single" w:sz="4" w:space="0" w:color="auto"/>
              <w:right w:val="single" w:sz="4" w:space="0" w:color="auto"/>
            </w:tcBorders>
            <w:shd w:val="clear" w:color="auto" w:fill="auto"/>
            <w:noWrap/>
            <w:vAlign w:val="bottom"/>
            <w:hideMark/>
          </w:tcPr>
          <w:p w14:paraId="4F3B1AF1"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73</w:t>
            </w:r>
          </w:p>
        </w:tc>
        <w:tc>
          <w:tcPr>
            <w:tcW w:w="364" w:type="pct"/>
            <w:tcBorders>
              <w:top w:val="nil"/>
              <w:left w:val="nil"/>
              <w:bottom w:val="single" w:sz="4" w:space="0" w:color="auto"/>
              <w:right w:val="single" w:sz="4" w:space="0" w:color="auto"/>
            </w:tcBorders>
            <w:shd w:val="clear" w:color="auto" w:fill="auto"/>
            <w:noWrap/>
            <w:vAlign w:val="bottom"/>
            <w:hideMark/>
          </w:tcPr>
          <w:p w14:paraId="29856D96"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1.287</w:t>
            </w:r>
          </w:p>
        </w:tc>
        <w:tc>
          <w:tcPr>
            <w:tcW w:w="355" w:type="pct"/>
            <w:tcBorders>
              <w:top w:val="nil"/>
              <w:left w:val="nil"/>
              <w:bottom w:val="single" w:sz="4" w:space="0" w:color="auto"/>
              <w:right w:val="single" w:sz="4" w:space="0" w:color="auto"/>
            </w:tcBorders>
            <w:shd w:val="clear" w:color="auto" w:fill="auto"/>
            <w:noWrap/>
            <w:vAlign w:val="bottom"/>
            <w:hideMark/>
          </w:tcPr>
          <w:p w14:paraId="7EC9EBC1"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w:t>
            </w:r>
          </w:p>
        </w:tc>
        <w:tc>
          <w:tcPr>
            <w:tcW w:w="347" w:type="pct"/>
            <w:tcBorders>
              <w:top w:val="nil"/>
              <w:left w:val="nil"/>
              <w:bottom w:val="single" w:sz="4" w:space="0" w:color="auto"/>
              <w:right w:val="single" w:sz="4" w:space="0" w:color="auto"/>
            </w:tcBorders>
            <w:shd w:val="clear" w:color="auto" w:fill="auto"/>
            <w:noWrap/>
            <w:vAlign w:val="bottom"/>
            <w:hideMark/>
          </w:tcPr>
          <w:p w14:paraId="23664A45"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274</w:t>
            </w:r>
          </w:p>
        </w:tc>
        <w:tc>
          <w:tcPr>
            <w:tcW w:w="364" w:type="pct"/>
            <w:tcBorders>
              <w:top w:val="nil"/>
              <w:left w:val="nil"/>
              <w:bottom w:val="single" w:sz="4" w:space="0" w:color="auto"/>
              <w:right w:val="single" w:sz="4" w:space="0" w:color="auto"/>
            </w:tcBorders>
            <w:shd w:val="clear" w:color="auto" w:fill="auto"/>
            <w:noWrap/>
            <w:vAlign w:val="bottom"/>
            <w:hideMark/>
          </w:tcPr>
          <w:p w14:paraId="263BF5FC"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1.014</w:t>
            </w:r>
          </w:p>
        </w:tc>
        <w:tc>
          <w:tcPr>
            <w:tcW w:w="490" w:type="pct"/>
            <w:tcBorders>
              <w:top w:val="nil"/>
              <w:left w:val="nil"/>
              <w:bottom w:val="single" w:sz="4" w:space="0" w:color="auto"/>
              <w:right w:val="single" w:sz="4" w:space="0" w:color="auto"/>
            </w:tcBorders>
            <w:shd w:val="clear" w:color="auto" w:fill="auto"/>
            <w:noWrap/>
            <w:vAlign w:val="bottom"/>
            <w:hideMark/>
          </w:tcPr>
          <w:p w14:paraId="655891DF"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28.713</w:t>
            </w:r>
          </w:p>
        </w:tc>
        <w:tc>
          <w:tcPr>
            <w:tcW w:w="539" w:type="pct"/>
            <w:tcBorders>
              <w:top w:val="nil"/>
              <w:left w:val="nil"/>
              <w:bottom w:val="single" w:sz="4" w:space="0" w:color="auto"/>
              <w:right w:val="single" w:sz="4" w:space="0" w:color="auto"/>
            </w:tcBorders>
            <w:shd w:val="clear" w:color="auto" w:fill="auto"/>
            <w:noWrap/>
            <w:vAlign w:val="bottom"/>
            <w:hideMark/>
          </w:tcPr>
          <w:p w14:paraId="11E1033D"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0,5%</w:t>
            </w:r>
          </w:p>
        </w:tc>
        <w:tc>
          <w:tcPr>
            <w:tcW w:w="539" w:type="pct"/>
            <w:tcBorders>
              <w:top w:val="nil"/>
              <w:left w:val="nil"/>
              <w:bottom w:val="single" w:sz="4" w:space="0" w:color="auto"/>
              <w:right w:val="single" w:sz="4" w:space="0" w:color="auto"/>
            </w:tcBorders>
            <w:shd w:val="clear" w:color="auto" w:fill="auto"/>
            <w:noWrap/>
            <w:vAlign w:val="bottom"/>
            <w:hideMark/>
          </w:tcPr>
          <w:p w14:paraId="0045EBD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-4,4%</w:t>
            </w:r>
          </w:p>
        </w:tc>
      </w:tr>
      <w:tr w:rsidR="00D47324" w:rsidRPr="00D47324" w14:paraId="52966FF4"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785AF3E6"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Umbria</w:t>
            </w:r>
          </w:p>
        </w:tc>
        <w:tc>
          <w:tcPr>
            <w:tcW w:w="364" w:type="pct"/>
            <w:tcBorders>
              <w:top w:val="nil"/>
              <w:left w:val="nil"/>
              <w:bottom w:val="single" w:sz="4" w:space="0" w:color="auto"/>
              <w:right w:val="single" w:sz="4" w:space="0" w:color="auto"/>
            </w:tcBorders>
            <w:shd w:val="clear" w:color="auto" w:fill="auto"/>
            <w:noWrap/>
            <w:vAlign w:val="bottom"/>
            <w:hideMark/>
          </w:tcPr>
          <w:p w14:paraId="544BB3A6"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398</w:t>
            </w:r>
          </w:p>
        </w:tc>
        <w:tc>
          <w:tcPr>
            <w:tcW w:w="416" w:type="pct"/>
            <w:tcBorders>
              <w:top w:val="nil"/>
              <w:left w:val="nil"/>
              <w:bottom w:val="single" w:sz="4" w:space="0" w:color="auto"/>
              <w:right w:val="single" w:sz="4" w:space="0" w:color="auto"/>
            </w:tcBorders>
            <w:shd w:val="clear" w:color="auto" w:fill="auto"/>
            <w:noWrap/>
            <w:vAlign w:val="bottom"/>
            <w:hideMark/>
          </w:tcPr>
          <w:p w14:paraId="7737C556"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13.484</w:t>
            </w:r>
          </w:p>
        </w:tc>
        <w:tc>
          <w:tcPr>
            <w:tcW w:w="311" w:type="pct"/>
            <w:tcBorders>
              <w:top w:val="nil"/>
              <w:left w:val="nil"/>
              <w:bottom w:val="single" w:sz="4" w:space="0" w:color="auto"/>
              <w:right w:val="single" w:sz="4" w:space="0" w:color="auto"/>
            </w:tcBorders>
            <w:shd w:val="clear" w:color="auto" w:fill="auto"/>
            <w:noWrap/>
            <w:vAlign w:val="bottom"/>
            <w:hideMark/>
          </w:tcPr>
          <w:p w14:paraId="319A72DF"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97</w:t>
            </w:r>
          </w:p>
        </w:tc>
        <w:tc>
          <w:tcPr>
            <w:tcW w:w="364" w:type="pct"/>
            <w:tcBorders>
              <w:top w:val="nil"/>
              <w:left w:val="nil"/>
              <w:bottom w:val="single" w:sz="4" w:space="0" w:color="auto"/>
              <w:right w:val="single" w:sz="4" w:space="0" w:color="auto"/>
            </w:tcBorders>
            <w:shd w:val="clear" w:color="auto" w:fill="auto"/>
            <w:noWrap/>
            <w:vAlign w:val="bottom"/>
            <w:hideMark/>
          </w:tcPr>
          <w:p w14:paraId="0D35ADF4"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3.099</w:t>
            </w:r>
          </w:p>
        </w:tc>
        <w:tc>
          <w:tcPr>
            <w:tcW w:w="355" w:type="pct"/>
            <w:tcBorders>
              <w:top w:val="nil"/>
              <w:left w:val="nil"/>
              <w:bottom w:val="single" w:sz="4" w:space="0" w:color="auto"/>
              <w:right w:val="single" w:sz="4" w:space="0" w:color="auto"/>
            </w:tcBorders>
            <w:shd w:val="clear" w:color="auto" w:fill="auto"/>
            <w:noWrap/>
            <w:vAlign w:val="bottom"/>
            <w:hideMark/>
          </w:tcPr>
          <w:p w14:paraId="5F5F346B"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3</w:t>
            </w:r>
          </w:p>
        </w:tc>
        <w:tc>
          <w:tcPr>
            <w:tcW w:w="347" w:type="pct"/>
            <w:tcBorders>
              <w:top w:val="nil"/>
              <w:left w:val="nil"/>
              <w:bottom w:val="single" w:sz="4" w:space="0" w:color="auto"/>
              <w:right w:val="single" w:sz="4" w:space="0" w:color="auto"/>
            </w:tcBorders>
            <w:shd w:val="clear" w:color="auto" w:fill="auto"/>
            <w:noWrap/>
            <w:vAlign w:val="bottom"/>
            <w:hideMark/>
          </w:tcPr>
          <w:p w14:paraId="626AD159"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231</w:t>
            </w:r>
          </w:p>
        </w:tc>
        <w:tc>
          <w:tcPr>
            <w:tcW w:w="364" w:type="pct"/>
            <w:tcBorders>
              <w:top w:val="nil"/>
              <w:left w:val="nil"/>
              <w:bottom w:val="single" w:sz="4" w:space="0" w:color="auto"/>
              <w:right w:val="single" w:sz="4" w:space="0" w:color="auto"/>
            </w:tcBorders>
            <w:shd w:val="clear" w:color="auto" w:fill="auto"/>
            <w:noWrap/>
            <w:vAlign w:val="bottom"/>
            <w:hideMark/>
          </w:tcPr>
          <w:p w14:paraId="36EE336D"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498</w:t>
            </w:r>
          </w:p>
        </w:tc>
        <w:tc>
          <w:tcPr>
            <w:tcW w:w="490" w:type="pct"/>
            <w:tcBorders>
              <w:top w:val="nil"/>
              <w:left w:val="nil"/>
              <w:bottom w:val="single" w:sz="4" w:space="0" w:color="auto"/>
              <w:right w:val="single" w:sz="4" w:space="0" w:color="auto"/>
            </w:tcBorders>
            <w:shd w:val="clear" w:color="auto" w:fill="auto"/>
            <w:noWrap/>
            <w:vAlign w:val="bottom"/>
            <w:hideMark/>
          </w:tcPr>
          <w:p w14:paraId="6B37AC3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16.814</w:t>
            </w:r>
          </w:p>
        </w:tc>
        <w:tc>
          <w:tcPr>
            <w:tcW w:w="539" w:type="pct"/>
            <w:tcBorders>
              <w:top w:val="nil"/>
              <w:left w:val="nil"/>
              <w:bottom w:val="single" w:sz="4" w:space="0" w:color="auto"/>
              <w:right w:val="single" w:sz="4" w:space="0" w:color="auto"/>
            </w:tcBorders>
            <w:shd w:val="clear" w:color="auto" w:fill="auto"/>
            <w:noWrap/>
            <w:vAlign w:val="bottom"/>
            <w:hideMark/>
          </w:tcPr>
          <w:p w14:paraId="51D7C9F2"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0,3%</w:t>
            </w:r>
          </w:p>
        </w:tc>
        <w:tc>
          <w:tcPr>
            <w:tcW w:w="539" w:type="pct"/>
            <w:tcBorders>
              <w:top w:val="nil"/>
              <w:left w:val="nil"/>
              <w:bottom w:val="single" w:sz="4" w:space="0" w:color="auto"/>
              <w:right w:val="single" w:sz="4" w:space="0" w:color="auto"/>
            </w:tcBorders>
            <w:shd w:val="clear" w:color="auto" w:fill="auto"/>
            <w:noWrap/>
            <w:vAlign w:val="bottom"/>
            <w:hideMark/>
          </w:tcPr>
          <w:p w14:paraId="5E6B39D4"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-9,4%</w:t>
            </w:r>
          </w:p>
        </w:tc>
      </w:tr>
      <w:tr w:rsidR="00D47324" w:rsidRPr="00D47324" w14:paraId="555BE5AB"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7051B9BB"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Valle d'Aosta</w:t>
            </w:r>
          </w:p>
        </w:tc>
        <w:tc>
          <w:tcPr>
            <w:tcW w:w="364" w:type="pct"/>
            <w:tcBorders>
              <w:top w:val="nil"/>
              <w:left w:val="nil"/>
              <w:bottom w:val="single" w:sz="4" w:space="0" w:color="auto"/>
              <w:right w:val="single" w:sz="4" w:space="0" w:color="auto"/>
            </w:tcBorders>
            <w:shd w:val="clear" w:color="auto" w:fill="auto"/>
            <w:noWrap/>
            <w:vAlign w:val="bottom"/>
            <w:hideMark/>
          </w:tcPr>
          <w:p w14:paraId="0A4F2FD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47</w:t>
            </w:r>
          </w:p>
        </w:tc>
        <w:tc>
          <w:tcPr>
            <w:tcW w:w="416" w:type="pct"/>
            <w:tcBorders>
              <w:top w:val="nil"/>
              <w:left w:val="nil"/>
              <w:bottom w:val="single" w:sz="4" w:space="0" w:color="auto"/>
              <w:right w:val="single" w:sz="4" w:space="0" w:color="auto"/>
            </w:tcBorders>
            <w:shd w:val="clear" w:color="auto" w:fill="auto"/>
            <w:noWrap/>
            <w:vAlign w:val="bottom"/>
            <w:hideMark/>
          </w:tcPr>
          <w:p w14:paraId="1AEA72EB"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1.220</w:t>
            </w:r>
          </w:p>
        </w:tc>
        <w:tc>
          <w:tcPr>
            <w:tcW w:w="311" w:type="pct"/>
            <w:tcBorders>
              <w:top w:val="nil"/>
              <w:left w:val="nil"/>
              <w:bottom w:val="single" w:sz="4" w:space="0" w:color="auto"/>
              <w:right w:val="single" w:sz="4" w:space="0" w:color="auto"/>
            </w:tcBorders>
            <w:shd w:val="clear" w:color="auto" w:fill="auto"/>
            <w:noWrap/>
            <w:vAlign w:val="bottom"/>
            <w:hideMark/>
          </w:tcPr>
          <w:p w14:paraId="2F475CD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7</w:t>
            </w:r>
          </w:p>
        </w:tc>
        <w:tc>
          <w:tcPr>
            <w:tcW w:w="364" w:type="pct"/>
            <w:tcBorders>
              <w:top w:val="nil"/>
              <w:left w:val="nil"/>
              <w:bottom w:val="single" w:sz="4" w:space="0" w:color="auto"/>
              <w:right w:val="single" w:sz="4" w:space="0" w:color="auto"/>
            </w:tcBorders>
            <w:shd w:val="clear" w:color="auto" w:fill="auto"/>
            <w:noWrap/>
            <w:vAlign w:val="bottom"/>
            <w:hideMark/>
          </w:tcPr>
          <w:p w14:paraId="5FC26CAA"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209</w:t>
            </w:r>
          </w:p>
        </w:tc>
        <w:tc>
          <w:tcPr>
            <w:tcW w:w="355" w:type="pct"/>
            <w:tcBorders>
              <w:top w:val="nil"/>
              <w:left w:val="nil"/>
              <w:bottom w:val="single" w:sz="4" w:space="0" w:color="auto"/>
              <w:right w:val="single" w:sz="4" w:space="0" w:color="auto"/>
            </w:tcBorders>
            <w:shd w:val="clear" w:color="auto" w:fill="auto"/>
            <w:noWrap/>
            <w:vAlign w:val="bottom"/>
            <w:hideMark/>
          </w:tcPr>
          <w:p w14:paraId="40CFA28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0</w:t>
            </w:r>
          </w:p>
        </w:tc>
        <w:tc>
          <w:tcPr>
            <w:tcW w:w="347" w:type="pct"/>
            <w:tcBorders>
              <w:top w:val="nil"/>
              <w:left w:val="nil"/>
              <w:bottom w:val="single" w:sz="4" w:space="0" w:color="auto"/>
              <w:right w:val="single" w:sz="4" w:space="0" w:color="auto"/>
            </w:tcBorders>
            <w:shd w:val="clear" w:color="auto" w:fill="auto"/>
            <w:noWrap/>
            <w:vAlign w:val="bottom"/>
            <w:hideMark/>
          </w:tcPr>
          <w:p w14:paraId="789BF188"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18</w:t>
            </w:r>
          </w:p>
        </w:tc>
        <w:tc>
          <w:tcPr>
            <w:tcW w:w="364" w:type="pct"/>
            <w:tcBorders>
              <w:top w:val="nil"/>
              <w:left w:val="nil"/>
              <w:bottom w:val="single" w:sz="4" w:space="0" w:color="auto"/>
              <w:right w:val="single" w:sz="4" w:space="0" w:color="auto"/>
            </w:tcBorders>
            <w:shd w:val="clear" w:color="auto" w:fill="auto"/>
            <w:noWrap/>
            <w:vAlign w:val="bottom"/>
            <w:hideMark/>
          </w:tcPr>
          <w:p w14:paraId="118DE758"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54</w:t>
            </w:r>
          </w:p>
        </w:tc>
        <w:tc>
          <w:tcPr>
            <w:tcW w:w="490" w:type="pct"/>
            <w:tcBorders>
              <w:top w:val="nil"/>
              <w:left w:val="nil"/>
              <w:bottom w:val="single" w:sz="4" w:space="0" w:color="auto"/>
              <w:right w:val="single" w:sz="4" w:space="0" w:color="auto"/>
            </w:tcBorders>
            <w:shd w:val="clear" w:color="auto" w:fill="auto"/>
            <w:noWrap/>
            <w:vAlign w:val="bottom"/>
            <w:hideMark/>
          </w:tcPr>
          <w:p w14:paraId="0BF0D50B"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1.447</w:t>
            </w:r>
          </w:p>
        </w:tc>
        <w:tc>
          <w:tcPr>
            <w:tcW w:w="539" w:type="pct"/>
            <w:tcBorders>
              <w:top w:val="nil"/>
              <w:left w:val="nil"/>
              <w:bottom w:val="single" w:sz="4" w:space="0" w:color="auto"/>
              <w:right w:val="single" w:sz="4" w:space="0" w:color="auto"/>
            </w:tcBorders>
            <w:shd w:val="clear" w:color="auto" w:fill="auto"/>
            <w:noWrap/>
            <w:vAlign w:val="bottom"/>
            <w:hideMark/>
          </w:tcPr>
          <w:p w14:paraId="3129B1B5"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-1,4%</w:t>
            </w:r>
          </w:p>
        </w:tc>
        <w:tc>
          <w:tcPr>
            <w:tcW w:w="539" w:type="pct"/>
            <w:tcBorders>
              <w:top w:val="nil"/>
              <w:left w:val="nil"/>
              <w:bottom w:val="single" w:sz="4" w:space="0" w:color="auto"/>
              <w:right w:val="single" w:sz="4" w:space="0" w:color="auto"/>
            </w:tcBorders>
            <w:shd w:val="clear" w:color="auto" w:fill="auto"/>
            <w:noWrap/>
            <w:vAlign w:val="bottom"/>
            <w:hideMark/>
          </w:tcPr>
          <w:p w14:paraId="279334C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-22,7%</w:t>
            </w:r>
          </w:p>
        </w:tc>
      </w:tr>
      <w:tr w:rsidR="00D47324" w:rsidRPr="00D47324" w14:paraId="6FE06129"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4186C03D" w14:textId="77777777" w:rsidR="00D47324" w:rsidRPr="00D47324" w:rsidRDefault="00D47324" w:rsidP="00D47324">
            <w:pPr>
              <w:spacing w:after="0"/>
              <w:jc w:val="lef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Veneto</w:t>
            </w:r>
          </w:p>
        </w:tc>
        <w:tc>
          <w:tcPr>
            <w:tcW w:w="364" w:type="pct"/>
            <w:tcBorders>
              <w:top w:val="nil"/>
              <w:left w:val="nil"/>
              <w:bottom w:val="single" w:sz="4" w:space="0" w:color="auto"/>
              <w:right w:val="single" w:sz="4" w:space="0" w:color="auto"/>
            </w:tcBorders>
            <w:shd w:val="clear" w:color="auto" w:fill="auto"/>
            <w:noWrap/>
            <w:vAlign w:val="bottom"/>
            <w:hideMark/>
          </w:tcPr>
          <w:p w14:paraId="6989CC4F"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1.840</w:t>
            </w:r>
          </w:p>
        </w:tc>
        <w:tc>
          <w:tcPr>
            <w:tcW w:w="416" w:type="pct"/>
            <w:tcBorders>
              <w:top w:val="nil"/>
              <w:left w:val="nil"/>
              <w:bottom w:val="single" w:sz="4" w:space="0" w:color="auto"/>
              <w:right w:val="single" w:sz="4" w:space="0" w:color="auto"/>
            </w:tcBorders>
            <w:shd w:val="clear" w:color="auto" w:fill="auto"/>
            <w:noWrap/>
            <w:vAlign w:val="bottom"/>
            <w:hideMark/>
          </w:tcPr>
          <w:p w14:paraId="666FDEF8"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52.002</w:t>
            </w:r>
          </w:p>
        </w:tc>
        <w:tc>
          <w:tcPr>
            <w:tcW w:w="311" w:type="pct"/>
            <w:tcBorders>
              <w:top w:val="nil"/>
              <w:left w:val="nil"/>
              <w:bottom w:val="single" w:sz="4" w:space="0" w:color="auto"/>
              <w:right w:val="single" w:sz="4" w:space="0" w:color="auto"/>
            </w:tcBorders>
            <w:shd w:val="clear" w:color="auto" w:fill="auto"/>
            <w:noWrap/>
            <w:vAlign w:val="bottom"/>
            <w:hideMark/>
          </w:tcPr>
          <w:p w14:paraId="6CC9BBFD"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544</w:t>
            </w:r>
          </w:p>
        </w:tc>
        <w:tc>
          <w:tcPr>
            <w:tcW w:w="364" w:type="pct"/>
            <w:tcBorders>
              <w:top w:val="nil"/>
              <w:left w:val="nil"/>
              <w:bottom w:val="single" w:sz="4" w:space="0" w:color="auto"/>
              <w:right w:val="single" w:sz="4" w:space="0" w:color="auto"/>
            </w:tcBorders>
            <w:shd w:val="clear" w:color="auto" w:fill="auto"/>
            <w:noWrap/>
            <w:vAlign w:val="bottom"/>
            <w:hideMark/>
          </w:tcPr>
          <w:p w14:paraId="123DC855"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11.514</w:t>
            </w:r>
          </w:p>
        </w:tc>
        <w:tc>
          <w:tcPr>
            <w:tcW w:w="355" w:type="pct"/>
            <w:tcBorders>
              <w:top w:val="nil"/>
              <w:left w:val="nil"/>
              <w:bottom w:val="single" w:sz="4" w:space="0" w:color="auto"/>
              <w:right w:val="single" w:sz="4" w:space="0" w:color="auto"/>
            </w:tcBorders>
            <w:shd w:val="clear" w:color="auto" w:fill="auto"/>
            <w:noWrap/>
            <w:vAlign w:val="bottom"/>
            <w:hideMark/>
          </w:tcPr>
          <w:p w14:paraId="673B1C40"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16</w:t>
            </w:r>
          </w:p>
        </w:tc>
        <w:tc>
          <w:tcPr>
            <w:tcW w:w="347" w:type="pct"/>
            <w:tcBorders>
              <w:top w:val="nil"/>
              <w:left w:val="nil"/>
              <w:bottom w:val="single" w:sz="4" w:space="0" w:color="auto"/>
              <w:right w:val="single" w:sz="4" w:space="0" w:color="auto"/>
            </w:tcBorders>
            <w:shd w:val="clear" w:color="auto" w:fill="auto"/>
            <w:noWrap/>
            <w:vAlign w:val="bottom"/>
            <w:hideMark/>
          </w:tcPr>
          <w:p w14:paraId="61B7A601"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666</w:t>
            </w:r>
          </w:p>
        </w:tc>
        <w:tc>
          <w:tcPr>
            <w:tcW w:w="364" w:type="pct"/>
            <w:tcBorders>
              <w:top w:val="nil"/>
              <w:left w:val="nil"/>
              <w:bottom w:val="single" w:sz="4" w:space="0" w:color="auto"/>
              <w:right w:val="single" w:sz="4" w:space="0" w:color="auto"/>
            </w:tcBorders>
            <w:shd w:val="clear" w:color="auto" w:fill="auto"/>
            <w:noWrap/>
            <w:vAlign w:val="bottom"/>
            <w:hideMark/>
          </w:tcPr>
          <w:p w14:paraId="5D685DA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2.400</w:t>
            </w:r>
          </w:p>
        </w:tc>
        <w:tc>
          <w:tcPr>
            <w:tcW w:w="490" w:type="pct"/>
            <w:tcBorders>
              <w:top w:val="nil"/>
              <w:left w:val="nil"/>
              <w:bottom w:val="single" w:sz="4" w:space="0" w:color="auto"/>
              <w:right w:val="single" w:sz="4" w:space="0" w:color="auto"/>
            </w:tcBorders>
            <w:shd w:val="clear" w:color="auto" w:fill="auto"/>
            <w:noWrap/>
            <w:vAlign w:val="bottom"/>
            <w:hideMark/>
          </w:tcPr>
          <w:p w14:paraId="07DD17ED"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64.182</w:t>
            </w:r>
          </w:p>
        </w:tc>
        <w:tc>
          <w:tcPr>
            <w:tcW w:w="539" w:type="pct"/>
            <w:tcBorders>
              <w:top w:val="nil"/>
              <w:left w:val="nil"/>
              <w:bottom w:val="single" w:sz="4" w:space="0" w:color="auto"/>
              <w:right w:val="single" w:sz="4" w:space="0" w:color="auto"/>
            </w:tcBorders>
            <w:shd w:val="clear" w:color="auto" w:fill="auto"/>
            <w:noWrap/>
            <w:vAlign w:val="bottom"/>
            <w:hideMark/>
          </w:tcPr>
          <w:p w14:paraId="47EB8D2E"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-2,6%</w:t>
            </w:r>
          </w:p>
        </w:tc>
        <w:tc>
          <w:tcPr>
            <w:tcW w:w="539" w:type="pct"/>
            <w:tcBorders>
              <w:top w:val="nil"/>
              <w:left w:val="nil"/>
              <w:bottom w:val="single" w:sz="4" w:space="0" w:color="auto"/>
              <w:right w:val="single" w:sz="4" w:space="0" w:color="auto"/>
            </w:tcBorders>
            <w:shd w:val="clear" w:color="auto" w:fill="auto"/>
            <w:noWrap/>
            <w:vAlign w:val="bottom"/>
            <w:hideMark/>
          </w:tcPr>
          <w:p w14:paraId="3293EC63" w14:textId="77777777" w:rsidR="00D47324" w:rsidRPr="00D47324" w:rsidRDefault="00D47324" w:rsidP="00D47324">
            <w:pPr>
              <w:spacing w:after="0"/>
              <w:jc w:val="right"/>
              <w:rPr>
                <w:rFonts w:ascii="Calibri" w:eastAsia="Times New Roman" w:hAnsi="Calibri" w:cs="Calibri"/>
                <w:color w:val="000000"/>
                <w:sz w:val="20"/>
                <w:szCs w:val="20"/>
                <w:lang w:eastAsia="it-IT"/>
              </w:rPr>
            </w:pPr>
            <w:r w:rsidRPr="00D47324">
              <w:rPr>
                <w:rFonts w:ascii="Calibri" w:eastAsia="Times New Roman" w:hAnsi="Calibri" w:cs="Calibri"/>
                <w:color w:val="000000"/>
                <w:sz w:val="20"/>
                <w:szCs w:val="20"/>
                <w:lang w:eastAsia="it-IT"/>
              </w:rPr>
              <w:t>-16,1%</w:t>
            </w:r>
          </w:p>
        </w:tc>
      </w:tr>
      <w:tr w:rsidR="00D47324" w:rsidRPr="00D47324" w14:paraId="0EE49804" w14:textId="77777777" w:rsidTr="00D47324">
        <w:trPr>
          <w:trHeight w:val="290"/>
        </w:trPr>
        <w:tc>
          <w:tcPr>
            <w:tcW w:w="911" w:type="pct"/>
            <w:tcBorders>
              <w:top w:val="nil"/>
              <w:left w:val="single" w:sz="4" w:space="0" w:color="auto"/>
              <w:bottom w:val="single" w:sz="4" w:space="0" w:color="auto"/>
              <w:right w:val="single" w:sz="4" w:space="0" w:color="auto"/>
            </w:tcBorders>
            <w:shd w:val="clear" w:color="auto" w:fill="auto"/>
            <w:noWrap/>
            <w:vAlign w:val="bottom"/>
            <w:hideMark/>
          </w:tcPr>
          <w:p w14:paraId="0DFC61E0" w14:textId="77777777" w:rsidR="00D47324" w:rsidRPr="00D47324" w:rsidRDefault="00D47324" w:rsidP="00D47324">
            <w:pPr>
              <w:spacing w:after="0"/>
              <w:jc w:val="left"/>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Italia</w:t>
            </w:r>
          </w:p>
        </w:tc>
        <w:tc>
          <w:tcPr>
            <w:tcW w:w="364" w:type="pct"/>
            <w:tcBorders>
              <w:top w:val="nil"/>
              <w:left w:val="nil"/>
              <w:bottom w:val="single" w:sz="4" w:space="0" w:color="auto"/>
              <w:right w:val="single" w:sz="4" w:space="0" w:color="auto"/>
            </w:tcBorders>
            <w:shd w:val="clear" w:color="auto" w:fill="auto"/>
            <w:noWrap/>
            <w:vAlign w:val="bottom"/>
            <w:hideMark/>
          </w:tcPr>
          <w:p w14:paraId="26438B25" w14:textId="77777777" w:rsidR="00D47324" w:rsidRPr="00D47324" w:rsidRDefault="00D47324" w:rsidP="00D47324">
            <w:pPr>
              <w:spacing w:after="0"/>
              <w:jc w:val="right"/>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24.022</w:t>
            </w:r>
          </w:p>
        </w:tc>
        <w:tc>
          <w:tcPr>
            <w:tcW w:w="416" w:type="pct"/>
            <w:tcBorders>
              <w:top w:val="nil"/>
              <w:left w:val="nil"/>
              <w:bottom w:val="single" w:sz="4" w:space="0" w:color="auto"/>
              <w:right w:val="single" w:sz="4" w:space="0" w:color="auto"/>
            </w:tcBorders>
            <w:shd w:val="clear" w:color="auto" w:fill="auto"/>
            <w:noWrap/>
            <w:vAlign w:val="bottom"/>
            <w:hideMark/>
          </w:tcPr>
          <w:p w14:paraId="083DC9D6" w14:textId="77777777" w:rsidR="00D47324" w:rsidRPr="00D47324" w:rsidRDefault="00D47324" w:rsidP="00D47324">
            <w:pPr>
              <w:spacing w:after="0"/>
              <w:jc w:val="right"/>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638.664</w:t>
            </w:r>
          </w:p>
        </w:tc>
        <w:tc>
          <w:tcPr>
            <w:tcW w:w="311" w:type="pct"/>
            <w:tcBorders>
              <w:top w:val="nil"/>
              <w:left w:val="nil"/>
              <w:bottom w:val="single" w:sz="4" w:space="0" w:color="auto"/>
              <w:right w:val="single" w:sz="4" w:space="0" w:color="auto"/>
            </w:tcBorders>
            <w:shd w:val="clear" w:color="auto" w:fill="auto"/>
            <w:noWrap/>
            <w:vAlign w:val="bottom"/>
            <w:hideMark/>
          </w:tcPr>
          <w:p w14:paraId="4574BD7B" w14:textId="77777777" w:rsidR="00D47324" w:rsidRPr="00D47324" w:rsidRDefault="00D47324" w:rsidP="00D47324">
            <w:pPr>
              <w:spacing w:after="0"/>
              <w:jc w:val="right"/>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3.311</w:t>
            </w:r>
          </w:p>
        </w:tc>
        <w:tc>
          <w:tcPr>
            <w:tcW w:w="364" w:type="pct"/>
            <w:tcBorders>
              <w:top w:val="nil"/>
              <w:left w:val="nil"/>
              <w:bottom w:val="single" w:sz="4" w:space="0" w:color="auto"/>
              <w:right w:val="single" w:sz="4" w:space="0" w:color="auto"/>
            </w:tcBorders>
            <w:shd w:val="clear" w:color="auto" w:fill="auto"/>
            <w:noWrap/>
            <w:vAlign w:val="bottom"/>
            <w:hideMark/>
          </w:tcPr>
          <w:p w14:paraId="2A95EE01" w14:textId="77777777" w:rsidR="00D47324" w:rsidRPr="00D47324" w:rsidRDefault="00D47324" w:rsidP="00D47324">
            <w:pPr>
              <w:spacing w:after="0"/>
              <w:jc w:val="right"/>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85.814</w:t>
            </w:r>
          </w:p>
        </w:tc>
        <w:tc>
          <w:tcPr>
            <w:tcW w:w="355" w:type="pct"/>
            <w:tcBorders>
              <w:top w:val="nil"/>
              <w:left w:val="nil"/>
              <w:bottom w:val="single" w:sz="4" w:space="0" w:color="auto"/>
              <w:right w:val="single" w:sz="4" w:space="0" w:color="auto"/>
            </w:tcBorders>
            <w:shd w:val="clear" w:color="auto" w:fill="auto"/>
            <w:noWrap/>
            <w:vAlign w:val="bottom"/>
            <w:hideMark/>
          </w:tcPr>
          <w:p w14:paraId="54D8596E" w14:textId="77777777" w:rsidR="00D47324" w:rsidRPr="00D47324" w:rsidRDefault="00D47324" w:rsidP="00D47324">
            <w:pPr>
              <w:spacing w:after="0"/>
              <w:jc w:val="right"/>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134</w:t>
            </w:r>
          </w:p>
        </w:tc>
        <w:tc>
          <w:tcPr>
            <w:tcW w:w="347" w:type="pct"/>
            <w:tcBorders>
              <w:top w:val="nil"/>
              <w:left w:val="nil"/>
              <w:bottom w:val="single" w:sz="4" w:space="0" w:color="auto"/>
              <w:right w:val="single" w:sz="4" w:space="0" w:color="auto"/>
            </w:tcBorders>
            <w:shd w:val="clear" w:color="auto" w:fill="auto"/>
            <w:noWrap/>
            <w:vAlign w:val="bottom"/>
            <w:hideMark/>
          </w:tcPr>
          <w:p w14:paraId="0AEBAC3A" w14:textId="77777777" w:rsidR="00D47324" w:rsidRPr="00D47324" w:rsidRDefault="00D47324" w:rsidP="00D47324">
            <w:pPr>
              <w:spacing w:after="0"/>
              <w:jc w:val="right"/>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13.164</w:t>
            </w:r>
          </w:p>
        </w:tc>
        <w:tc>
          <w:tcPr>
            <w:tcW w:w="364" w:type="pct"/>
            <w:tcBorders>
              <w:top w:val="nil"/>
              <w:left w:val="nil"/>
              <w:bottom w:val="single" w:sz="4" w:space="0" w:color="auto"/>
              <w:right w:val="single" w:sz="4" w:space="0" w:color="auto"/>
            </w:tcBorders>
            <w:shd w:val="clear" w:color="auto" w:fill="auto"/>
            <w:noWrap/>
            <w:vAlign w:val="bottom"/>
            <w:hideMark/>
          </w:tcPr>
          <w:p w14:paraId="0E3AE9B1" w14:textId="77777777" w:rsidR="00D47324" w:rsidRPr="00D47324" w:rsidRDefault="00D47324" w:rsidP="00D47324">
            <w:pPr>
              <w:spacing w:after="0"/>
              <w:jc w:val="right"/>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27.467</w:t>
            </w:r>
          </w:p>
        </w:tc>
        <w:tc>
          <w:tcPr>
            <w:tcW w:w="490" w:type="pct"/>
            <w:tcBorders>
              <w:top w:val="nil"/>
              <w:left w:val="nil"/>
              <w:bottom w:val="single" w:sz="4" w:space="0" w:color="auto"/>
              <w:right w:val="single" w:sz="4" w:space="0" w:color="auto"/>
            </w:tcBorders>
            <w:shd w:val="clear" w:color="auto" w:fill="auto"/>
            <w:noWrap/>
            <w:vAlign w:val="bottom"/>
            <w:hideMark/>
          </w:tcPr>
          <w:p w14:paraId="0523DCC2" w14:textId="77777777" w:rsidR="00D47324" w:rsidRPr="00D47324" w:rsidRDefault="00D47324" w:rsidP="00D47324">
            <w:pPr>
              <w:spacing w:after="0"/>
              <w:jc w:val="right"/>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737.642</w:t>
            </w:r>
          </w:p>
        </w:tc>
        <w:tc>
          <w:tcPr>
            <w:tcW w:w="539" w:type="pct"/>
            <w:tcBorders>
              <w:top w:val="nil"/>
              <w:left w:val="nil"/>
              <w:bottom w:val="single" w:sz="4" w:space="0" w:color="auto"/>
              <w:right w:val="single" w:sz="4" w:space="0" w:color="auto"/>
            </w:tcBorders>
            <w:shd w:val="clear" w:color="auto" w:fill="auto"/>
            <w:noWrap/>
            <w:vAlign w:val="bottom"/>
            <w:hideMark/>
          </w:tcPr>
          <w:p w14:paraId="4BD8AD75" w14:textId="77777777" w:rsidR="00D47324" w:rsidRPr="00D47324" w:rsidRDefault="00D47324" w:rsidP="00D47324">
            <w:pPr>
              <w:spacing w:after="0"/>
              <w:jc w:val="right"/>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-1,2%</w:t>
            </w:r>
          </w:p>
        </w:tc>
        <w:tc>
          <w:tcPr>
            <w:tcW w:w="539" w:type="pct"/>
            <w:tcBorders>
              <w:top w:val="nil"/>
              <w:left w:val="nil"/>
              <w:bottom w:val="single" w:sz="4" w:space="0" w:color="auto"/>
              <w:right w:val="single" w:sz="4" w:space="0" w:color="auto"/>
            </w:tcBorders>
            <w:shd w:val="clear" w:color="auto" w:fill="auto"/>
            <w:noWrap/>
            <w:vAlign w:val="bottom"/>
            <w:hideMark/>
          </w:tcPr>
          <w:p w14:paraId="52833712" w14:textId="77777777" w:rsidR="00D47324" w:rsidRPr="00D47324" w:rsidRDefault="00D47324" w:rsidP="00D47324">
            <w:pPr>
              <w:spacing w:after="0"/>
              <w:jc w:val="right"/>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-13,0%</w:t>
            </w:r>
          </w:p>
        </w:tc>
      </w:tr>
    </w:tbl>
    <w:p w14:paraId="7E1DCA78" w14:textId="2FEAD565" w:rsidR="001711A9" w:rsidRDefault="001711A9" w:rsidP="005064A5">
      <w:pPr>
        <w:pStyle w:val="Fontetab-grafReport"/>
      </w:pPr>
      <w:r w:rsidRPr="008E471B">
        <w:t xml:space="preserve">Fonte: </w:t>
      </w:r>
      <w:r>
        <w:t>elaborazioni su d</w:t>
      </w:r>
      <w:r w:rsidRPr="008E471B">
        <w:t xml:space="preserve">ati </w:t>
      </w:r>
      <w:r>
        <w:t>Infocamere-Sì Camera</w:t>
      </w:r>
    </w:p>
    <w:p w14:paraId="5F0945A0" w14:textId="01C10556" w:rsidR="00D47324" w:rsidRDefault="00D47324" w:rsidP="005064A5">
      <w:pPr>
        <w:pStyle w:val="Fontetab-grafReport"/>
      </w:pPr>
    </w:p>
    <w:p w14:paraId="64F67188" w14:textId="77777777" w:rsidR="00D47324" w:rsidRDefault="00D47324" w:rsidP="005064A5">
      <w:pPr>
        <w:pStyle w:val="Fontetab-grafReport"/>
      </w:pPr>
    </w:p>
    <w:p w14:paraId="07FED460" w14:textId="5D6E5E93" w:rsidR="00BC262C" w:rsidRDefault="00EC42BB" w:rsidP="00C72724">
      <w:pPr>
        <w:pStyle w:val="Titolotab-grafReport"/>
        <w:numPr>
          <w:ilvl w:val="0"/>
          <w:numId w:val="0"/>
        </w:numPr>
        <w:spacing w:after="120"/>
      </w:pPr>
      <w:r w:rsidRPr="006561B9">
        <w:t xml:space="preserve">Tabella </w:t>
      </w:r>
      <w:proofErr w:type="gramStart"/>
      <w:r w:rsidR="00C758B8" w:rsidRPr="006561B9">
        <w:t>1.</w:t>
      </w:r>
      <w:r w:rsidR="00A800CB" w:rsidRPr="006561B9">
        <w:t>6</w:t>
      </w:r>
      <w:r w:rsidR="00C758B8" w:rsidRPr="006561B9">
        <w:t xml:space="preserve"> </w:t>
      </w:r>
      <w:r w:rsidRPr="006561B9">
        <w:t xml:space="preserve"> </w:t>
      </w:r>
      <w:r w:rsidR="00E3527B" w:rsidRPr="006561B9">
        <w:t>Numero</w:t>
      </w:r>
      <w:proofErr w:type="gramEnd"/>
      <w:r w:rsidR="00E3527B" w:rsidRPr="006561B9">
        <w:t xml:space="preserve"> di aziende agricole, silvicole e della pesca </w:t>
      </w:r>
      <w:r w:rsidR="00BC262C" w:rsidRPr="006561B9">
        <w:t>registrate</w:t>
      </w:r>
      <w:r w:rsidR="00E3527B" w:rsidRPr="006561B9">
        <w:t xml:space="preserve"> nel registro delle imprese</w:t>
      </w:r>
      <w:r w:rsidR="00AB3518" w:rsidRPr="006561B9">
        <w:t xml:space="preserve"> </w:t>
      </w:r>
      <w:r w:rsidRPr="006561B9">
        <w:t>(valori assoluti, anni 2010</w:t>
      </w:r>
      <w:r w:rsidR="00012461" w:rsidRPr="006561B9">
        <w:t xml:space="preserve"> e </w:t>
      </w:r>
      <w:r w:rsidR="00BC262C" w:rsidRPr="006561B9">
        <w:t>2018</w:t>
      </w:r>
      <w:r w:rsidRPr="006561B9">
        <w:t>)</w:t>
      </w:r>
    </w:p>
    <w:tbl>
      <w:tblPr>
        <w:tblW w:w="9300" w:type="dxa"/>
        <w:tblCellMar>
          <w:left w:w="70" w:type="dxa"/>
          <w:right w:w="70" w:type="dxa"/>
        </w:tblCellMar>
        <w:tblLook w:val="04A0" w:firstRow="1" w:lastRow="0" w:firstColumn="1" w:lastColumn="0" w:noHBand="0" w:noVBand="1"/>
      </w:tblPr>
      <w:tblGrid>
        <w:gridCol w:w="1920"/>
        <w:gridCol w:w="1380"/>
        <w:gridCol w:w="1460"/>
        <w:gridCol w:w="960"/>
        <w:gridCol w:w="1240"/>
        <w:gridCol w:w="960"/>
        <w:gridCol w:w="1380"/>
      </w:tblGrid>
      <w:tr w:rsidR="00D47324" w:rsidRPr="00D47324" w14:paraId="1086F5C8" w14:textId="77777777" w:rsidTr="00D47324">
        <w:trPr>
          <w:trHeight w:val="780"/>
        </w:trPr>
        <w:tc>
          <w:tcPr>
            <w:tcW w:w="1920" w:type="dxa"/>
            <w:vMerge w:val="restart"/>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29EBB8FA"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Imprese registrate</w:t>
            </w:r>
          </w:p>
        </w:tc>
        <w:tc>
          <w:tcPr>
            <w:tcW w:w="2840" w:type="dxa"/>
            <w:gridSpan w:val="2"/>
            <w:tcBorders>
              <w:top w:val="single" w:sz="4" w:space="0" w:color="auto"/>
              <w:left w:val="nil"/>
              <w:bottom w:val="single" w:sz="4" w:space="0" w:color="auto"/>
              <w:right w:val="single" w:sz="4" w:space="0" w:color="auto"/>
            </w:tcBorders>
            <w:shd w:val="clear" w:color="000000" w:fill="B8CCE4"/>
            <w:vAlign w:val="center"/>
            <w:hideMark/>
          </w:tcPr>
          <w:p w14:paraId="53242549"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Coltivazioni agricole e produzione di prodotti animali, caccia e servizi connessi</w:t>
            </w:r>
          </w:p>
        </w:tc>
        <w:tc>
          <w:tcPr>
            <w:tcW w:w="2200" w:type="dxa"/>
            <w:gridSpan w:val="2"/>
            <w:tcBorders>
              <w:top w:val="single" w:sz="4" w:space="0" w:color="auto"/>
              <w:left w:val="nil"/>
              <w:bottom w:val="single" w:sz="4" w:space="0" w:color="auto"/>
              <w:right w:val="single" w:sz="4" w:space="0" w:color="auto"/>
            </w:tcBorders>
            <w:shd w:val="clear" w:color="000000" w:fill="B8CCE4"/>
            <w:vAlign w:val="center"/>
            <w:hideMark/>
          </w:tcPr>
          <w:p w14:paraId="2CB752E3"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Silvicoltura ed utilizzo di aree forestali</w:t>
            </w:r>
          </w:p>
        </w:tc>
        <w:tc>
          <w:tcPr>
            <w:tcW w:w="2340" w:type="dxa"/>
            <w:gridSpan w:val="2"/>
            <w:tcBorders>
              <w:top w:val="single" w:sz="4" w:space="0" w:color="auto"/>
              <w:left w:val="nil"/>
              <w:bottom w:val="single" w:sz="4" w:space="0" w:color="auto"/>
              <w:right w:val="single" w:sz="4" w:space="0" w:color="auto"/>
            </w:tcBorders>
            <w:shd w:val="clear" w:color="000000" w:fill="B8CCE4"/>
            <w:vAlign w:val="center"/>
            <w:hideMark/>
          </w:tcPr>
          <w:p w14:paraId="0FF3A17D"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Pesca e acquacoltura</w:t>
            </w:r>
          </w:p>
        </w:tc>
      </w:tr>
      <w:tr w:rsidR="00D47324" w:rsidRPr="00D47324" w14:paraId="38BE2380" w14:textId="77777777" w:rsidTr="00D47324">
        <w:trPr>
          <w:trHeight w:val="290"/>
        </w:trPr>
        <w:tc>
          <w:tcPr>
            <w:tcW w:w="1920" w:type="dxa"/>
            <w:vMerge/>
            <w:tcBorders>
              <w:top w:val="single" w:sz="4" w:space="0" w:color="auto"/>
              <w:left w:val="single" w:sz="4" w:space="0" w:color="auto"/>
              <w:bottom w:val="single" w:sz="4" w:space="0" w:color="auto"/>
              <w:right w:val="single" w:sz="4" w:space="0" w:color="auto"/>
            </w:tcBorders>
            <w:vAlign w:val="center"/>
            <w:hideMark/>
          </w:tcPr>
          <w:p w14:paraId="248FA411" w14:textId="77777777" w:rsidR="00D47324" w:rsidRPr="00D47324" w:rsidRDefault="00D47324" w:rsidP="00D47324">
            <w:pPr>
              <w:spacing w:after="0"/>
              <w:jc w:val="left"/>
              <w:rPr>
                <w:rFonts w:ascii="Calibri" w:eastAsia="Times New Roman" w:hAnsi="Calibri" w:cs="Calibri"/>
                <w:b/>
                <w:bCs/>
                <w:color w:val="000000"/>
                <w:sz w:val="20"/>
                <w:szCs w:val="20"/>
                <w:lang w:eastAsia="it-IT"/>
              </w:rPr>
            </w:pPr>
          </w:p>
        </w:tc>
        <w:tc>
          <w:tcPr>
            <w:tcW w:w="1380" w:type="dxa"/>
            <w:tcBorders>
              <w:top w:val="nil"/>
              <w:left w:val="nil"/>
              <w:bottom w:val="single" w:sz="4" w:space="0" w:color="auto"/>
              <w:right w:val="single" w:sz="4" w:space="0" w:color="auto"/>
            </w:tcBorders>
            <w:shd w:val="clear" w:color="000000" w:fill="B8CCE4"/>
            <w:vAlign w:val="center"/>
            <w:hideMark/>
          </w:tcPr>
          <w:p w14:paraId="3595F2AC"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2010</w:t>
            </w:r>
          </w:p>
        </w:tc>
        <w:tc>
          <w:tcPr>
            <w:tcW w:w="1460" w:type="dxa"/>
            <w:tcBorders>
              <w:top w:val="nil"/>
              <w:left w:val="nil"/>
              <w:bottom w:val="single" w:sz="4" w:space="0" w:color="auto"/>
              <w:right w:val="single" w:sz="4" w:space="0" w:color="auto"/>
            </w:tcBorders>
            <w:shd w:val="clear" w:color="000000" w:fill="B8CCE4"/>
            <w:vAlign w:val="center"/>
            <w:hideMark/>
          </w:tcPr>
          <w:p w14:paraId="548B89CC"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2018</w:t>
            </w:r>
          </w:p>
        </w:tc>
        <w:tc>
          <w:tcPr>
            <w:tcW w:w="960" w:type="dxa"/>
            <w:tcBorders>
              <w:top w:val="nil"/>
              <w:left w:val="nil"/>
              <w:bottom w:val="single" w:sz="4" w:space="0" w:color="auto"/>
              <w:right w:val="single" w:sz="4" w:space="0" w:color="auto"/>
            </w:tcBorders>
            <w:shd w:val="clear" w:color="000000" w:fill="B8CCE4"/>
            <w:vAlign w:val="center"/>
            <w:hideMark/>
          </w:tcPr>
          <w:p w14:paraId="083244BC"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2010</w:t>
            </w:r>
          </w:p>
        </w:tc>
        <w:tc>
          <w:tcPr>
            <w:tcW w:w="1240" w:type="dxa"/>
            <w:tcBorders>
              <w:top w:val="nil"/>
              <w:left w:val="nil"/>
              <w:bottom w:val="single" w:sz="4" w:space="0" w:color="auto"/>
              <w:right w:val="single" w:sz="4" w:space="0" w:color="auto"/>
            </w:tcBorders>
            <w:shd w:val="clear" w:color="000000" w:fill="B8CCE4"/>
            <w:vAlign w:val="center"/>
            <w:hideMark/>
          </w:tcPr>
          <w:p w14:paraId="0B8389D0"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2018</w:t>
            </w:r>
          </w:p>
        </w:tc>
        <w:tc>
          <w:tcPr>
            <w:tcW w:w="960" w:type="dxa"/>
            <w:tcBorders>
              <w:top w:val="nil"/>
              <w:left w:val="nil"/>
              <w:bottom w:val="single" w:sz="4" w:space="0" w:color="auto"/>
              <w:right w:val="single" w:sz="4" w:space="0" w:color="auto"/>
            </w:tcBorders>
            <w:shd w:val="clear" w:color="000000" w:fill="B8CCE4"/>
            <w:vAlign w:val="center"/>
            <w:hideMark/>
          </w:tcPr>
          <w:p w14:paraId="504A95CD"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2010</w:t>
            </w:r>
          </w:p>
        </w:tc>
        <w:tc>
          <w:tcPr>
            <w:tcW w:w="1380" w:type="dxa"/>
            <w:tcBorders>
              <w:top w:val="nil"/>
              <w:left w:val="nil"/>
              <w:bottom w:val="single" w:sz="4" w:space="0" w:color="auto"/>
              <w:right w:val="single" w:sz="4" w:space="0" w:color="auto"/>
            </w:tcBorders>
            <w:shd w:val="clear" w:color="000000" w:fill="B8CCE4"/>
            <w:vAlign w:val="center"/>
            <w:hideMark/>
          </w:tcPr>
          <w:p w14:paraId="5861BDE0" w14:textId="77777777" w:rsidR="00D47324" w:rsidRPr="00D47324" w:rsidRDefault="00D47324" w:rsidP="00D47324">
            <w:pPr>
              <w:spacing w:after="0"/>
              <w:jc w:val="center"/>
              <w:rPr>
                <w:rFonts w:ascii="Calibri" w:eastAsia="Times New Roman" w:hAnsi="Calibri" w:cs="Calibri"/>
                <w:b/>
                <w:bCs/>
                <w:color w:val="000000"/>
                <w:sz w:val="20"/>
                <w:szCs w:val="20"/>
                <w:lang w:eastAsia="it-IT"/>
              </w:rPr>
            </w:pPr>
            <w:r w:rsidRPr="00D47324">
              <w:rPr>
                <w:rFonts w:ascii="Calibri" w:eastAsia="Times New Roman" w:hAnsi="Calibri" w:cs="Calibri"/>
                <w:b/>
                <w:bCs/>
                <w:color w:val="000000"/>
                <w:sz w:val="20"/>
                <w:szCs w:val="20"/>
                <w:lang w:eastAsia="it-IT"/>
              </w:rPr>
              <w:t>2018</w:t>
            </w:r>
          </w:p>
        </w:tc>
      </w:tr>
      <w:tr w:rsidR="00D47324" w:rsidRPr="00D47324" w14:paraId="63582BD8"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7164B944"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Abruzzo</w:t>
            </w:r>
          </w:p>
        </w:tc>
        <w:tc>
          <w:tcPr>
            <w:tcW w:w="1380" w:type="dxa"/>
            <w:tcBorders>
              <w:top w:val="nil"/>
              <w:left w:val="nil"/>
              <w:bottom w:val="single" w:sz="4" w:space="0" w:color="auto"/>
              <w:right w:val="single" w:sz="4" w:space="0" w:color="auto"/>
            </w:tcBorders>
            <w:shd w:val="clear" w:color="auto" w:fill="auto"/>
            <w:noWrap/>
            <w:vAlign w:val="bottom"/>
            <w:hideMark/>
          </w:tcPr>
          <w:p w14:paraId="402468C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30.653</w:t>
            </w:r>
          </w:p>
        </w:tc>
        <w:tc>
          <w:tcPr>
            <w:tcW w:w="1460" w:type="dxa"/>
            <w:tcBorders>
              <w:top w:val="nil"/>
              <w:left w:val="nil"/>
              <w:bottom w:val="single" w:sz="4" w:space="0" w:color="auto"/>
              <w:right w:val="single" w:sz="4" w:space="0" w:color="auto"/>
            </w:tcBorders>
            <w:shd w:val="clear" w:color="auto" w:fill="auto"/>
            <w:noWrap/>
            <w:vAlign w:val="bottom"/>
            <w:hideMark/>
          </w:tcPr>
          <w:p w14:paraId="4FD3821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26.262</w:t>
            </w:r>
          </w:p>
        </w:tc>
        <w:tc>
          <w:tcPr>
            <w:tcW w:w="960" w:type="dxa"/>
            <w:tcBorders>
              <w:top w:val="nil"/>
              <w:left w:val="nil"/>
              <w:bottom w:val="single" w:sz="4" w:space="0" w:color="auto"/>
              <w:right w:val="single" w:sz="4" w:space="0" w:color="auto"/>
            </w:tcBorders>
            <w:shd w:val="clear" w:color="auto" w:fill="auto"/>
            <w:noWrap/>
            <w:vAlign w:val="bottom"/>
            <w:hideMark/>
          </w:tcPr>
          <w:p w14:paraId="00336FC0"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314</w:t>
            </w:r>
          </w:p>
        </w:tc>
        <w:tc>
          <w:tcPr>
            <w:tcW w:w="1240" w:type="dxa"/>
            <w:tcBorders>
              <w:top w:val="nil"/>
              <w:left w:val="nil"/>
              <w:bottom w:val="single" w:sz="4" w:space="0" w:color="auto"/>
              <w:right w:val="single" w:sz="4" w:space="0" w:color="auto"/>
            </w:tcBorders>
            <w:shd w:val="clear" w:color="auto" w:fill="auto"/>
            <w:noWrap/>
            <w:vAlign w:val="bottom"/>
            <w:hideMark/>
          </w:tcPr>
          <w:p w14:paraId="5052CAB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319</w:t>
            </w:r>
          </w:p>
        </w:tc>
        <w:tc>
          <w:tcPr>
            <w:tcW w:w="960" w:type="dxa"/>
            <w:tcBorders>
              <w:top w:val="nil"/>
              <w:left w:val="nil"/>
              <w:bottom w:val="single" w:sz="4" w:space="0" w:color="auto"/>
              <w:right w:val="single" w:sz="4" w:space="0" w:color="auto"/>
            </w:tcBorders>
            <w:shd w:val="clear" w:color="auto" w:fill="auto"/>
            <w:noWrap/>
            <w:vAlign w:val="bottom"/>
            <w:hideMark/>
          </w:tcPr>
          <w:p w14:paraId="1338215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368</w:t>
            </w:r>
          </w:p>
        </w:tc>
        <w:tc>
          <w:tcPr>
            <w:tcW w:w="1380" w:type="dxa"/>
            <w:tcBorders>
              <w:top w:val="nil"/>
              <w:left w:val="nil"/>
              <w:bottom w:val="single" w:sz="4" w:space="0" w:color="auto"/>
              <w:right w:val="single" w:sz="4" w:space="0" w:color="auto"/>
            </w:tcBorders>
            <w:shd w:val="clear" w:color="auto" w:fill="auto"/>
            <w:noWrap/>
            <w:vAlign w:val="bottom"/>
            <w:hideMark/>
          </w:tcPr>
          <w:p w14:paraId="6B6380F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364</w:t>
            </w:r>
          </w:p>
        </w:tc>
      </w:tr>
      <w:tr w:rsidR="00D47324" w:rsidRPr="00D47324" w14:paraId="53B506AB"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4896F7AD"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Basilicata</w:t>
            </w:r>
          </w:p>
        </w:tc>
        <w:tc>
          <w:tcPr>
            <w:tcW w:w="1380" w:type="dxa"/>
            <w:tcBorders>
              <w:top w:val="nil"/>
              <w:left w:val="nil"/>
              <w:bottom w:val="single" w:sz="4" w:space="0" w:color="auto"/>
              <w:right w:val="single" w:sz="4" w:space="0" w:color="auto"/>
            </w:tcBorders>
            <w:shd w:val="clear" w:color="auto" w:fill="auto"/>
            <w:noWrap/>
            <w:vAlign w:val="bottom"/>
            <w:hideMark/>
          </w:tcPr>
          <w:p w14:paraId="62A88B80"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19.766</w:t>
            </w:r>
          </w:p>
        </w:tc>
        <w:tc>
          <w:tcPr>
            <w:tcW w:w="1460" w:type="dxa"/>
            <w:tcBorders>
              <w:top w:val="nil"/>
              <w:left w:val="nil"/>
              <w:bottom w:val="single" w:sz="4" w:space="0" w:color="auto"/>
              <w:right w:val="single" w:sz="4" w:space="0" w:color="auto"/>
            </w:tcBorders>
            <w:shd w:val="clear" w:color="auto" w:fill="auto"/>
            <w:noWrap/>
            <w:vAlign w:val="bottom"/>
            <w:hideMark/>
          </w:tcPr>
          <w:p w14:paraId="76FC9DA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18.140</w:t>
            </w:r>
          </w:p>
        </w:tc>
        <w:tc>
          <w:tcPr>
            <w:tcW w:w="960" w:type="dxa"/>
            <w:tcBorders>
              <w:top w:val="nil"/>
              <w:left w:val="nil"/>
              <w:bottom w:val="single" w:sz="4" w:space="0" w:color="auto"/>
              <w:right w:val="single" w:sz="4" w:space="0" w:color="auto"/>
            </w:tcBorders>
            <w:shd w:val="clear" w:color="auto" w:fill="auto"/>
            <w:noWrap/>
            <w:vAlign w:val="bottom"/>
            <w:hideMark/>
          </w:tcPr>
          <w:p w14:paraId="54397FB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232</w:t>
            </w:r>
          </w:p>
        </w:tc>
        <w:tc>
          <w:tcPr>
            <w:tcW w:w="1240" w:type="dxa"/>
            <w:tcBorders>
              <w:top w:val="nil"/>
              <w:left w:val="nil"/>
              <w:bottom w:val="single" w:sz="4" w:space="0" w:color="auto"/>
              <w:right w:val="single" w:sz="4" w:space="0" w:color="auto"/>
            </w:tcBorders>
            <w:shd w:val="clear" w:color="auto" w:fill="auto"/>
            <w:noWrap/>
            <w:vAlign w:val="bottom"/>
            <w:hideMark/>
          </w:tcPr>
          <w:p w14:paraId="3CE64E9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238</w:t>
            </w:r>
          </w:p>
        </w:tc>
        <w:tc>
          <w:tcPr>
            <w:tcW w:w="960" w:type="dxa"/>
            <w:tcBorders>
              <w:top w:val="nil"/>
              <w:left w:val="nil"/>
              <w:bottom w:val="single" w:sz="4" w:space="0" w:color="auto"/>
              <w:right w:val="single" w:sz="4" w:space="0" w:color="auto"/>
            </w:tcBorders>
            <w:shd w:val="clear" w:color="auto" w:fill="auto"/>
            <w:noWrap/>
            <w:vAlign w:val="bottom"/>
            <w:hideMark/>
          </w:tcPr>
          <w:p w14:paraId="6A6234B9"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14</w:t>
            </w:r>
          </w:p>
        </w:tc>
        <w:tc>
          <w:tcPr>
            <w:tcW w:w="1380" w:type="dxa"/>
            <w:tcBorders>
              <w:top w:val="nil"/>
              <w:left w:val="nil"/>
              <w:bottom w:val="single" w:sz="4" w:space="0" w:color="auto"/>
              <w:right w:val="single" w:sz="4" w:space="0" w:color="auto"/>
            </w:tcBorders>
            <w:shd w:val="clear" w:color="auto" w:fill="auto"/>
            <w:noWrap/>
            <w:vAlign w:val="bottom"/>
            <w:hideMark/>
          </w:tcPr>
          <w:p w14:paraId="548D81AF"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13</w:t>
            </w:r>
          </w:p>
        </w:tc>
      </w:tr>
      <w:tr w:rsidR="00D47324" w:rsidRPr="00D47324" w14:paraId="6C50010B"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62CD9DC5"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Calabria</w:t>
            </w:r>
          </w:p>
        </w:tc>
        <w:tc>
          <w:tcPr>
            <w:tcW w:w="1380" w:type="dxa"/>
            <w:tcBorders>
              <w:top w:val="nil"/>
              <w:left w:val="nil"/>
              <w:bottom w:val="single" w:sz="4" w:space="0" w:color="auto"/>
              <w:right w:val="single" w:sz="4" w:space="0" w:color="auto"/>
            </w:tcBorders>
            <w:shd w:val="clear" w:color="auto" w:fill="auto"/>
            <w:noWrap/>
            <w:vAlign w:val="bottom"/>
            <w:hideMark/>
          </w:tcPr>
          <w:p w14:paraId="052A6BA2"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31.901</w:t>
            </w:r>
          </w:p>
        </w:tc>
        <w:tc>
          <w:tcPr>
            <w:tcW w:w="1460" w:type="dxa"/>
            <w:tcBorders>
              <w:top w:val="nil"/>
              <w:left w:val="nil"/>
              <w:bottom w:val="single" w:sz="4" w:space="0" w:color="auto"/>
              <w:right w:val="single" w:sz="4" w:space="0" w:color="auto"/>
            </w:tcBorders>
            <w:shd w:val="clear" w:color="auto" w:fill="auto"/>
            <w:noWrap/>
            <w:vAlign w:val="bottom"/>
            <w:hideMark/>
          </w:tcPr>
          <w:p w14:paraId="476FC9E4"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31.186</w:t>
            </w:r>
          </w:p>
        </w:tc>
        <w:tc>
          <w:tcPr>
            <w:tcW w:w="960" w:type="dxa"/>
            <w:tcBorders>
              <w:top w:val="nil"/>
              <w:left w:val="nil"/>
              <w:bottom w:val="single" w:sz="4" w:space="0" w:color="auto"/>
              <w:right w:val="single" w:sz="4" w:space="0" w:color="auto"/>
            </w:tcBorders>
            <w:shd w:val="clear" w:color="auto" w:fill="auto"/>
            <w:noWrap/>
            <w:vAlign w:val="bottom"/>
            <w:hideMark/>
          </w:tcPr>
          <w:p w14:paraId="26A117D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800</w:t>
            </w:r>
          </w:p>
        </w:tc>
        <w:tc>
          <w:tcPr>
            <w:tcW w:w="1240" w:type="dxa"/>
            <w:tcBorders>
              <w:top w:val="nil"/>
              <w:left w:val="nil"/>
              <w:bottom w:val="single" w:sz="4" w:space="0" w:color="auto"/>
              <w:right w:val="single" w:sz="4" w:space="0" w:color="auto"/>
            </w:tcBorders>
            <w:shd w:val="clear" w:color="auto" w:fill="auto"/>
            <w:noWrap/>
            <w:vAlign w:val="bottom"/>
            <w:hideMark/>
          </w:tcPr>
          <w:p w14:paraId="0D1BFE5B"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865</w:t>
            </w:r>
          </w:p>
        </w:tc>
        <w:tc>
          <w:tcPr>
            <w:tcW w:w="960" w:type="dxa"/>
            <w:tcBorders>
              <w:top w:val="nil"/>
              <w:left w:val="nil"/>
              <w:bottom w:val="single" w:sz="4" w:space="0" w:color="auto"/>
              <w:right w:val="single" w:sz="4" w:space="0" w:color="auto"/>
            </w:tcBorders>
            <w:shd w:val="clear" w:color="auto" w:fill="auto"/>
            <w:noWrap/>
            <w:vAlign w:val="bottom"/>
            <w:hideMark/>
          </w:tcPr>
          <w:p w14:paraId="05F9907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193</w:t>
            </w:r>
          </w:p>
        </w:tc>
        <w:tc>
          <w:tcPr>
            <w:tcW w:w="1380" w:type="dxa"/>
            <w:tcBorders>
              <w:top w:val="nil"/>
              <w:left w:val="nil"/>
              <w:bottom w:val="single" w:sz="4" w:space="0" w:color="auto"/>
              <w:right w:val="single" w:sz="4" w:space="0" w:color="auto"/>
            </w:tcBorders>
            <w:shd w:val="clear" w:color="auto" w:fill="auto"/>
            <w:noWrap/>
            <w:vAlign w:val="bottom"/>
            <w:hideMark/>
          </w:tcPr>
          <w:p w14:paraId="52283A43"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253</w:t>
            </w:r>
          </w:p>
        </w:tc>
      </w:tr>
      <w:tr w:rsidR="00D47324" w:rsidRPr="00D47324" w14:paraId="00FDFEF0"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5444E1A1"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Campania</w:t>
            </w:r>
          </w:p>
        </w:tc>
        <w:tc>
          <w:tcPr>
            <w:tcW w:w="1380" w:type="dxa"/>
            <w:tcBorders>
              <w:top w:val="nil"/>
              <w:left w:val="nil"/>
              <w:bottom w:val="single" w:sz="4" w:space="0" w:color="auto"/>
              <w:right w:val="single" w:sz="4" w:space="0" w:color="auto"/>
            </w:tcBorders>
            <w:shd w:val="clear" w:color="auto" w:fill="auto"/>
            <w:noWrap/>
            <w:vAlign w:val="bottom"/>
            <w:hideMark/>
          </w:tcPr>
          <w:p w14:paraId="7190C736"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71.297</w:t>
            </w:r>
          </w:p>
        </w:tc>
        <w:tc>
          <w:tcPr>
            <w:tcW w:w="1460" w:type="dxa"/>
            <w:tcBorders>
              <w:top w:val="nil"/>
              <w:left w:val="nil"/>
              <w:bottom w:val="single" w:sz="4" w:space="0" w:color="auto"/>
              <w:right w:val="single" w:sz="4" w:space="0" w:color="auto"/>
            </w:tcBorders>
            <w:shd w:val="clear" w:color="auto" w:fill="auto"/>
            <w:noWrap/>
            <w:vAlign w:val="bottom"/>
            <w:hideMark/>
          </w:tcPr>
          <w:p w14:paraId="5A3747C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60.838</w:t>
            </w:r>
          </w:p>
        </w:tc>
        <w:tc>
          <w:tcPr>
            <w:tcW w:w="960" w:type="dxa"/>
            <w:tcBorders>
              <w:top w:val="nil"/>
              <w:left w:val="nil"/>
              <w:bottom w:val="single" w:sz="4" w:space="0" w:color="auto"/>
              <w:right w:val="single" w:sz="4" w:space="0" w:color="auto"/>
            </w:tcBorders>
            <w:shd w:val="clear" w:color="auto" w:fill="auto"/>
            <w:noWrap/>
            <w:vAlign w:val="bottom"/>
            <w:hideMark/>
          </w:tcPr>
          <w:p w14:paraId="15C932C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778</w:t>
            </w:r>
          </w:p>
        </w:tc>
        <w:tc>
          <w:tcPr>
            <w:tcW w:w="1240" w:type="dxa"/>
            <w:tcBorders>
              <w:top w:val="nil"/>
              <w:left w:val="nil"/>
              <w:bottom w:val="single" w:sz="4" w:space="0" w:color="auto"/>
              <w:right w:val="single" w:sz="4" w:space="0" w:color="auto"/>
            </w:tcBorders>
            <w:shd w:val="clear" w:color="auto" w:fill="auto"/>
            <w:noWrap/>
            <w:vAlign w:val="bottom"/>
            <w:hideMark/>
          </w:tcPr>
          <w:p w14:paraId="62AE9AF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726</w:t>
            </w:r>
          </w:p>
        </w:tc>
        <w:tc>
          <w:tcPr>
            <w:tcW w:w="960" w:type="dxa"/>
            <w:tcBorders>
              <w:top w:val="nil"/>
              <w:left w:val="nil"/>
              <w:bottom w:val="single" w:sz="4" w:space="0" w:color="auto"/>
              <w:right w:val="single" w:sz="4" w:space="0" w:color="auto"/>
            </w:tcBorders>
            <w:shd w:val="clear" w:color="auto" w:fill="auto"/>
            <w:noWrap/>
            <w:vAlign w:val="bottom"/>
            <w:hideMark/>
          </w:tcPr>
          <w:p w14:paraId="5F7BF44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382</w:t>
            </w:r>
          </w:p>
        </w:tc>
        <w:tc>
          <w:tcPr>
            <w:tcW w:w="1380" w:type="dxa"/>
            <w:tcBorders>
              <w:top w:val="nil"/>
              <w:left w:val="nil"/>
              <w:bottom w:val="single" w:sz="4" w:space="0" w:color="auto"/>
              <w:right w:val="single" w:sz="4" w:space="0" w:color="auto"/>
            </w:tcBorders>
            <w:shd w:val="clear" w:color="auto" w:fill="auto"/>
            <w:noWrap/>
            <w:vAlign w:val="bottom"/>
            <w:hideMark/>
          </w:tcPr>
          <w:p w14:paraId="3157665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387</w:t>
            </w:r>
          </w:p>
        </w:tc>
      </w:tr>
      <w:tr w:rsidR="00D47324" w:rsidRPr="00D47324" w14:paraId="34A3ABE0"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2B29DCCF"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Emilia-Romagna</w:t>
            </w:r>
          </w:p>
        </w:tc>
        <w:tc>
          <w:tcPr>
            <w:tcW w:w="1380" w:type="dxa"/>
            <w:tcBorders>
              <w:top w:val="nil"/>
              <w:left w:val="nil"/>
              <w:bottom w:val="single" w:sz="4" w:space="0" w:color="auto"/>
              <w:right w:val="single" w:sz="4" w:space="0" w:color="auto"/>
            </w:tcBorders>
            <w:shd w:val="clear" w:color="auto" w:fill="auto"/>
            <w:noWrap/>
            <w:vAlign w:val="bottom"/>
            <w:hideMark/>
          </w:tcPr>
          <w:p w14:paraId="0008BDB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66.932</w:t>
            </w:r>
          </w:p>
        </w:tc>
        <w:tc>
          <w:tcPr>
            <w:tcW w:w="1460" w:type="dxa"/>
            <w:tcBorders>
              <w:top w:val="nil"/>
              <w:left w:val="nil"/>
              <w:bottom w:val="single" w:sz="4" w:space="0" w:color="auto"/>
              <w:right w:val="single" w:sz="4" w:space="0" w:color="auto"/>
            </w:tcBorders>
            <w:shd w:val="clear" w:color="auto" w:fill="auto"/>
            <w:noWrap/>
            <w:vAlign w:val="bottom"/>
            <w:hideMark/>
          </w:tcPr>
          <w:p w14:paraId="6A6272D3"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54.553</w:t>
            </w:r>
          </w:p>
        </w:tc>
        <w:tc>
          <w:tcPr>
            <w:tcW w:w="960" w:type="dxa"/>
            <w:tcBorders>
              <w:top w:val="nil"/>
              <w:left w:val="nil"/>
              <w:bottom w:val="single" w:sz="4" w:space="0" w:color="auto"/>
              <w:right w:val="single" w:sz="4" w:space="0" w:color="auto"/>
            </w:tcBorders>
            <w:shd w:val="clear" w:color="auto" w:fill="auto"/>
            <w:noWrap/>
            <w:vAlign w:val="bottom"/>
            <w:hideMark/>
          </w:tcPr>
          <w:p w14:paraId="5DDBF556"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517</w:t>
            </w:r>
          </w:p>
        </w:tc>
        <w:tc>
          <w:tcPr>
            <w:tcW w:w="1240" w:type="dxa"/>
            <w:tcBorders>
              <w:top w:val="nil"/>
              <w:left w:val="nil"/>
              <w:bottom w:val="single" w:sz="4" w:space="0" w:color="auto"/>
              <w:right w:val="single" w:sz="4" w:space="0" w:color="auto"/>
            </w:tcBorders>
            <w:shd w:val="clear" w:color="auto" w:fill="auto"/>
            <w:noWrap/>
            <w:vAlign w:val="bottom"/>
            <w:hideMark/>
          </w:tcPr>
          <w:p w14:paraId="5A5FCA9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613</w:t>
            </w:r>
          </w:p>
        </w:tc>
        <w:tc>
          <w:tcPr>
            <w:tcW w:w="960" w:type="dxa"/>
            <w:tcBorders>
              <w:top w:val="nil"/>
              <w:left w:val="nil"/>
              <w:bottom w:val="single" w:sz="4" w:space="0" w:color="auto"/>
              <w:right w:val="single" w:sz="4" w:space="0" w:color="auto"/>
            </w:tcBorders>
            <w:shd w:val="clear" w:color="auto" w:fill="auto"/>
            <w:noWrap/>
            <w:vAlign w:val="bottom"/>
            <w:hideMark/>
          </w:tcPr>
          <w:p w14:paraId="27EC07B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1.990</w:t>
            </w:r>
          </w:p>
        </w:tc>
        <w:tc>
          <w:tcPr>
            <w:tcW w:w="1380" w:type="dxa"/>
            <w:tcBorders>
              <w:top w:val="nil"/>
              <w:left w:val="nil"/>
              <w:bottom w:val="single" w:sz="4" w:space="0" w:color="auto"/>
              <w:right w:val="single" w:sz="4" w:space="0" w:color="auto"/>
            </w:tcBorders>
            <w:shd w:val="clear" w:color="auto" w:fill="auto"/>
            <w:noWrap/>
            <w:vAlign w:val="bottom"/>
            <w:hideMark/>
          </w:tcPr>
          <w:p w14:paraId="24F0601B"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2.251</w:t>
            </w:r>
          </w:p>
        </w:tc>
      </w:tr>
      <w:tr w:rsidR="00D47324" w:rsidRPr="00D47324" w14:paraId="4BAF575F"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06056F78"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Friuli-Venezia Giulia</w:t>
            </w:r>
          </w:p>
        </w:tc>
        <w:tc>
          <w:tcPr>
            <w:tcW w:w="1380" w:type="dxa"/>
            <w:tcBorders>
              <w:top w:val="nil"/>
              <w:left w:val="nil"/>
              <w:bottom w:val="single" w:sz="4" w:space="0" w:color="auto"/>
              <w:right w:val="single" w:sz="4" w:space="0" w:color="auto"/>
            </w:tcBorders>
            <w:shd w:val="clear" w:color="auto" w:fill="auto"/>
            <w:noWrap/>
            <w:vAlign w:val="bottom"/>
            <w:hideMark/>
          </w:tcPr>
          <w:p w14:paraId="1991FFD3"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17.371</w:t>
            </w:r>
          </w:p>
        </w:tc>
        <w:tc>
          <w:tcPr>
            <w:tcW w:w="1460" w:type="dxa"/>
            <w:tcBorders>
              <w:top w:val="nil"/>
              <w:left w:val="nil"/>
              <w:bottom w:val="single" w:sz="4" w:space="0" w:color="auto"/>
              <w:right w:val="single" w:sz="4" w:space="0" w:color="auto"/>
            </w:tcBorders>
            <w:shd w:val="clear" w:color="auto" w:fill="auto"/>
            <w:noWrap/>
            <w:vAlign w:val="bottom"/>
            <w:hideMark/>
          </w:tcPr>
          <w:p w14:paraId="1110021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13.037</w:t>
            </w:r>
          </w:p>
        </w:tc>
        <w:tc>
          <w:tcPr>
            <w:tcW w:w="960" w:type="dxa"/>
            <w:tcBorders>
              <w:top w:val="nil"/>
              <w:left w:val="nil"/>
              <w:bottom w:val="single" w:sz="4" w:space="0" w:color="auto"/>
              <w:right w:val="single" w:sz="4" w:space="0" w:color="auto"/>
            </w:tcBorders>
            <w:shd w:val="clear" w:color="auto" w:fill="auto"/>
            <w:noWrap/>
            <w:vAlign w:val="bottom"/>
            <w:hideMark/>
          </w:tcPr>
          <w:p w14:paraId="2E2D0E4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332</w:t>
            </w:r>
          </w:p>
        </w:tc>
        <w:tc>
          <w:tcPr>
            <w:tcW w:w="1240" w:type="dxa"/>
            <w:tcBorders>
              <w:top w:val="nil"/>
              <w:left w:val="nil"/>
              <w:bottom w:val="single" w:sz="4" w:space="0" w:color="auto"/>
              <w:right w:val="single" w:sz="4" w:space="0" w:color="auto"/>
            </w:tcBorders>
            <w:shd w:val="clear" w:color="auto" w:fill="auto"/>
            <w:noWrap/>
            <w:vAlign w:val="bottom"/>
            <w:hideMark/>
          </w:tcPr>
          <w:p w14:paraId="1189EFDF"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369</w:t>
            </w:r>
          </w:p>
        </w:tc>
        <w:tc>
          <w:tcPr>
            <w:tcW w:w="960" w:type="dxa"/>
            <w:tcBorders>
              <w:top w:val="nil"/>
              <w:left w:val="nil"/>
              <w:bottom w:val="single" w:sz="4" w:space="0" w:color="auto"/>
              <w:right w:val="single" w:sz="4" w:space="0" w:color="auto"/>
            </w:tcBorders>
            <w:shd w:val="clear" w:color="auto" w:fill="auto"/>
            <w:noWrap/>
            <w:vAlign w:val="bottom"/>
            <w:hideMark/>
          </w:tcPr>
          <w:p w14:paraId="73C40052"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432</w:t>
            </w:r>
          </w:p>
        </w:tc>
        <w:tc>
          <w:tcPr>
            <w:tcW w:w="1380" w:type="dxa"/>
            <w:tcBorders>
              <w:top w:val="nil"/>
              <w:left w:val="nil"/>
              <w:bottom w:val="single" w:sz="4" w:space="0" w:color="auto"/>
              <w:right w:val="single" w:sz="4" w:space="0" w:color="auto"/>
            </w:tcBorders>
            <w:shd w:val="clear" w:color="auto" w:fill="auto"/>
            <w:noWrap/>
            <w:vAlign w:val="bottom"/>
            <w:hideMark/>
          </w:tcPr>
          <w:p w14:paraId="414D407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375</w:t>
            </w:r>
          </w:p>
        </w:tc>
      </w:tr>
      <w:tr w:rsidR="00D47324" w:rsidRPr="00D47324" w14:paraId="41B6A941"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20B7A331"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Lazio</w:t>
            </w:r>
          </w:p>
        </w:tc>
        <w:tc>
          <w:tcPr>
            <w:tcW w:w="1380" w:type="dxa"/>
            <w:tcBorders>
              <w:top w:val="nil"/>
              <w:left w:val="nil"/>
              <w:bottom w:val="single" w:sz="4" w:space="0" w:color="auto"/>
              <w:right w:val="single" w:sz="4" w:space="0" w:color="auto"/>
            </w:tcBorders>
            <w:shd w:val="clear" w:color="auto" w:fill="auto"/>
            <w:noWrap/>
            <w:vAlign w:val="bottom"/>
            <w:hideMark/>
          </w:tcPr>
          <w:p w14:paraId="3FFC53CF"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47.447</w:t>
            </w:r>
          </w:p>
        </w:tc>
        <w:tc>
          <w:tcPr>
            <w:tcW w:w="1460" w:type="dxa"/>
            <w:tcBorders>
              <w:top w:val="nil"/>
              <w:left w:val="nil"/>
              <w:bottom w:val="single" w:sz="4" w:space="0" w:color="auto"/>
              <w:right w:val="single" w:sz="4" w:space="0" w:color="auto"/>
            </w:tcBorders>
            <w:shd w:val="clear" w:color="auto" w:fill="auto"/>
            <w:noWrap/>
            <w:vAlign w:val="bottom"/>
            <w:hideMark/>
          </w:tcPr>
          <w:p w14:paraId="4E281134"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42.564</w:t>
            </w:r>
          </w:p>
        </w:tc>
        <w:tc>
          <w:tcPr>
            <w:tcW w:w="960" w:type="dxa"/>
            <w:tcBorders>
              <w:top w:val="nil"/>
              <w:left w:val="nil"/>
              <w:bottom w:val="single" w:sz="4" w:space="0" w:color="auto"/>
              <w:right w:val="single" w:sz="4" w:space="0" w:color="auto"/>
            </w:tcBorders>
            <w:shd w:val="clear" w:color="auto" w:fill="auto"/>
            <w:noWrap/>
            <w:vAlign w:val="bottom"/>
            <w:hideMark/>
          </w:tcPr>
          <w:p w14:paraId="7228CC0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785</w:t>
            </w:r>
          </w:p>
        </w:tc>
        <w:tc>
          <w:tcPr>
            <w:tcW w:w="1240" w:type="dxa"/>
            <w:tcBorders>
              <w:top w:val="nil"/>
              <w:left w:val="nil"/>
              <w:bottom w:val="single" w:sz="4" w:space="0" w:color="auto"/>
              <w:right w:val="single" w:sz="4" w:space="0" w:color="auto"/>
            </w:tcBorders>
            <w:shd w:val="clear" w:color="auto" w:fill="auto"/>
            <w:noWrap/>
            <w:vAlign w:val="bottom"/>
            <w:hideMark/>
          </w:tcPr>
          <w:p w14:paraId="22284E70"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800</w:t>
            </w:r>
          </w:p>
        </w:tc>
        <w:tc>
          <w:tcPr>
            <w:tcW w:w="960" w:type="dxa"/>
            <w:tcBorders>
              <w:top w:val="nil"/>
              <w:left w:val="nil"/>
              <w:bottom w:val="single" w:sz="4" w:space="0" w:color="auto"/>
              <w:right w:val="single" w:sz="4" w:space="0" w:color="auto"/>
            </w:tcBorders>
            <w:shd w:val="clear" w:color="auto" w:fill="auto"/>
            <w:noWrap/>
            <w:vAlign w:val="bottom"/>
            <w:hideMark/>
          </w:tcPr>
          <w:p w14:paraId="7F55D827"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544</w:t>
            </w:r>
          </w:p>
        </w:tc>
        <w:tc>
          <w:tcPr>
            <w:tcW w:w="1380" w:type="dxa"/>
            <w:tcBorders>
              <w:top w:val="nil"/>
              <w:left w:val="nil"/>
              <w:bottom w:val="single" w:sz="4" w:space="0" w:color="auto"/>
              <w:right w:val="single" w:sz="4" w:space="0" w:color="auto"/>
            </w:tcBorders>
            <w:shd w:val="clear" w:color="auto" w:fill="auto"/>
            <w:noWrap/>
            <w:vAlign w:val="bottom"/>
            <w:hideMark/>
          </w:tcPr>
          <w:p w14:paraId="1B525C96"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550</w:t>
            </w:r>
          </w:p>
        </w:tc>
      </w:tr>
      <w:tr w:rsidR="00D47324" w:rsidRPr="00D47324" w14:paraId="520F8480"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1787F663"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Liguria</w:t>
            </w:r>
          </w:p>
        </w:tc>
        <w:tc>
          <w:tcPr>
            <w:tcW w:w="1380" w:type="dxa"/>
            <w:tcBorders>
              <w:top w:val="nil"/>
              <w:left w:val="nil"/>
              <w:bottom w:val="single" w:sz="4" w:space="0" w:color="auto"/>
              <w:right w:val="single" w:sz="4" w:space="0" w:color="auto"/>
            </w:tcBorders>
            <w:shd w:val="clear" w:color="auto" w:fill="auto"/>
            <w:noWrap/>
            <w:vAlign w:val="bottom"/>
            <w:hideMark/>
          </w:tcPr>
          <w:p w14:paraId="5603EA49"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12.100</w:t>
            </w:r>
          </w:p>
        </w:tc>
        <w:tc>
          <w:tcPr>
            <w:tcW w:w="1460" w:type="dxa"/>
            <w:tcBorders>
              <w:top w:val="nil"/>
              <w:left w:val="nil"/>
              <w:bottom w:val="single" w:sz="4" w:space="0" w:color="auto"/>
              <w:right w:val="single" w:sz="4" w:space="0" w:color="auto"/>
            </w:tcBorders>
            <w:shd w:val="clear" w:color="auto" w:fill="auto"/>
            <w:noWrap/>
            <w:vAlign w:val="bottom"/>
            <w:hideMark/>
          </w:tcPr>
          <w:p w14:paraId="6F3FE6CE"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9.358</w:t>
            </w:r>
          </w:p>
        </w:tc>
        <w:tc>
          <w:tcPr>
            <w:tcW w:w="960" w:type="dxa"/>
            <w:tcBorders>
              <w:top w:val="nil"/>
              <w:left w:val="nil"/>
              <w:bottom w:val="single" w:sz="4" w:space="0" w:color="auto"/>
              <w:right w:val="single" w:sz="4" w:space="0" w:color="auto"/>
            </w:tcBorders>
            <w:shd w:val="clear" w:color="auto" w:fill="auto"/>
            <w:noWrap/>
            <w:vAlign w:val="bottom"/>
            <w:hideMark/>
          </w:tcPr>
          <w:p w14:paraId="01866972"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421</w:t>
            </w:r>
          </w:p>
        </w:tc>
        <w:tc>
          <w:tcPr>
            <w:tcW w:w="1240" w:type="dxa"/>
            <w:tcBorders>
              <w:top w:val="nil"/>
              <w:left w:val="nil"/>
              <w:bottom w:val="single" w:sz="4" w:space="0" w:color="auto"/>
              <w:right w:val="single" w:sz="4" w:space="0" w:color="auto"/>
            </w:tcBorders>
            <w:shd w:val="clear" w:color="auto" w:fill="auto"/>
            <w:noWrap/>
            <w:vAlign w:val="bottom"/>
            <w:hideMark/>
          </w:tcPr>
          <w:p w14:paraId="1C87F097"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445</w:t>
            </w:r>
          </w:p>
        </w:tc>
        <w:tc>
          <w:tcPr>
            <w:tcW w:w="960" w:type="dxa"/>
            <w:tcBorders>
              <w:top w:val="nil"/>
              <w:left w:val="nil"/>
              <w:bottom w:val="single" w:sz="4" w:space="0" w:color="auto"/>
              <w:right w:val="single" w:sz="4" w:space="0" w:color="auto"/>
            </w:tcBorders>
            <w:shd w:val="clear" w:color="auto" w:fill="auto"/>
            <w:noWrap/>
            <w:vAlign w:val="bottom"/>
            <w:hideMark/>
          </w:tcPr>
          <w:p w14:paraId="262590D9"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438</w:t>
            </w:r>
          </w:p>
        </w:tc>
        <w:tc>
          <w:tcPr>
            <w:tcW w:w="1380" w:type="dxa"/>
            <w:tcBorders>
              <w:top w:val="nil"/>
              <w:left w:val="nil"/>
              <w:bottom w:val="single" w:sz="4" w:space="0" w:color="auto"/>
              <w:right w:val="single" w:sz="4" w:space="0" w:color="auto"/>
            </w:tcBorders>
            <w:shd w:val="clear" w:color="auto" w:fill="auto"/>
            <w:noWrap/>
            <w:vAlign w:val="bottom"/>
            <w:hideMark/>
          </w:tcPr>
          <w:p w14:paraId="0A32987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393</w:t>
            </w:r>
          </w:p>
        </w:tc>
      </w:tr>
      <w:tr w:rsidR="00D47324" w:rsidRPr="00D47324" w14:paraId="046FCBC8"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385B0957"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Lombardia</w:t>
            </w:r>
          </w:p>
        </w:tc>
        <w:tc>
          <w:tcPr>
            <w:tcW w:w="1380" w:type="dxa"/>
            <w:tcBorders>
              <w:top w:val="nil"/>
              <w:left w:val="nil"/>
              <w:bottom w:val="single" w:sz="4" w:space="0" w:color="auto"/>
              <w:right w:val="single" w:sz="4" w:space="0" w:color="auto"/>
            </w:tcBorders>
            <w:shd w:val="clear" w:color="auto" w:fill="auto"/>
            <w:noWrap/>
            <w:vAlign w:val="bottom"/>
            <w:hideMark/>
          </w:tcPr>
          <w:p w14:paraId="178220E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51.302</w:t>
            </w:r>
          </w:p>
        </w:tc>
        <w:tc>
          <w:tcPr>
            <w:tcW w:w="1460" w:type="dxa"/>
            <w:tcBorders>
              <w:top w:val="nil"/>
              <w:left w:val="nil"/>
              <w:bottom w:val="single" w:sz="4" w:space="0" w:color="auto"/>
              <w:right w:val="single" w:sz="4" w:space="0" w:color="auto"/>
            </w:tcBorders>
            <w:shd w:val="clear" w:color="auto" w:fill="auto"/>
            <w:noWrap/>
            <w:vAlign w:val="bottom"/>
            <w:hideMark/>
          </w:tcPr>
          <w:p w14:paraId="76341C2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45.061</w:t>
            </w:r>
          </w:p>
        </w:tc>
        <w:tc>
          <w:tcPr>
            <w:tcW w:w="960" w:type="dxa"/>
            <w:tcBorders>
              <w:top w:val="nil"/>
              <w:left w:val="nil"/>
              <w:bottom w:val="single" w:sz="4" w:space="0" w:color="auto"/>
              <w:right w:val="single" w:sz="4" w:space="0" w:color="auto"/>
            </w:tcBorders>
            <w:shd w:val="clear" w:color="auto" w:fill="auto"/>
            <w:noWrap/>
            <w:vAlign w:val="bottom"/>
            <w:hideMark/>
          </w:tcPr>
          <w:p w14:paraId="4828B16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896</w:t>
            </w:r>
          </w:p>
        </w:tc>
        <w:tc>
          <w:tcPr>
            <w:tcW w:w="1240" w:type="dxa"/>
            <w:tcBorders>
              <w:top w:val="nil"/>
              <w:left w:val="nil"/>
              <w:bottom w:val="single" w:sz="4" w:space="0" w:color="auto"/>
              <w:right w:val="single" w:sz="4" w:space="0" w:color="auto"/>
            </w:tcBorders>
            <w:shd w:val="clear" w:color="auto" w:fill="auto"/>
            <w:noWrap/>
            <w:vAlign w:val="bottom"/>
            <w:hideMark/>
          </w:tcPr>
          <w:p w14:paraId="5C2B7159"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989</w:t>
            </w:r>
          </w:p>
        </w:tc>
        <w:tc>
          <w:tcPr>
            <w:tcW w:w="960" w:type="dxa"/>
            <w:tcBorders>
              <w:top w:val="nil"/>
              <w:left w:val="nil"/>
              <w:bottom w:val="single" w:sz="4" w:space="0" w:color="auto"/>
              <w:right w:val="single" w:sz="4" w:space="0" w:color="auto"/>
            </w:tcBorders>
            <w:shd w:val="clear" w:color="auto" w:fill="auto"/>
            <w:noWrap/>
            <w:vAlign w:val="bottom"/>
            <w:hideMark/>
          </w:tcPr>
          <w:p w14:paraId="09A8398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195</w:t>
            </w:r>
          </w:p>
        </w:tc>
        <w:tc>
          <w:tcPr>
            <w:tcW w:w="1380" w:type="dxa"/>
            <w:tcBorders>
              <w:top w:val="nil"/>
              <w:left w:val="nil"/>
              <w:bottom w:val="single" w:sz="4" w:space="0" w:color="auto"/>
              <w:right w:val="single" w:sz="4" w:space="0" w:color="auto"/>
            </w:tcBorders>
            <w:shd w:val="clear" w:color="auto" w:fill="auto"/>
            <w:noWrap/>
            <w:vAlign w:val="bottom"/>
            <w:hideMark/>
          </w:tcPr>
          <w:p w14:paraId="15B2B8FF"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163</w:t>
            </w:r>
          </w:p>
        </w:tc>
      </w:tr>
      <w:tr w:rsidR="00D47324" w:rsidRPr="00D47324" w14:paraId="4A011C95"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4FE97386"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Marche</w:t>
            </w:r>
          </w:p>
        </w:tc>
        <w:tc>
          <w:tcPr>
            <w:tcW w:w="1380" w:type="dxa"/>
            <w:tcBorders>
              <w:top w:val="nil"/>
              <w:left w:val="nil"/>
              <w:bottom w:val="single" w:sz="4" w:space="0" w:color="auto"/>
              <w:right w:val="single" w:sz="4" w:space="0" w:color="auto"/>
            </w:tcBorders>
            <w:shd w:val="clear" w:color="auto" w:fill="auto"/>
            <w:noWrap/>
            <w:vAlign w:val="bottom"/>
            <w:hideMark/>
          </w:tcPr>
          <w:p w14:paraId="4A01BA8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32.047</w:t>
            </w:r>
          </w:p>
        </w:tc>
        <w:tc>
          <w:tcPr>
            <w:tcW w:w="1460" w:type="dxa"/>
            <w:tcBorders>
              <w:top w:val="nil"/>
              <w:left w:val="nil"/>
              <w:bottom w:val="single" w:sz="4" w:space="0" w:color="auto"/>
              <w:right w:val="single" w:sz="4" w:space="0" w:color="auto"/>
            </w:tcBorders>
            <w:shd w:val="clear" w:color="auto" w:fill="auto"/>
            <w:noWrap/>
            <w:vAlign w:val="bottom"/>
            <w:hideMark/>
          </w:tcPr>
          <w:p w14:paraId="3F5E1853"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26.007</w:t>
            </w:r>
          </w:p>
        </w:tc>
        <w:tc>
          <w:tcPr>
            <w:tcW w:w="960" w:type="dxa"/>
            <w:tcBorders>
              <w:top w:val="nil"/>
              <w:left w:val="nil"/>
              <w:bottom w:val="single" w:sz="4" w:space="0" w:color="auto"/>
              <w:right w:val="single" w:sz="4" w:space="0" w:color="auto"/>
            </w:tcBorders>
            <w:shd w:val="clear" w:color="auto" w:fill="auto"/>
            <w:noWrap/>
            <w:vAlign w:val="bottom"/>
            <w:hideMark/>
          </w:tcPr>
          <w:p w14:paraId="17D7F9F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252</w:t>
            </w:r>
          </w:p>
        </w:tc>
        <w:tc>
          <w:tcPr>
            <w:tcW w:w="1240" w:type="dxa"/>
            <w:tcBorders>
              <w:top w:val="nil"/>
              <w:left w:val="nil"/>
              <w:bottom w:val="single" w:sz="4" w:space="0" w:color="auto"/>
              <w:right w:val="single" w:sz="4" w:space="0" w:color="auto"/>
            </w:tcBorders>
            <w:shd w:val="clear" w:color="auto" w:fill="auto"/>
            <w:noWrap/>
            <w:vAlign w:val="bottom"/>
            <w:hideMark/>
          </w:tcPr>
          <w:p w14:paraId="539DACC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276</w:t>
            </w:r>
          </w:p>
        </w:tc>
        <w:tc>
          <w:tcPr>
            <w:tcW w:w="960" w:type="dxa"/>
            <w:tcBorders>
              <w:top w:val="nil"/>
              <w:left w:val="nil"/>
              <w:bottom w:val="single" w:sz="4" w:space="0" w:color="auto"/>
              <w:right w:val="single" w:sz="4" w:space="0" w:color="auto"/>
            </w:tcBorders>
            <w:shd w:val="clear" w:color="auto" w:fill="auto"/>
            <w:noWrap/>
            <w:vAlign w:val="bottom"/>
            <w:hideMark/>
          </w:tcPr>
          <w:p w14:paraId="62FA6100"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738</w:t>
            </w:r>
          </w:p>
        </w:tc>
        <w:tc>
          <w:tcPr>
            <w:tcW w:w="1380" w:type="dxa"/>
            <w:tcBorders>
              <w:top w:val="nil"/>
              <w:left w:val="nil"/>
              <w:bottom w:val="single" w:sz="4" w:space="0" w:color="auto"/>
              <w:right w:val="single" w:sz="4" w:space="0" w:color="auto"/>
            </w:tcBorders>
            <w:shd w:val="clear" w:color="auto" w:fill="auto"/>
            <w:noWrap/>
            <w:vAlign w:val="bottom"/>
            <w:hideMark/>
          </w:tcPr>
          <w:p w14:paraId="3A682FDE"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677</w:t>
            </w:r>
          </w:p>
        </w:tc>
      </w:tr>
      <w:tr w:rsidR="00D47324" w:rsidRPr="00D47324" w14:paraId="3D5ED978"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27B25E2A"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Molise</w:t>
            </w:r>
          </w:p>
        </w:tc>
        <w:tc>
          <w:tcPr>
            <w:tcW w:w="1380" w:type="dxa"/>
            <w:tcBorders>
              <w:top w:val="nil"/>
              <w:left w:val="nil"/>
              <w:bottom w:val="single" w:sz="4" w:space="0" w:color="auto"/>
              <w:right w:val="single" w:sz="4" w:space="0" w:color="auto"/>
            </w:tcBorders>
            <w:shd w:val="clear" w:color="auto" w:fill="auto"/>
            <w:noWrap/>
            <w:vAlign w:val="bottom"/>
            <w:hideMark/>
          </w:tcPr>
          <w:p w14:paraId="00D34987"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11.247</w:t>
            </w:r>
          </w:p>
        </w:tc>
        <w:tc>
          <w:tcPr>
            <w:tcW w:w="1460" w:type="dxa"/>
            <w:tcBorders>
              <w:top w:val="nil"/>
              <w:left w:val="nil"/>
              <w:bottom w:val="single" w:sz="4" w:space="0" w:color="auto"/>
              <w:right w:val="single" w:sz="4" w:space="0" w:color="auto"/>
            </w:tcBorders>
            <w:shd w:val="clear" w:color="auto" w:fill="auto"/>
            <w:noWrap/>
            <w:vAlign w:val="bottom"/>
            <w:hideMark/>
          </w:tcPr>
          <w:p w14:paraId="44B8727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9.951</w:t>
            </w:r>
          </w:p>
        </w:tc>
        <w:tc>
          <w:tcPr>
            <w:tcW w:w="960" w:type="dxa"/>
            <w:tcBorders>
              <w:top w:val="nil"/>
              <w:left w:val="nil"/>
              <w:bottom w:val="single" w:sz="4" w:space="0" w:color="auto"/>
              <w:right w:val="single" w:sz="4" w:space="0" w:color="auto"/>
            </w:tcBorders>
            <w:shd w:val="clear" w:color="auto" w:fill="auto"/>
            <w:noWrap/>
            <w:vAlign w:val="bottom"/>
            <w:hideMark/>
          </w:tcPr>
          <w:p w14:paraId="730C48C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80</w:t>
            </w:r>
          </w:p>
        </w:tc>
        <w:tc>
          <w:tcPr>
            <w:tcW w:w="1240" w:type="dxa"/>
            <w:tcBorders>
              <w:top w:val="nil"/>
              <w:left w:val="nil"/>
              <w:bottom w:val="single" w:sz="4" w:space="0" w:color="auto"/>
              <w:right w:val="single" w:sz="4" w:space="0" w:color="auto"/>
            </w:tcBorders>
            <w:shd w:val="clear" w:color="auto" w:fill="auto"/>
            <w:noWrap/>
            <w:vAlign w:val="bottom"/>
            <w:hideMark/>
          </w:tcPr>
          <w:p w14:paraId="3951B24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78</w:t>
            </w:r>
          </w:p>
        </w:tc>
        <w:tc>
          <w:tcPr>
            <w:tcW w:w="960" w:type="dxa"/>
            <w:tcBorders>
              <w:top w:val="nil"/>
              <w:left w:val="nil"/>
              <w:bottom w:val="single" w:sz="4" w:space="0" w:color="auto"/>
              <w:right w:val="single" w:sz="4" w:space="0" w:color="auto"/>
            </w:tcBorders>
            <w:shd w:val="clear" w:color="auto" w:fill="auto"/>
            <w:noWrap/>
            <w:vAlign w:val="bottom"/>
            <w:hideMark/>
          </w:tcPr>
          <w:p w14:paraId="0E31CE93"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75</w:t>
            </w:r>
          </w:p>
        </w:tc>
        <w:tc>
          <w:tcPr>
            <w:tcW w:w="1380" w:type="dxa"/>
            <w:tcBorders>
              <w:top w:val="nil"/>
              <w:left w:val="nil"/>
              <w:bottom w:val="single" w:sz="4" w:space="0" w:color="auto"/>
              <w:right w:val="single" w:sz="4" w:space="0" w:color="auto"/>
            </w:tcBorders>
            <w:shd w:val="clear" w:color="auto" w:fill="auto"/>
            <w:noWrap/>
            <w:vAlign w:val="bottom"/>
            <w:hideMark/>
          </w:tcPr>
          <w:p w14:paraId="27CEA363"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79</w:t>
            </w:r>
          </w:p>
        </w:tc>
      </w:tr>
      <w:tr w:rsidR="00D47324" w:rsidRPr="00D47324" w14:paraId="20E436E0"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7AC99586"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Piemonte</w:t>
            </w:r>
          </w:p>
        </w:tc>
        <w:tc>
          <w:tcPr>
            <w:tcW w:w="1380" w:type="dxa"/>
            <w:tcBorders>
              <w:top w:val="nil"/>
              <w:left w:val="nil"/>
              <w:bottom w:val="single" w:sz="4" w:space="0" w:color="auto"/>
              <w:right w:val="single" w:sz="4" w:space="0" w:color="auto"/>
            </w:tcBorders>
            <w:shd w:val="clear" w:color="auto" w:fill="auto"/>
            <w:noWrap/>
            <w:vAlign w:val="bottom"/>
            <w:hideMark/>
          </w:tcPr>
          <w:p w14:paraId="227A3A1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61.796</w:t>
            </w:r>
          </w:p>
        </w:tc>
        <w:tc>
          <w:tcPr>
            <w:tcW w:w="1460" w:type="dxa"/>
            <w:tcBorders>
              <w:top w:val="nil"/>
              <w:left w:val="nil"/>
              <w:bottom w:val="single" w:sz="4" w:space="0" w:color="auto"/>
              <w:right w:val="single" w:sz="4" w:space="0" w:color="auto"/>
            </w:tcBorders>
            <w:shd w:val="clear" w:color="auto" w:fill="auto"/>
            <w:noWrap/>
            <w:vAlign w:val="bottom"/>
            <w:hideMark/>
          </w:tcPr>
          <w:p w14:paraId="4612E99B"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51.147</w:t>
            </w:r>
          </w:p>
        </w:tc>
        <w:tc>
          <w:tcPr>
            <w:tcW w:w="960" w:type="dxa"/>
            <w:tcBorders>
              <w:top w:val="nil"/>
              <w:left w:val="nil"/>
              <w:bottom w:val="single" w:sz="4" w:space="0" w:color="auto"/>
              <w:right w:val="single" w:sz="4" w:space="0" w:color="auto"/>
            </w:tcBorders>
            <w:shd w:val="clear" w:color="auto" w:fill="auto"/>
            <w:noWrap/>
            <w:vAlign w:val="bottom"/>
            <w:hideMark/>
          </w:tcPr>
          <w:p w14:paraId="5E98BF1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1.084</w:t>
            </w:r>
          </w:p>
        </w:tc>
        <w:tc>
          <w:tcPr>
            <w:tcW w:w="1240" w:type="dxa"/>
            <w:tcBorders>
              <w:top w:val="nil"/>
              <w:left w:val="nil"/>
              <w:bottom w:val="single" w:sz="4" w:space="0" w:color="auto"/>
              <w:right w:val="single" w:sz="4" w:space="0" w:color="auto"/>
            </w:tcBorders>
            <w:shd w:val="clear" w:color="auto" w:fill="auto"/>
            <w:noWrap/>
            <w:vAlign w:val="bottom"/>
            <w:hideMark/>
          </w:tcPr>
          <w:p w14:paraId="24E6CE43"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1.303</w:t>
            </w:r>
          </w:p>
        </w:tc>
        <w:tc>
          <w:tcPr>
            <w:tcW w:w="960" w:type="dxa"/>
            <w:tcBorders>
              <w:top w:val="nil"/>
              <w:left w:val="nil"/>
              <w:bottom w:val="single" w:sz="4" w:space="0" w:color="auto"/>
              <w:right w:val="single" w:sz="4" w:space="0" w:color="auto"/>
            </w:tcBorders>
            <w:shd w:val="clear" w:color="auto" w:fill="auto"/>
            <w:noWrap/>
            <w:vAlign w:val="bottom"/>
            <w:hideMark/>
          </w:tcPr>
          <w:p w14:paraId="4583A712"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73</w:t>
            </w:r>
          </w:p>
        </w:tc>
        <w:tc>
          <w:tcPr>
            <w:tcW w:w="1380" w:type="dxa"/>
            <w:tcBorders>
              <w:top w:val="nil"/>
              <w:left w:val="nil"/>
              <w:bottom w:val="single" w:sz="4" w:space="0" w:color="auto"/>
              <w:right w:val="single" w:sz="4" w:space="0" w:color="auto"/>
            </w:tcBorders>
            <w:shd w:val="clear" w:color="auto" w:fill="auto"/>
            <w:noWrap/>
            <w:vAlign w:val="bottom"/>
            <w:hideMark/>
          </w:tcPr>
          <w:p w14:paraId="66AD495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55</w:t>
            </w:r>
          </w:p>
        </w:tc>
      </w:tr>
      <w:tr w:rsidR="00D47324" w:rsidRPr="00D47324" w14:paraId="512F8082"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6E19EACA"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Puglia</w:t>
            </w:r>
          </w:p>
        </w:tc>
        <w:tc>
          <w:tcPr>
            <w:tcW w:w="1380" w:type="dxa"/>
            <w:tcBorders>
              <w:top w:val="nil"/>
              <w:left w:val="nil"/>
              <w:bottom w:val="single" w:sz="4" w:space="0" w:color="auto"/>
              <w:right w:val="single" w:sz="4" w:space="0" w:color="auto"/>
            </w:tcBorders>
            <w:shd w:val="clear" w:color="auto" w:fill="auto"/>
            <w:noWrap/>
            <w:vAlign w:val="bottom"/>
            <w:hideMark/>
          </w:tcPr>
          <w:p w14:paraId="7351492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88.518</w:t>
            </w:r>
          </w:p>
        </w:tc>
        <w:tc>
          <w:tcPr>
            <w:tcW w:w="1460" w:type="dxa"/>
            <w:tcBorders>
              <w:top w:val="nil"/>
              <w:left w:val="nil"/>
              <w:bottom w:val="single" w:sz="4" w:space="0" w:color="auto"/>
              <w:right w:val="single" w:sz="4" w:space="0" w:color="auto"/>
            </w:tcBorders>
            <w:shd w:val="clear" w:color="auto" w:fill="auto"/>
            <w:noWrap/>
            <w:vAlign w:val="bottom"/>
            <w:hideMark/>
          </w:tcPr>
          <w:p w14:paraId="10707474"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77.766</w:t>
            </w:r>
          </w:p>
        </w:tc>
        <w:tc>
          <w:tcPr>
            <w:tcW w:w="960" w:type="dxa"/>
            <w:tcBorders>
              <w:top w:val="nil"/>
              <w:left w:val="nil"/>
              <w:bottom w:val="single" w:sz="4" w:space="0" w:color="auto"/>
              <w:right w:val="single" w:sz="4" w:space="0" w:color="auto"/>
            </w:tcBorders>
            <w:shd w:val="clear" w:color="auto" w:fill="auto"/>
            <w:noWrap/>
            <w:vAlign w:val="bottom"/>
            <w:hideMark/>
          </w:tcPr>
          <w:p w14:paraId="45302F6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149</w:t>
            </w:r>
          </w:p>
        </w:tc>
        <w:tc>
          <w:tcPr>
            <w:tcW w:w="1240" w:type="dxa"/>
            <w:tcBorders>
              <w:top w:val="nil"/>
              <w:left w:val="nil"/>
              <w:bottom w:val="single" w:sz="4" w:space="0" w:color="auto"/>
              <w:right w:val="single" w:sz="4" w:space="0" w:color="auto"/>
            </w:tcBorders>
            <w:shd w:val="clear" w:color="auto" w:fill="auto"/>
            <w:noWrap/>
            <w:vAlign w:val="bottom"/>
            <w:hideMark/>
          </w:tcPr>
          <w:p w14:paraId="649845A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171</w:t>
            </w:r>
          </w:p>
        </w:tc>
        <w:tc>
          <w:tcPr>
            <w:tcW w:w="960" w:type="dxa"/>
            <w:tcBorders>
              <w:top w:val="nil"/>
              <w:left w:val="nil"/>
              <w:bottom w:val="single" w:sz="4" w:space="0" w:color="auto"/>
              <w:right w:val="single" w:sz="4" w:space="0" w:color="auto"/>
            </w:tcBorders>
            <w:shd w:val="clear" w:color="auto" w:fill="auto"/>
            <w:noWrap/>
            <w:vAlign w:val="bottom"/>
            <w:hideMark/>
          </w:tcPr>
          <w:p w14:paraId="40B52EC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768</w:t>
            </w:r>
          </w:p>
        </w:tc>
        <w:tc>
          <w:tcPr>
            <w:tcW w:w="1380" w:type="dxa"/>
            <w:tcBorders>
              <w:top w:val="nil"/>
              <w:left w:val="nil"/>
              <w:bottom w:val="single" w:sz="4" w:space="0" w:color="auto"/>
              <w:right w:val="single" w:sz="4" w:space="0" w:color="auto"/>
            </w:tcBorders>
            <w:shd w:val="clear" w:color="auto" w:fill="auto"/>
            <w:noWrap/>
            <w:vAlign w:val="bottom"/>
            <w:hideMark/>
          </w:tcPr>
          <w:p w14:paraId="01D1301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771</w:t>
            </w:r>
          </w:p>
        </w:tc>
      </w:tr>
      <w:tr w:rsidR="00D47324" w:rsidRPr="00D47324" w14:paraId="573D9599"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2661C902"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Sardegna</w:t>
            </w:r>
          </w:p>
        </w:tc>
        <w:tc>
          <w:tcPr>
            <w:tcW w:w="1380" w:type="dxa"/>
            <w:tcBorders>
              <w:top w:val="nil"/>
              <w:left w:val="nil"/>
              <w:bottom w:val="single" w:sz="4" w:space="0" w:color="auto"/>
              <w:right w:val="single" w:sz="4" w:space="0" w:color="auto"/>
            </w:tcBorders>
            <w:shd w:val="clear" w:color="auto" w:fill="auto"/>
            <w:noWrap/>
            <w:vAlign w:val="bottom"/>
            <w:hideMark/>
          </w:tcPr>
          <w:p w14:paraId="10690AA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35.295</w:t>
            </w:r>
          </w:p>
        </w:tc>
        <w:tc>
          <w:tcPr>
            <w:tcW w:w="1460" w:type="dxa"/>
            <w:tcBorders>
              <w:top w:val="nil"/>
              <w:left w:val="nil"/>
              <w:bottom w:val="single" w:sz="4" w:space="0" w:color="auto"/>
              <w:right w:val="single" w:sz="4" w:space="0" w:color="auto"/>
            </w:tcBorders>
            <w:shd w:val="clear" w:color="auto" w:fill="auto"/>
            <w:noWrap/>
            <w:vAlign w:val="bottom"/>
            <w:hideMark/>
          </w:tcPr>
          <w:p w14:paraId="28CB4420"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33.661</w:t>
            </w:r>
          </w:p>
        </w:tc>
        <w:tc>
          <w:tcPr>
            <w:tcW w:w="960" w:type="dxa"/>
            <w:tcBorders>
              <w:top w:val="nil"/>
              <w:left w:val="nil"/>
              <w:bottom w:val="single" w:sz="4" w:space="0" w:color="auto"/>
              <w:right w:val="single" w:sz="4" w:space="0" w:color="auto"/>
            </w:tcBorders>
            <w:shd w:val="clear" w:color="auto" w:fill="auto"/>
            <w:noWrap/>
            <w:vAlign w:val="bottom"/>
            <w:hideMark/>
          </w:tcPr>
          <w:p w14:paraId="190138B9"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316</w:t>
            </w:r>
          </w:p>
        </w:tc>
        <w:tc>
          <w:tcPr>
            <w:tcW w:w="1240" w:type="dxa"/>
            <w:tcBorders>
              <w:top w:val="nil"/>
              <w:left w:val="nil"/>
              <w:bottom w:val="single" w:sz="4" w:space="0" w:color="auto"/>
              <w:right w:val="single" w:sz="4" w:space="0" w:color="auto"/>
            </w:tcBorders>
            <w:shd w:val="clear" w:color="auto" w:fill="auto"/>
            <w:noWrap/>
            <w:vAlign w:val="bottom"/>
            <w:hideMark/>
          </w:tcPr>
          <w:p w14:paraId="5EE9D46B"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325</w:t>
            </w:r>
          </w:p>
        </w:tc>
        <w:tc>
          <w:tcPr>
            <w:tcW w:w="960" w:type="dxa"/>
            <w:tcBorders>
              <w:top w:val="nil"/>
              <w:left w:val="nil"/>
              <w:bottom w:val="single" w:sz="4" w:space="0" w:color="auto"/>
              <w:right w:val="single" w:sz="4" w:space="0" w:color="auto"/>
            </w:tcBorders>
            <w:shd w:val="clear" w:color="auto" w:fill="auto"/>
            <w:noWrap/>
            <w:vAlign w:val="bottom"/>
            <w:hideMark/>
          </w:tcPr>
          <w:p w14:paraId="4B86E416"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647</w:t>
            </w:r>
          </w:p>
        </w:tc>
        <w:tc>
          <w:tcPr>
            <w:tcW w:w="1380" w:type="dxa"/>
            <w:tcBorders>
              <w:top w:val="nil"/>
              <w:left w:val="nil"/>
              <w:bottom w:val="single" w:sz="4" w:space="0" w:color="auto"/>
              <w:right w:val="single" w:sz="4" w:space="0" w:color="auto"/>
            </w:tcBorders>
            <w:shd w:val="clear" w:color="auto" w:fill="auto"/>
            <w:noWrap/>
            <w:vAlign w:val="bottom"/>
            <w:hideMark/>
          </w:tcPr>
          <w:p w14:paraId="10E90A52"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710</w:t>
            </w:r>
          </w:p>
        </w:tc>
      </w:tr>
      <w:tr w:rsidR="00D47324" w:rsidRPr="00D47324" w14:paraId="249FE26B"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70A0F60E"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Sicilia</w:t>
            </w:r>
          </w:p>
        </w:tc>
        <w:tc>
          <w:tcPr>
            <w:tcW w:w="1380" w:type="dxa"/>
            <w:tcBorders>
              <w:top w:val="nil"/>
              <w:left w:val="nil"/>
              <w:bottom w:val="single" w:sz="4" w:space="0" w:color="auto"/>
              <w:right w:val="single" w:sz="4" w:space="0" w:color="auto"/>
            </w:tcBorders>
            <w:shd w:val="clear" w:color="auto" w:fill="auto"/>
            <w:noWrap/>
            <w:vAlign w:val="bottom"/>
            <w:hideMark/>
          </w:tcPr>
          <w:p w14:paraId="6A0C715E"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92.489</w:t>
            </w:r>
          </w:p>
        </w:tc>
        <w:tc>
          <w:tcPr>
            <w:tcW w:w="1460" w:type="dxa"/>
            <w:tcBorders>
              <w:top w:val="nil"/>
              <w:left w:val="nil"/>
              <w:bottom w:val="single" w:sz="4" w:space="0" w:color="auto"/>
              <w:right w:val="single" w:sz="4" w:space="0" w:color="auto"/>
            </w:tcBorders>
            <w:shd w:val="clear" w:color="auto" w:fill="auto"/>
            <w:noWrap/>
            <w:vAlign w:val="bottom"/>
            <w:hideMark/>
          </w:tcPr>
          <w:p w14:paraId="7A660DC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79.087</w:t>
            </w:r>
          </w:p>
        </w:tc>
        <w:tc>
          <w:tcPr>
            <w:tcW w:w="960" w:type="dxa"/>
            <w:tcBorders>
              <w:top w:val="nil"/>
              <w:left w:val="nil"/>
              <w:bottom w:val="single" w:sz="4" w:space="0" w:color="auto"/>
              <w:right w:val="single" w:sz="4" w:space="0" w:color="auto"/>
            </w:tcBorders>
            <w:shd w:val="clear" w:color="auto" w:fill="auto"/>
            <w:noWrap/>
            <w:vAlign w:val="bottom"/>
            <w:hideMark/>
          </w:tcPr>
          <w:p w14:paraId="382B2A9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253</w:t>
            </w:r>
          </w:p>
        </w:tc>
        <w:tc>
          <w:tcPr>
            <w:tcW w:w="1240" w:type="dxa"/>
            <w:tcBorders>
              <w:top w:val="nil"/>
              <w:left w:val="nil"/>
              <w:bottom w:val="single" w:sz="4" w:space="0" w:color="auto"/>
              <w:right w:val="single" w:sz="4" w:space="0" w:color="auto"/>
            </w:tcBorders>
            <w:shd w:val="clear" w:color="auto" w:fill="auto"/>
            <w:noWrap/>
            <w:vAlign w:val="bottom"/>
            <w:hideMark/>
          </w:tcPr>
          <w:p w14:paraId="6B0EA02D"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261</w:t>
            </w:r>
          </w:p>
        </w:tc>
        <w:tc>
          <w:tcPr>
            <w:tcW w:w="960" w:type="dxa"/>
            <w:tcBorders>
              <w:top w:val="nil"/>
              <w:left w:val="nil"/>
              <w:bottom w:val="single" w:sz="4" w:space="0" w:color="auto"/>
              <w:right w:val="single" w:sz="4" w:space="0" w:color="auto"/>
            </w:tcBorders>
            <w:shd w:val="clear" w:color="auto" w:fill="auto"/>
            <w:noWrap/>
            <w:vAlign w:val="bottom"/>
            <w:hideMark/>
          </w:tcPr>
          <w:p w14:paraId="2B23C1B4"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1.989</w:t>
            </w:r>
          </w:p>
        </w:tc>
        <w:tc>
          <w:tcPr>
            <w:tcW w:w="1380" w:type="dxa"/>
            <w:tcBorders>
              <w:top w:val="nil"/>
              <w:left w:val="nil"/>
              <w:bottom w:val="single" w:sz="4" w:space="0" w:color="auto"/>
              <w:right w:val="single" w:sz="4" w:space="0" w:color="auto"/>
            </w:tcBorders>
            <w:shd w:val="clear" w:color="auto" w:fill="auto"/>
            <w:noWrap/>
            <w:vAlign w:val="bottom"/>
            <w:hideMark/>
          </w:tcPr>
          <w:p w14:paraId="15CAEAD6"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1.814</w:t>
            </w:r>
          </w:p>
        </w:tc>
      </w:tr>
      <w:tr w:rsidR="00D47324" w:rsidRPr="00D47324" w14:paraId="4B169125"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24BDF213"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Toscana</w:t>
            </w:r>
          </w:p>
        </w:tc>
        <w:tc>
          <w:tcPr>
            <w:tcW w:w="1380" w:type="dxa"/>
            <w:tcBorders>
              <w:top w:val="nil"/>
              <w:left w:val="nil"/>
              <w:bottom w:val="single" w:sz="4" w:space="0" w:color="auto"/>
              <w:right w:val="single" w:sz="4" w:space="0" w:color="auto"/>
            </w:tcBorders>
            <w:shd w:val="clear" w:color="auto" w:fill="auto"/>
            <w:noWrap/>
            <w:vAlign w:val="bottom"/>
            <w:hideMark/>
          </w:tcPr>
          <w:p w14:paraId="25FC762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41.569</w:t>
            </w:r>
          </w:p>
        </w:tc>
        <w:tc>
          <w:tcPr>
            <w:tcW w:w="1460" w:type="dxa"/>
            <w:tcBorders>
              <w:top w:val="nil"/>
              <w:left w:val="nil"/>
              <w:bottom w:val="single" w:sz="4" w:space="0" w:color="auto"/>
              <w:right w:val="single" w:sz="4" w:space="0" w:color="auto"/>
            </w:tcBorders>
            <w:shd w:val="clear" w:color="auto" w:fill="auto"/>
            <w:noWrap/>
            <w:vAlign w:val="bottom"/>
            <w:hideMark/>
          </w:tcPr>
          <w:p w14:paraId="614D994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38.377</w:t>
            </w:r>
          </w:p>
        </w:tc>
        <w:tc>
          <w:tcPr>
            <w:tcW w:w="960" w:type="dxa"/>
            <w:tcBorders>
              <w:top w:val="nil"/>
              <w:left w:val="nil"/>
              <w:bottom w:val="single" w:sz="4" w:space="0" w:color="auto"/>
              <w:right w:val="single" w:sz="4" w:space="0" w:color="auto"/>
            </w:tcBorders>
            <w:shd w:val="clear" w:color="auto" w:fill="auto"/>
            <w:noWrap/>
            <w:vAlign w:val="bottom"/>
            <w:hideMark/>
          </w:tcPr>
          <w:p w14:paraId="78FEDE5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1.509</w:t>
            </w:r>
          </w:p>
        </w:tc>
        <w:tc>
          <w:tcPr>
            <w:tcW w:w="1240" w:type="dxa"/>
            <w:tcBorders>
              <w:top w:val="nil"/>
              <w:left w:val="nil"/>
              <w:bottom w:val="single" w:sz="4" w:space="0" w:color="auto"/>
              <w:right w:val="single" w:sz="4" w:space="0" w:color="auto"/>
            </w:tcBorders>
            <w:shd w:val="clear" w:color="auto" w:fill="auto"/>
            <w:noWrap/>
            <w:vAlign w:val="bottom"/>
            <w:hideMark/>
          </w:tcPr>
          <w:p w14:paraId="64A562E2"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1.713</w:t>
            </w:r>
          </w:p>
        </w:tc>
        <w:tc>
          <w:tcPr>
            <w:tcW w:w="960" w:type="dxa"/>
            <w:tcBorders>
              <w:top w:val="nil"/>
              <w:left w:val="nil"/>
              <w:bottom w:val="single" w:sz="4" w:space="0" w:color="auto"/>
              <w:right w:val="single" w:sz="4" w:space="0" w:color="auto"/>
            </w:tcBorders>
            <w:shd w:val="clear" w:color="auto" w:fill="auto"/>
            <w:noWrap/>
            <w:vAlign w:val="bottom"/>
            <w:hideMark/>
          </w:tcPr>
          <w:p w14:paraId="37CF74D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422</w:t>
            </w:r>
          </w:p>
        </w:tc>
        <w:tc>
          <w:tcPr>
            <w:tcW w:w="1380" w:type="dxa"/>
            <w:tcBorders>
              <w:top w:val="nil"/>
              <w:left w:val="nil"/>
              <w:bottom w:val="single" w:sz="4" w:space="0" w:color="auto"/>
              <w:right w:val="single" w:sz="4" w:space="0" w:color="auto"/>
            </w:tcBorders>
            <w:shd w:val="clear" w:color="auto" w:fill="auto"/>
            <w:noWrap/>
            <w:vAlign w:val="bottom"/>
            <w:hideMark/>
          </w:tcPr>
          <w:p w14:paraId="2CC2DFF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429</w:t>
            </w:r>
          </w:p>
        </w:tc>
      </w:tr>
      <w:tr w:rsidR="00D47324" w:rsidRPr="00D47324" w14:paraId="584FFED3"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3BCB1BCC"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 xml:space="preserve">Trentino-Alto Adige </w:t>
            </w:r>
          </w:p>
        </w:tc>
        <w:tc>
          <w:tcPr>
            <w:tcW w:w="1380" w:type="dxa"/>
            <w:tcBorders>
              <w:top w:val="nil"/>
              <w:left w:val="nil"/>
              <w:bottom w:val="single" w:sz="4" w:space="0" w:color="auto"/>
              <w:right w:val="single" w:sz="4" w:space="0" w:color="auto"/>
            </w:tcBorders>
            <w:shd w:val="clear" w:color="auto" w:fill="auto"/>
            <w:noWrap/>
            <w:vAlign w:val="bottom"/>
            <w:hideMark/>
          </w:tcPr>
          <w:p w14:paraId="79F63567"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29.349</w:t>
            </w:r>
          </w:p>
        </w:tc>
        <w:tc>
          <w:tcPr>
            <w:tcW w:w="1460" w:type="dxa"/>
            <w:tcBorders>
              <w:top w:val="nil"/>
              <w:left w:val="nil"/>
              <w:bottom w:val="single" w:sz="4" w:space="0" w:color="auto"/>
              <w:right w:val="single" w:sz="4" w:space="0" w:color="auto"/>
            </w:tcBorders>
            <w:shd w:val="clear" w:color="auto" w:fill="auto"/>
            <w:noWrap/>
            <w:vAlign w:val="bottom"/>
            <w:hideMark/>
          </w:tcPr>
          <w:p w14:paraId="756B9784"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27.893</w:t>
            </w:r>
          </w:p>
        </w:tc>
        <w:tc>
          <w:tcPr>
            <w:tcW w:w="960" w:type="dxa"/>
            <w:tcBorders>
              <w:top w:val="nil"/>
              <w:left w:val="nil"/>
              <w:bottom w:val="single" w:sz="4" w:space="0" w:color="auto"/>
              <w:right w:val="single" w:sz="4" w:space="0" w:color="auto"/>
            </w:tcBorders>
            <w:shd w:val="clear" w:color="auto" w:fill="auto"/>
            <w:noWrap/>
            <w:vAlign w:val="bottom"/>
            <w:hideMark/>
          </w:tcPr>
          <w:p w14:paraId="3BA0A0C2"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690</w:t>
            </w:r>
          </w:p>
        </w:tc>
        <w:tc>
          <w:tcPr>
            <w:tcW w:w="1240" w:type="dxa"/>
            <w:tcBorders>
              <w:top w:val="nil"/>
              <w:left w:val="nil"/>
              <w:bottom w:val="single" w:sz="4" w:space="0" w:color="auto"/>
              <w:right w:val="single" w:sz="4" w:space="0" w:color="auto"/>
            </w:tcBorders>
            <w:shd w:val="clear" w:color="auto" w:fill="auto"/>
            <w:noWrap/>
            <w:vAlign w:val="bottom"/>
            <w:hideMark/>
          </w:tcPr>
          <w:p w14:paraId="1C440B6B"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820</w:t>
            </w:r>
          </w:p>
        </w:tc>
        <w:tc>
          <w:tcPr>
            <w:tcW w:w="960" w:type="dxa"/>
            <w:tcBorders>
              <w:top w:val="nil"/>
              <w:left w:val="nil"/>
              <w:bottom w:val="single" w:sz="4" w:space="0" w:color="auto"/>
              <w:right w:val="single" w:sz="4" w:space="0" w:color="auto"/>
            </w:tcBorders>
            <w:shd w:val="clear" w:color="auto" w:fill="auto"/>
            <w:noWrap/>
            <w:vAlign w:val="bottom"/>
            <w:hideMark/>
          </w:tcPr>
          <w:p w14:paraId="7976D2A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43</w:t>
            </w:r>
          </w:p>
        </w:tc>
        <w:tc>
          <w:tcPr>
            <w:tcW w:w="1380" w:type="dxa"/>
            <w:tcBorders>
              <w:top w:val="nil"/>
              <w:left w:val="nil"/>
              <w:bottom w:val="single" w:sz="4" w:space="0" w:color="auto"/>
              <w:right w:val="single" w:sz="4" w:space="0" w:color="auto"/>
            </w:tcBorders>
            <w:shd w:val="clear" w:color="auto" w:fill="auto"/>
            <w:noWrap/>
            <w:vAlign w:val="bottom"/>
            <w:hideMark/>
          </w:tcPr>
          <w:p w14:paraId="5E7C0EC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41</w:t>
            </w:r>
          </w:p>
        </w:tc>
      </w:tr>
      <w:tr w:rsidR="00D47324" w:rsidRPr="00D47324" w14:paraId="030352CA"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0FEFBB46"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Umbria</w:t>
            </w:r>
          </w:p>
        </w:tc>
        <w:tc>
          <w:tcPr>
            <w:tcW w:w="1380" w:type="dxa"/>
            <w:tcBorders>
              <w:top w:val="nil"/>
              <w:left w:val="nil"/>
              <w:bottom w:val="single" w:sz="4" w:space="0" w:color="auto"/>
              <w:right w:val="single" w:sz="4" w:space="0" w:color="auto"/>
            </w:tcBorders>
            <w:shd w:val="clear" w:color="auto" w:fill="auto"/>
            <w:noWrap/>
            <w:vAlign w:val="bottom"/>
            <w:hideMark/>
          </w:tcPr>
          <w:p w14:paraId="7AF01F0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18.117</w:t>
            </w:r>
          </w:p>
        </w:tc>
        <w:tc>
          <w:tcPr>
            <w:tcW w:w="1460" w:type="dxa"/>
            <w:tcBorders>
              <w:top w:val="nil"/>
              <w:left w:val="nil"/>
              <w:bottom w:val="single" w:sz="4" w:space="0" w:color="auto"/>
              <w:right w:val="single" w:sz="4" w:space="0" w:color="auto"/>
            </w:tcBorders>
            <w:shd w:val="clear" w:color="auto" w:fill="auto"/>
            <w:noWrap/>
            <w:vAlign w:val="bottom"/>
            <w:hideMark/>
          </w:tcPr>
          <w:p w14:paraId="68E25A8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16.344</w:t>
            </w:r>
          </w:p>
        </w:tc>
        <w:tc>
          <w:tcPr>
            <w:tcW w:w="960" w:type="dxa"/>
            <w:tcBorders>
              <w:top w:val="nil"/>
              <w:left w:val="nil"/>
              <w:bottom w:val="single" w:sz="4" w:space="0" w:color="auto"/>
              <w:right w:val="single" w:sz="4" w:space="0" w:color="auto"/>
            </w:tcBorders>
            <w:shd w:val="clear" w:color="auto" w:fill="auto"/>
            <w:noWrap/>
            <w:vAlign w:val="bottom"/>
            <w:hideMark/>
          </w:tcPr>
          <w:p w14:paraId="4EB6EB7E"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449</w:t>
            </w:r>
          </w:p>
        </w:tc>
        <w:tc>
          <w:tcPr>
            <w:tcW w:w="1240" w:type="dxa"/>
            <w:tcBorders>
              <w:top w:val="nil"/>
              <w:left w:val="nil"/>
              <w:bottom w:val="single" w:sz="4" w:space="0" w:color="auto"/>
              <w:right w:val="single" w:sz="4" w:space="0" w:color="auto"/>
            </w:tcBorders>
            <w:shd w:val="clear" w:color="auto" w:fill="auto"/>
            <w:noWrap/>
            <w:vAlign w:val="bottom"/>
            <w:hideMark/>
          </w:tcPr>
          <w:p w14:paraId="5A751870"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470</w:t>
            </w:r>
          </w:p>
        </w:tc>
        <w:tc>
          <w:tcPr>
            <w:tcW w:w="960" w:type="dxa"/>
            <w:tcBorders>
              <w:top w:val="nil"/>
              <w:left w:val="nil"/>
              <w:bottom w:val="single" w:sz="4" w:space="0" w:color="auto"/>
              <w:right w:val="single" w:sz="4" w:space="0" w:color="auto"/>
            </w:tcBorders>
            <w:shd w:val="clear" w:color="auto" w:fill="auto"/>
            <w:noWrap/>
            <w:vAlign w:val="bottom"/>
            <w:hideMark/>
          </w:tcPr>
          <w:p w14:paraId="59376E7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19</w:t>
            </w:r>
          </w:p>
        </w:tc>
        <w:tc>
          <w:tcPr>
            <w:tcW w:w="1380" w:type="dxa"/>
            <w:tcBorders>
              <w:top w:val="nil"/>
              <w:left w:val="nil"/>
              <w:bottom w:val="single" w:sz="4" w:space="0" w:color="auto"/>
              <w:right w:val="single" w:sz="4" w:space="0" w:color="auto"/>
            </w:tcBorders>
            <w:shd w:val="clear" w:color="auto" w:fill="auto"/>
            <w:noWrap/>
            <w:vAlign w:val="bottom"/>
            <w:hideMark/>
          </w:tcPr>
          <w:p w14:paraId="3E955C5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25</w:t>
            </w:r>
          </w:p>
        </w:tc>
      </w:tr>
      <w:tr w:rsidR="00D47324" w:rsidRPr="00D47324" w14:paraId="4E6A491E"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318BCE2D" w14:textId="77777777" w:rsidR="00D47324" w:rsidRPr="00D47324" w:rsidRDefault="00D47324" w:rsidP="00D47324">
            <w:pPr>
              <w:spacing w:after="0"/>
              <w:jc w:val="left"/>
              <w:rPr>
                <w:rFonts w:ascii="Calibri" w:eastAsia="Times New Roman" w:hAnsi="Calibri" w:cs="Calibri"/>
                <w:color w:val="000000"/>
                <w:lang w:eastAsia="it-IT"/>
              </w:rPr>
            </w:pPr>
            <w:proofErr w:type="gramStart"/>
            <w:r w:rsidRPr="00D47324">
              <w:rPr>
                <w:rFonts w:ascii="Calibri" w:eastAsia="Times New Roman" w:hAnsi="Calibri" w:cs="Calibri"/>
                <w:color w:val="000000"/>
                <w:lang w:eastAsia="it-IT"/>
              </w:rPr>
              <w:t>Valle  d'Aosta</w:t>
            </w:r>
            <w:proofErr w:type="gramEnd"/>
          </w:p>
        </w:tc>
        <w:tc>
          <w:tcPr>
            <w:tcW w:w="1380" w:type="dxa"/>
            <w:tcBorders>
              <w:top w:val="nil"/>
              <w:left w:val="nil"/>
              <w:bottom w:val="single" w:sz="4" w:space="0" w:color="auto"/>
              <w:right w:val="single" w:sz="4" w:space="0" w:color="auto"/>
            </w:tcBorders>
            <w:shd w:val="clear" w:color="auto" w:fill="auto"/>
            <w:noWrap/>
            <w:vAlign w:val="bottom"/>
            <w:hideMark/>
          </w:tcPr>
          <w:p w14:paraId="5B71501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1.851</w:t>
            </w:r>
          </w:p>
        </w:tc>
        <w:tc>
          <w:tcPr>
            <w:tcW w:w="1460" w:type="dxa"/>
            <w:tcBorders>
              <w:top w:val="nil"/>
              <w:left w:val="nil"/>
              <w:bottom w:val="single" w:sz="4" w:space="0" w:color="auto"/>
              <w:right w:val="single" w:sz="4" w:space="0" w:color="auto"/>
            </w:tcBorders>
            <w:shd w:val="clear" w:color="auto" w:fill="auto"/>
            <w:noWrap/>
            <w:vAlign w:val="bottom"/>
            <w:hideMark/>
          </w:tcPr>
          <w:p w14:paraId="2519841A"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1.422</w:t>
            </w:r>
          </w:p>
        </w:tc>
        <w:tc>
          <w:tcPr>
            <w:tcW w:w="960" w:type="dxa"/>
            <w:tcBorders>
              <w:top w:val="nil"/>
              <w:left w:val="nil"/>
              <w:bottom w:val="single" w:sz="4" w:space="0" w:color="auto"/>
              <w:right w:val="single" w:sz="4" w:space="0" w:color="auto"/>
            </w:tcBorders>
            <w:shd w:val="clear" w:color="auto" w:fill="auto"/>
            <w:noWrap/>
            <w:vAlign w:val="bottom"/>
            <w:hideMark/>
          </w:tcPr>
          <w:p w14:paraId="5EEDB0CF"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22</w:t>
            </w:r>
          </w:p>
        </w:tc>
        <w:tc>
          <w:tcPr>
            <w:tcW w:w="1240" w:type="dxa"/>
            <w:tcBorders>
              <w:top w:val="nil"/>
              <w:left w:val="nil"/>
              <w:bottom w:val="single" w:sz="4" w:space="0" w:color="auto"/>
              <w:right w:val="single" w:sz="4" w:space="0" w:color="auto"/>
            </w:tcBorders>
            <w:shd w:val="clear" w:color="auto" w:fill="auto"/>
            <w:noWrap/>
            <w:vAlign w:val="bottom"/>
            <w:hideMark/>
          </w:tcPr>
          <w:p w14:paraId="5FA4ED75"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25</w:t>
            </w:r>
          </w:p>
        </w:tc>
        <w:tc>
          <w:tcPr>
            <w:tcW w:w="960" w:type="dxa"/>
            <w:tcBorders>
              <w:top w:val="nil"/>
              <w:left w:val="nil"/>
              <w:bottom w:val="single" w:sz="4" w:space="0" w:color="auto"/>
              <w:right w:val="single" w:sz="4" w:space="0" w:color="auto"/>
            </w:tcBorders>
            <w:shd w:val="clear" w:color="auto" w:fill="auto"/>
            <w:noWrap/>
            <w:vAlign w:val="bottom"/>
            <w:hideMark/>
          </w:tcPr>
          <w:p w14:paraId="55368FCC"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w:t>
            </w:r>
          </w:p>
        </w:tc>
        <w:tc>
          <w:tcPr>
            <w:tcW w:w="1380" w:type="dxa"/>
            <w:tcBorders>
              <w:top w:val="nil"/>
              <w:left w:val="nil"/>
              <w:bottom w:val="single" w:sz="4" w:space="0" w:color="auto"/>
              <w:right w:val="single" w:sz="4" w:space="0" w:color="auto"/>
            </w:tcBorders>
            <w:shd w:val="clear" w:color="auto" w:fill="auto"/>
            <w:noWrap/>
            <w:vAlign w:val="bottom"/>
            <w:hideMark/>
          </w:tcPr>
          <w:p w14:paraId="29376D56"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2</w:t>
            </w:r>
          </w:p>
        </w:tc>
      </w:tr>
      <w:tr w:rsidR="00D47324" w:rsidRPr="00D47324" w14:paraId="7912549B"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5E83EBAC"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Veneto</w:t>
            </w:r>
          </w:p>
        </w:tc>
        <w:tc>
          <w:tcPr>
            <w:tcW w:w="1380" w:type="dxa"/>
            <w:tcBorders>
              <w:top w:val="nil"/>
              <w:left w:val="nil"/>
              <w:bottom w:val="single" w:sz="4" w:space="0" w:color="auto"/>
              <w:right w:val="single" w:sz="4" w:space="0" w:color="auto"/>
            </w:tcBorders>
            <w:shd w:val="clear" w:color="auto" w:fill="auto"/>
            <w:noWrap/>
            <w:vAlign w:val="bottom"/>
            <w:hideMark/>
          </w:tcPr>
          <w:p w14:paraId="05F51548"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75.986</w:t>
            </w:r>
          </w:p>
        </w:tc>
        <w:tc>
          <w:tcPr>
            <w:tcW w:w="1460" w:type="dxa"/>
            <w:tcBorders>
              <w:top w:val="nil"/>
              <w:left w:val="nil"/>
              <w:bottom w:val="single" w:sz="4" w:space="0" w:color="auto"/>
              <w:right w:val="single" w:sz="4" w:space="0" w:color="auto"/>
            </w:tcBorders>
            <w:shd w:val="clear" w:color="auto" w:fill="auto"/>
            <w:noWrap/>
            <w:vAlign w:val="bottom"/>
            <w:hideMark/>
          </w:tcPr>
          <w:p w14:paraId="263E1EEF"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63.607</w:t>
            </w:r>
          </w:p>
        </w:tc>
        <w:tc>
          <w:tcPr>
            <w:tcW w:w="960" w:type="dxa"/>
            <w:tcBorders>
              <w:top w:val="nil"/>
              <w:left w:val="nil"/>
              <w:bottom w:val="single" w:sz="4" w:space="0" w:color="auto"/>
              <w:right w:val="single" w:sz="4" w:space="0" w:color="auto"/>
            </w:tcBorders>
            <w:shd w:val="clear" w:color="auto" w:fill="auto"/>
            <w:noWrap/>
            <w:vAlign w:val="bottom"/>
            <w:hideMark/>
          </w:tcPr>
          <w:p w14:paraId="38357E02"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511</w:t>
            </w:r>
          </w:p>
        </w:tc>
        <w:tc>
          <w:tcPr>
            <w:tcW w:w="1240" w:type="dxa"/>
            <w:tcBorders>
              <w:top w:val="nil"/>
              <w:left w:val="nil"/>
              <w:bottom w:val="single" w:sz="4" w:space="0" w:color="auto"/>
              <w:right w:val="single" w:sz="4" w:space="0" w:color="auto"/>
            </w:tcBorders>
            <w:shd w:val="clear" w:color="auto" w:fill="auto"/>
            <w:noWrap/>
            <w:vAlign w:val="bottom"/>
            <w:hideMark/>
          </w:tcPr>
          <w:p w14:paraId="772FDBA1"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575</w:t>
            </w:r>
          </w:p>
        </w:tc>
        <w:tc>
          <w:tcPr>
            <w:tcW w:w="960" w:type="dxa"/>
            <w:tcBorders>
              <w:top w:val="nil"/>
              <w:left w:val="nil"/>
              <w:bottom w:val="single" w:sz="4" w:space="0" w:color="auto"/>
              <w:right w:val="single" w:sz="4" w:space="0" w:color="auto"/>
            </w:tcBorders>
            <w:shd w:val="clear" w:color="auto" w:fill="auto"/>
            <w:noWrap/>
            <w:vAlign w:val="bottom"/>
            <w:hideMark/>
          </w:tcPr>
          <w:p w14:paraId="0209A594"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3.054</w:t>
            </w:r>
          </w:p>
        </w:tc>
        <w:tc>
          <w:tcPr>
            <w:tcW w:w="1380" w:type="dxa"/>
            <w:tcBorders>
              <w:top w:val="nil"/>
              <w:left w:val="nil"/>
              <w:bottom w:val="single" w:sz="4" w:space="0" w:color="auto"/>
              <w:right w:val="single" w:sz="4" w:space="0" w:color="auto"/>
            </w:tcBorders>
            <w:shd w:val="clear" w:color="auto" w:fill="auto"/>
            <w:noWrap/>
            <w:vAlign w:val="bottom"/>
            <w:hideMark/>
          </w:tcPr>
          <w:p w14:paraId="4721DC6E"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3.121</w:t>
            </w:r>
          </w:p>
        </w:tc>
      </w:tr>
      <w:tr w:rsidR="00D47324" w:rsidRPr="00D47324" w14:paraId="1431CD00" w14:textId="77777777" w:rsidTr="00D47324">
        <w:trPr>
          <w:trHeight w:val="29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14:paraId="4F44BDB0" w14:textId="77777777" w:rsidR="00D47324" w:rsidRPr="00D47324" w:rsidRDefault="00D47324" w:rsidP="00D47324">
            <w:pPr>
              <w:spacing w:after="0"/>
              <w:jc w:val="left"/>
              <w:rPr>
                <w:rFonts w:ascii="Calibri" w:eastAsia="Times New Roman" w:hAnsi="Calibri" w:cs="Calibri"/>
                <w:color w:val="000000"/>
                <w:lang w:eastAsia="it-IT"/>
              </w:rPr>
            </w:pPr>
            <w:r w:rsidRPr="00D47324">
              <w:rPr>
                <w:rFonts w:ascii="Calibri" w:eastAsia="Times New Roman" w:hAnsi="Calibri" w:cs="Calibri"/>
                <w:color w:val="000000"/>
                <w:lang w:eastAsia="it-IT"/>
              </w:rPr>
              <w:t>Italia</w:t>
            </w:r>
          </w:p>
        </w:tc>
        <w:tc>
          <w:tcPr>
            <w:tcW w:w="1380" w:type="dxa"/>
            <w:tcBorders>
              <w:top w:val="nil"/>
              <w:left w:val="nil"/>
              <w:bottom w:val="single" w:sz="4" w:space="0" w:color="auto"/>
              <w:right w:val="single" w:sz="4" w:space="0" w:color="auto"/>
            </w:tcBorders>
            <w:shd w:val="clear" w:color="auto" w:fill="auto"/>
            <w:noWrap/>
            <w:vAlign w:val="bottom"/>
            <w:hideMark/>
          </w:tcPr>
          <w:p w14:paraId="1B2DDAB0"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837.033</w:t>
            </w:r>
          </w:p>
        </w:tc>
        <w:tc>
          <w:tcPr>
            <w:tcW w:w="1460" w:type="dxa"/>
            <w:tcBorders>
              <w:top w:val="nil"/>
              <w:left w:val="nil"/>
              <w:bottom w:val="single" w:sz="4" w:space="0" w:color="auto"/>
              <w:right w:val="single" w:sz="4" w:space="0" w:color="auto"/>
            </w:tcBorders>
            <w:shd w:val="clear" w:color="auto" w:fill="auto"/>
            <w:noWrap/>
            <w:vAlign w:val="bottom"/>
            <w:hideMark/>
          </w:tcPr>
          <w:p w14:paraId="492B4BEF"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726.261</w:t>
            </w:r>
          </w:p>
        </w:tc>
        <w:tc>
          <w:tcPr>
            <w:tcW w:w="960" w:type="dxa"/>
            <w:tcBorders>
              <w:top w:val="nil"/>
              <w:left w:val="nil"/>
              <w:bottom w:val="single" w:sz="4" w:space="0" w:color="auto"/>
              <w:right w:val="single" w:sz="4" w:space="0" w:color="auto"/>
            </w:tcBorders>
            <w:shd w:val="clear" w:color="auto" w:fill="auto"/>
            <w:noWrap/>
            <w:vAlign w:val="bottom"/>
            <w:hideMark/>
          </w:tcPr>
          <w:p w14:paraId="1D0CD9EE"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10.390</w:t>
            </w:r>
          </w:p>
        </w:tc>
        <w:tc>
          <w:tcPr>
            <w:tcW w:w="1240" w:type="dxa"/>
            <w:tcBorders>
              <w:top w:val="nil"/>
              <w:left w:val="nil"/>
              <w:bottom w:val="single" w:sz="4" w:space="0" w:color="auto"/>
              <w:right w:val="single" w:sz="4" w:space="0" w:color="auto"/>
            </w:tcBorders>
            <w:shd w:val="clear" w:color="auto" w:fill="auto"/>
            <w:noWrap/>
            <w:vAlign w:val="bottom"/>
            <w:hideMark/>
          </w:tcPr>
          <w:p w14:paraId="11114B97"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11.381</w:t>
            </w:r>
          </w:p>
        </w:tc>
        <w:tc>
          <w:tcPr>
            <w:tcW w:w="960" w:type="dxa"/>
            <w:tcBorders>
              <w:top w:val="nil"/>
              <w:left w:val="nil"/>
              <w:bottom w:val="single" w:sz="4" w:space="0" w:color="auto"/>
              <w:right w:val="single" w:sz="4" w:space="0" w:color="auto"/>
            </w:tcBorders>
            <w:shd w:val="clear" w:color="auto" w:fill="auto"/>
            <w:noWrap/>
            <w:vAlign w:val="bottom"/>
            <w:hideMark/>
          </w:tcPr>
          <w:p w14:paraId="5F8DA84F"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12.385</w:t>
            </w:r>
          </w:p>
        </w:tc>
        <w:tc>
          <w:tcPr>
            <w:tcW w:w="1380" w:type="dxa"/>
            <w:tcBorders>
              <w:top w:val="nil"/>
              <w:left w:val="nil"/>
              <w:bottom w:val="single" w:sz="4" w:space="0" w:color="auto"/>
              <w:right w:val="single" w:sz="4" w:space="0" w:color="auto"/>
            </w:tcBorders>
            <w:shd w:val="clear" w:color="auto" w:fill="auto"/>
            <w:noWrap/>
            <w:vAlign w:val="bottom"/>
            <w:hideMark/>
          </w:tcPr>
          <w:p w14:paraId="587ED157" w14:textId="77777777" w:rsidR="00D47324" w:rsidRPr="00D47324" w:rsidRDefault="00D47324" w:rsidP="00D47324">
            <w:pPr>
              <w:spacing w:after="0"/>
              <w:jc w:val="right"/>
              <w:rPr>
                <w:rFonts w:ascii="Calibri" w:eastAsia="Times New Roman" w:hAnsi="Calibri" w:cs="Calibri"/>
                <w:color w:val="000000"/>
                <w:lang w:eastAsia="it-IT"/>
              </w:rPr>
            </w:pPr>
            <w:r w:rsidRPr="00D47324">
              <w:rPr>
                <w:rFonts w:ascii="Calibri" w:eastAsia="Times New Roman" w:hAnsi="Calibri" w:cs="Calibri"/>
                <w:color w:val="000000"/>
                <w:lang w:eastAsia="it-IT"/>
              </w:rPr>
              <w:t>12.473</w:t>
            </w:r>
          </w:p>
        </w:tc>
      </w:tr>
    </w:tbl>
    <w:p w14:paraId="2BA0964B" w14:textId="77777777" w:rsidR="001711A9" w:rsidRPr="006C0337" w:rsidRDefault="001711A9" w:rsidP="001711A9">
      <w:pPr>
        <w:pStyle w:val="Fontetabellagrafico"/>
        <w:spacing w:before="60"/>
        <w:rPr>
          <w:sz w:val="20"/>
          <w:szCs w:val="20"/>
        </w:rPr>
      </w:pPr>
      <w:r w:rsidRPr="008E471B">
        <w:rPr>
          <w:sz w:val="20"/>
          <w:szCs w:val="20"/>
        </w:rPr>
        <w:t xml:space="preserve">Fonte: </w:t>
      </w:r>
      <w:r>
        <w:rPr>
          <w:sz w:val="20"/>
          <w:szCs w:val="20"/>
        </w:rPr>
        <w:t>elaborazioni su d</w:t>
      </w:r>
      <w:r w:rsidRPr="008E471B">
        <w:rPr>
          <w:sz w:val="20"/>
          <w:szCs w:val="20"/>
        </w:rPr>
        <w:t xml:space="preserve">ati </w:t>
      </w:r>
      <w:r>
        <w:rPr>
          <w:sz w:val="20"/>
          <w:szCs w:val="20"/>
        </w:rPr>
        <w:t>Infocamere-Sì Camera</w:t>
      </w:r>
    </w:p>
    <w:p w14:paraId="4496D404" w14:textId="7E1B3DCB" w:rsidR="00A33A10" w:rsidRDefault="00A33A10" w:rsidP="00A33A10"/>
    <w:p w14:paraId="761E89EE" w14:textId="0C9E72F7" w:rsidR="00C758B8" w:rsidRDefault="00C758B8" w:rsidP="00A33A10"/>
    <w:p w14:paraId="35AD18D1" w14:textId="77777777" w:rsidR="00C758B8" w:rsidRDefault="00C758B8" w:rsidP="00A33A10"/>
    <w:p w14:paraId="6A468BB9" w14:textId="2BB12975" w:rsidR="005F1D70" w:rsidRDefault="0054249D" w:rsidP="00975484">
      <w:pPr>
        <w:pStyle w:val="Titolo2"/>
        <w:numPr>
          <w:ilvl w:val="0"/>
          <w:numId w:val="1"/>
        </w:numPr>
      </w:pPr>
      <w:bookmarkStart w:id="4" w:name="_Toc56585248"/>
      <w:r w:rsidRPr="00C63E73">
        <w:t>Forza Lavoro</w:t>
      </w:r>
      <w:bookmarkEnd w:id="4"/>
      <w:r w:rsidR="00A33A10" w:rsidRPr="00C63E73">
        <w:t xml:space="preserve"> </w:t>
      </w:r>
    </w:p>
    <w:p w14:paraId="4C0D620F" w14:textId="5AEFB687" w:rsidR="00134542" w:rsidRPr="00C307D6" w:rsidRDefault="002D7BBA" w:rsidP="00FE53A6">
      <w:pPr>
        <w:pStyle w:val="Paragrafoelenco"/>
        <w:numPr>
          <w:ilvl w:val="0"/>
          <w:numId w:val="11"/>
        </w:numPr>
        <w:ind w:left="426"/>
        <w:rPr>
          <w:rFonts w:ascii="Calibri" w:eastAsia="Calibri" w:hAnsi="Calibri" w:cs="Times New Roman"/>
        </w:rPr>
      </w:pPr>
      <w:r w:rsidRPr="00C307D6">
        <w:rPr>
          <w:rFonts w:ascii="Calibri" w:eastAsia="Calibri" w:hAnsi="Calibri" w:cs="Times New Roman"/>
        </w:rPr>
        <w:t xml:space="preserve">Nel 2018 in Italia il tasso di occupazione per la popolazione di età compresa tra 20 e 64 anni è pari al 63% (72,9% per quello maschile e 53,1% per quello femminile); considerando anche i giovani tra i 15 e i 19 anni il tasso si attesta al 58,5%. </w:t>
      </w:r>
      <w:r w:rsidR="00134542" w:rsidRPr="00C307D6">
        <w:rPr>
          <w:rFonts w:ascii="Calibri" w:eastAsia="Calibri" w:hAnsi="Calibri" w:cs="Times New Roman"/>
        </w:rPr>
        <w:t xml:space="preserve">Il tasso di attività italiano della popolazione compresa tra i 15 e i 74 anni è </w:t>
      </w:r>
      <w:r w:rsidR="00420616" w:rsidRPr="00C307D6">
        <w:rPr>
          <w:rFonts w:ascii="Calibri" w:eastAsia="Calibri" w:hAnsi="Calibri" w:cs="Times New Roman"/>
        </w:rPr>
        <w:t xml:space="preserve">pari al </w:t>
      </w:r>
      <w:r w:rsidR="00134542" w:rsidRPr="00C307D6">
        <w:rPr>
          <w:rFonts w:ascii="Calibri" w:eastAsia="Calibri" w:hAnsi="Calibri" w:cs="Times New Roman"/>
        </w:rPr>
        <w:t>5</w:t>
      </w:r>
      <w:r w:rsidR="00420616" w:rsidRPr="00C307D6">
        <w:rPr>
          <w:rFonts w:ascii="Calibri" w:eastAsia="Calibri" w:hAnsi="Calibri" w:cs="Times New Roman"/>
        </w:rPr>
        <w:t>6,7% (55,5% nel 2015) mentre per la popolazione tra i 15 e i 24 anni è pari al 29,2% (28,8% nel 2015)</w:t>
      </w:r>
      <w:r w:rsidR="00134542" w:rsidRPr="00C307D6">
        <w:rPr>
          <w:rFonts w:ascii="Calibri" w:eastAsia="Calibri" w:hAnsi="Calibri" w:cs="Times New Roman"/>
        </w:rPr>
        <w:t>.</w:t>
      </w:r>
    </w:p>
    <w:p w14:paraId="0C21A7E7" w14:textId="23EDBD2D" w:rsidR="00206BB1" w:rsidRPr="00C307D6" w:rsidRDefault="00134542" w:rsidP="00FE53A6">
      <w:pPr>
        <w:pStyle w:val="Paragrafoelenco"/>
        <w:numPr>
          <w:ilvl w:val="0"/>
          <w:numId w:val="11"/>
        </w:numPr>
        <w:ind w:left="426"/>
        <w:jc w:val="left"/>
        <w:rPr>
          <w:bCs/>
        </w:rPr>
      </w:pPr>
      <w:r w:rsidRPr="00C307D6">
        <w:rPr>
          <w:rFonts w:ascii="Calibri" w:eastAsia="Calibri" w:hAnsi="Calibri" w:cs="Times New Roman"/>
        </w:rPr>
        <w:t>Per quanto riguarda la struttura dell’occupazione, a</w:t>
      </w:r>
      <w:r w:rsidR="00EE47AE" w:rsidRPr="00C307D6">
        <w:rPr>
          <w:rFonts w:ascii="Calibri" w:eastAsia="Calibri" w:hAnsi="Calibri" w:cs="Times New Roman"/>
        </w:rPr>
        <w:t xml:space="preserve"> livello nazionale si registra un calo degli occupati nel settore primario (agricoltura, silvicoltura e pesca) del </w:t>
      </w:r>
      <w:r w:rsidR="00AD6449" w:rsidRPr="00C307D6">
        <w:rPr>
          <w:rFonts w:ascii="Calibri" w:eastAsia="Calibri" w:hAnsi="Calibri" w:cs="Times New Roman"/>
        </w:rPr>
        <w:t>4</w:t>
      </w:r>
      <w:r w:rsidR="00EE47AE" w:rsidRPr="00C307D6">
        <w:rPr>
          <w:rFonts w:ascii="Calibri" w:eastAsia="Calibri" w:hAnsi="Calibri" w:cs="Times New Roman"/>
        </w:rPr>
        <w:t>,</w:t>
      </w:r>
      <w:r w:rsidR="00AD6449" w:rsidRPr="00C307D6">
        <w:rPr>
          <w:rFonts w:ascii="Calibri" w:eastAsia="Calibri" w:hAnsi="Calibri" w:cs="Times New Roman"/>
        </w:rPr>
        <w:t>4</w:t>
      </w:r>
      <w:r w:rsidR="00EE47AE" w:rsidRPr="00C307D6">
        <w:rPr>
          <w:rFonts w:ascii="Calibri" w:eastAsia="Calibri" w:hAnsi="Calibri" w:cs="Times New Roman"/>
        </w:rPr>
        <w:t>% tra il 20</w:t>
      </w:r>
      <w:r w:rsidR="00AD6449" w:rsidRPr="00C307D6">
        <w:rPr>
          <w:rFonts w:ascii="Calibri" w:eastAsia="Calibri" w:hAnsi="Calibri" w:cs="Times New Roman"/>
        </w:rPr>
        <w:t>10</w:t>
      </w:r>
      <w:r w:rsidR="00EE47AE" w:rsidRPr="00C307D6">
        <w:rPr>
          <w:rFonts w:ascii="Calibri" w:eastAsia="Calibri" w:hAnsi="Calibri" w:cs="Times New Roman"/>
        </w:rPr>
        <w:t xml:space="preserve"> e il 2018, a fronte di un calo del </w:t>
      </w:r>
      <w:r w:rsidR="00AD6449" w:rsidRPr="00C307D6">
        <w:rPr>
          <w:rFonts w:ascii="Calibri" w:eastAsia="Calibri" w:hAnsi="Calibri" w:cs="Times New Roman"/>
        </w:rPr>
        <w:t>8</w:t>
      </w:r>
      <w:r w:rsidR="00EE47AE" w:rsidRPr="00C307D6">
        <w:rPr>
          <w:rFonts w:ascii="Calibri" w:eastAsia="Calibri" w:hAnsi="Calibri" w:cs="Times New Roman"/>
        </w:rPr>
        <w:t>,</w:t>
      </w:r>
      <w:r w:rsidR="00AD6449" w:rsidRPr="00C307D6">
        <w:rPr>
          <w:rFonts w:ascii="Calibri" w:eastAsia="Calibri" w:hAnsi="Calibri" w:cs="Times New Roman"/>
        </w:rPr>
        <w:t>7</w:t>
      </w:r>
      <w:r w:rsidR="00EE47AE" w:rsidRPr="00C307D6">
        <w:rPr>
          <w:rFonts w:ascii="Calibri" w:eastAsia="Calibri" w:hAnsi="Calibri" w:cs="Times New Roman"/>
        </w:rPr>
        <w:t>% degli occupati nell’industria (settore secondario); tendenza opposta per gli occupati nel terziario in aumento dell’6,</w:t>
      </w:r>
      <w:r w:rsidR="00AD6449" w:rsidRPr="00C307D6">
        <w:rPr>
          <w:rFonts w:ascii="Calibri" w:eastAsia="Calibri" w:hAnsi="Calibri" w:cs="Times New Roman"/>
        </w:rPr>
        <w:t>7</w:t>
      </w:r>
      <w:r w:rsidR="00EE47AE" w:rsidRPr="00C307D6">
        <w:rPr>
          <w:rFonts w:ascii="Calibri" w:eastAsia="Calibri" w:hAnsi="Calibri" w:cs="Times New Roman"/>
        </w:rPr>
        <w:t xml:space="preserve">%. </w:t>
      </w:r>
      <w:r w:rsidR="00EE47AE" w:rsidRPr="00C307D6">
        <w:rPr>
          <w:bCs/>
        </w:rPr>
        <w:t>Il settore primario nel 2018 assorbe il 3,</w:t>
      </w:r>
      <w:r w:rsidR="00AD6449" w:rsidRPr="00C307D6">
        <w:rPr>
          <w:bCs/>
        </w:rPr>
        <w:t>6</w:t>
      </w:r>
      <w:r w:rsidR="00EE47AE" w:rsidRPr="00C307D6">
        <w:rPr>
          <w:bCs/>
        </w:rPr>
        <w:t>% degli occupati totali</w:t>
      </w:r>
      <w:r w:rsidR="00420616" w:rsidRPr="00C307D6">
        <w:rPr>
          <w:bCs/>
        </w:rPr>
        <w:t>.</w:t>
      </w:r>
      <w:r w:rsidR="005D4405" w:rsidRPr="00C307D6">
        <w:rPr>
          <w:bCs/>
        </w:rPr>
        <w:t xml:space="preserve"> </w:t>
      </w:r>
      <w:r w:rsidR="00207119" w:rsidRPr="00C307D6">
        <w:rPr>
          <w:bCs/>
        </w:rPr>
        <w:t xml:space="preserve"> </w:t>
      </w:r>
    </w:p>
    <w:p w14:paraId="7085417A" w14:textId="77777777" w:rsidR="00C307D6" w:rsidRDefault="00C307D6" w:rsidP="00C307D6">
      <w:pPr>
        <w:pStyle w:val="Paragrafoelenco"/>
        <w:numPr>
          <w:ilvl w:val="0"/>
          <w:numId w:val="11"/>
        </w:numPr>
        <w:ind w:left="426"/>
        <w:jc w:val="left"/>
        <w:rPr>
          <w:bCs/>
        </w:rPr>
      </w:pPr>
      <w:r w:rsidRPr="00C307D6">
        <w:rPr>
          <w:bCs/>
        </w:rPr>
        <w:t xml:space="preserve">L’occupazione in agricoltura rimane stabile, con un lieve recupero della componente femminile (+2,9%) che risulta comunque in forte minoranza rappresentando meno del 27% del totale. </w:t>
      </w:r>
    </w:p>
    <w:p w14:paraId="45794348" w14:textId="59446A55" w:rsidR="00C307D6" w:rsidRPr="00C307D6" w:rsidRDefault="00C307D6" w:rsidP="00C307D6">
      <w:pPr>
        <w:pStyle w:val="Paragrafoelenco"/>
        <w:numPr>
          <w:ilvl w:val="0"/>
          <w:numId w:val="11"/>
        </w:numPr>
        <w:ind w:left="426"/>
        <w:jc w:val="left"/>
        <w:rPr>
          <w:bCs/>
        </w:rPr>
      </w:pPr>
      <w:r w:rsidRPr="00C307D6">
        <w:rPr>
          <w:bCs/>
        </w:rPr>
        <w:t>Continua a crescere l’importanza del contributo dei lavoratori stranieri, con un’incidenza ormai vicina al 18%.</w:t>
      </w:r>
    </w:p>
    <w:p w14:paraId="30417864" w14:textId="49C640A3" w:rsidR="00C307D6" w:rsidRDefault="00C307D6" w:rsidP="00C307D6">
      <w:pPr>
        <w:pStyle w:val="Paragrafoelenco"/>
        <w:numPr>
          <w:ilvl w:val="0"/>
          <w:numId w:val="11"/>
        </w:numPr>
        <w:ind w:left="426"/>
        <w:jc w:val="left"/>
        <w:rPr>
          <w:bCs/>
        </w:rPr>
      </w:pPr>
      <w:r w:rsidRPr="00C307D6">
        <w:rPr>
          <w:bCs/>
        </w:rPr>
        <w:lastRenderedPageBreak/>
        <w:t>L’andamento a livello territoriale è molto articolato: il Nord registra una forte riduzione di occupati dovuta soprattutto alle regioni orientali (-11 mila persone, -5,8%); il Mezzogiorno recupera l’importante perdita registrata lo scorso anno con 12 mila occupati in più (pari al +2,9%), lievi aumenti caratterizzano invece le regioni centrali</w:t>
      </w:r>
      <w:r w:rsidR="002F618A">
        <w:rPr>
          <w:bCs/>
        </w:rPr>
        <w:t>.</w:t>
      </w:r>
    </w:p>
    <w:p w14:paraId="1263F22A" w14:textId="77777777" w:rsidR="00207119" w:rsidRPr="00207119" w:rsidRDefault="00207119" w:rsidP="00207119">
      <w:pPr>
        <w:pStyle w:val="Paragrafoelenco"/>
        <w:ind w:left="426"/>
        <w:jc w:val="left"/>
        <w:rPr>
          <w:bCs/>
        </w:rPr>
      </w:pPr>
    </w:p>
    <w:p w14:paraId="4FB3AACB" w14:textId="4D9B53E6" w:rsidR="00DD69AE" w:rsidRDefault="00F47FAA" w:rsidP="00F47FAA">
      <w:pPr>
        <w:pStyle w:val="Titolotab-grafReport"/>
        <w:numPr>
          <w:ilvl w:val="0"/>
          <w:numId w:val="0"/>
        </w:numPr>
        <w:spacing w:after="120"/>
      </w:pPr>
      <w:r w:rsidRPr="00473AC9">
        <w:t xml:space="preserve">Tabella </w:t>
      </w:r>
      <w:r w:rsidR="00207119">
        <w:rPr>
          <w:noProof/>
        </w:rPr>
        <w:t>2.1</w:t>
      </w:r>
      <w:r w:rsidRPr="00DD2517">
        <w:t xml:space="preserve"> </w:t>
      </w:r>
      <w:r w:rsidR="00EE47AE" w:rsidRPr="00C005CD">
        <w:rPr>
          <w:lang w:eastAsia="it-IT"/>
        </w:rPr>
        <w:t xml:space="preserve">Occupati nei </w:t>
      </w:r>
      <w:proofErr w:type="gramStart"/>
      <w:r w:rsidR="00EE47AE" w:rsidRPr="00C005CD">
        <w:rPr>
          <w:lang w:eastAsia="it-IT"/>
        </w:rPr>
        <w:t>macro-settori</w:t>
      </w:r>
      <w:proofErr w:type="gramEnd"/>
      <w:r w:rsidR="00EE47AE" w:rsidRPr="00C005CD">
        <w:rPr>
          <w:lang w:eastAsia="it-IT"/>
        </w:rPr>
        <w:t xml:space="preserve"> di attività economica </w:t>
      </w:r>
      <w:r w:rsidR="00EE47AE">
        <w:rPr>
          <w:lang w:eastAsia="it-IT"/>
        </w:rPr>
        <w:t>in Italia</w:t>
      </w:r>
      <w:r w:rsidR="00EE47AE" w:rsidRPr="00C005CD">
        <w:rPr>
          <w:lang w:eastAsia="it-IT"/>
        </w:rPr>
        <w:t>, migliaia</w:t>
      </w:r>
      <w:r w:rsidR="00EE47AE">
        <w:rPr>
          <w:lang w:eastAsia="it-IT"/>
        </w:rPr>
        <w:t xml:space="preserve"> </w:t>
      </w:r>
      <w:r w:rsidR="00DB0447">
        <w:rPr>
          <w:lang w:eastAsia="it-IT"/>
        </w:rPr>
        <w:t xml:space="preserve">- </w:t>
      </w:r>
      <w:r w:rsidR="00EE47AE" w:rsidRPr="00C005CD">
        <w:rPr>
          <w:lang w:eastAsia="it-IT"/>
        </w:rPr>
        <w:t>C.8</w:t>
      </w:r>
    </w:p>
    <w:tbl>
      <w:tblPr>
        <w:tblStyle w:val="Grigliatabellachiara"/>
        <w:tblW w:w="9388" w:type="dxa"/>
        <w:tblLook w:val="04A0" w:firstRow="1" w:lastRow="0" w:firstColumn="1" w:lastColumn="0" w:noHBand="0" w:noVBand="1"/>
      </w:tblPr>
      <w:tblGrid>
        <w:gridCol w:w="5704"/>
        <w:gridCol w:w="1382"/>
        <w:gridCol w:w="1151"/>
        <w:gridCol w:w="1151"/>
      </w:tblGrid>
      <w:tr w:rsidR="00EE47AE" w:rsidRPr="003B79F4" w14:paraId="25289FBE" w14:textId="77777777" w:rsidTr="00303956">
        <w:trPr>
          <w:trHeight w:val="75"/>
        </w:trPr>
        <w:tc>
          <w:tcPr>
            <w:tcW w:w="5704" w:type="dxa"/>
            <w:noWrap/>
            <w:hideMark/>
          </w:tcPr>
          <w:p w14:paraId="54EC6618" w14:textId="77777777" w:rsidR="00EE47AE" w:rsidRPr="003B79F4" w:rsidRDefault="00EE47AE" w:rsidP="00661229">
            <w:pPr>
              <w:jc w:val="left"/>
              <w:rPr>
                <w:rFonts w:ascii="Calibri" w:hAnsi="Calibri" w:cs="Calibri"/>
                <w:b/>
                <w:bCs/>
                <w:color w:val="000000"/>
                <w:sz w:val="20"/>
              </w:rPr>
            </w:pPr>
            <w:r w:rsidRPr="003B79F4">
              <w:rPr>
                <w:rFonts w:ascii="Calibri" w:hAnsi="Calibri" w:cs="Calibri"/>
                <w:b/>
                <w:bCs/>
                <w:color w:val="000000"/>
                <w:sz w:val="20"/>
              </w:rPr>
              <w:t>Italia</w:t>
            </w:r>
          </w:p>
        </w:tc>
        <w:tc>
          <w:tcPr>
            <w:tcW w:w="1382" w:type="dxa"/>
            <w:noWrap/>
            <w:hideMark/>
          </w:tcPr>
          <w:p w14:paraId="0C1589ED" w14:textId="77777777" w:rsidR="00EE47AE" w:rsidRPr="003B79F4" w:rsidRDefault="00EE47AE" w:rsidP="00661229">
            <w:pPr>
              <w:jc w:val="right"/>
              <w:rPr>
                <w:rFonts w:ascii="Calibri" w:hAnsi="Calibri" w:cs="Calibri"/>
                <w:b/>
                <w:color w:val="000000"/>
                <w:sz w:val="20"/>
              </w:rPr>
            </w:pPr>
            <w:r w:rsidRPr="003B79F4">
              <w:rPr>
                <w:rFonts w:ascii="Calibri" w:hAnsi="Calibri" w:cs="Calibri"/>
                <w:b/>
                <w:color w:val="000000"/>
                <w:sz w:val="20"/>
              </w:rPr>
              <w:t>2007</w:t>
            </w:r>
          </w:p>
        </w:tc>
        <w:tc>
          <w:tcPr>
            <w:tcW w:w="1151" w:type="dxa"/>
            <w:noWrap/>
            <w:hideMark/>
          </w:tcPr>
          <w:p w14:paraId="31590F75" w14:textId="77777777" w:rsidR="00EE47AE" w:rsidRPr="003B79F4" w:rsidRDefault="00EE47AE" w:rsidP="00661229">
            <w:pPr>
              <w:jc w:val="right"/>
              <w:rPr>
                <w:rFonts w:ascii="Calibri" w:hAnsi="Calibri" w:cs="Calibri"/>
                <w:b/>
                <w:color w:val="000000"/>
                <w:sz w:val="20"/>
              </w:rPr>
            </w:pPr>
            <w:r w:rsidRPr="003B79F4">
              <w:rPr>
                <w:rFonts w:ascii="Calibri" w:hAnsi="Calibri" w:cs="Calibri"/>
                <w:b/>
                <w:color w:val="000000"/>
                <w:sz w:val="20"/>
              </w:rPr>
              <w:t>2015</w:t>
            </w:r>
          </w:p>
        </w:tc>
        <w:tc>
          <w:tcPr>
            <w:tcW w:w="1151" w:type="dxa"/>
            <w:noWrap/>
            <w:hideMark/>
          </w:tcPr>
          <w:p w14:paraId="40B2C47C" w14:textId="77777777" w:rsidR="00EE47AE" w:rsidRPr="003B79F4" w:rsidRDefault="00EE47AE" w:rsidP="00661229">
            <w:pPr>
              <w:jc w:val="right"/>
              <w:rPr>
                <w:rFonts w:ascii="Calibri" w:hAnsi="Calibri" w:cs="Calibri"/>
                <w:b/>
                <w:color w:val="000000"/>
                <w:sz w:val="20"/>
              </w:rPr>
            </w:pPr>
            <w:r w:rsidRPr="003B79F4">
              <w:rPr>
                <w:rFonts w:ascii="Calibri" w:hAnsi="Calibri" w:cs="Calibri"/>
                <w:b/>
                <w:color w:val="000000"/>
                <w:sz w:val="20"/>
              </w:rPr>
              <w:t>2018</w:t>
            </w:r>
          </w:p>
        </w:tc>
      </w:tr>
      <w:tr w:rsidR="00EE47AE" w:rsidRPr="003B79F4" w14:paraId="141C7B17" w14:textId="77777777" w:rsidTr="00303956">
        <w:trPr>
          <w:trHeight w:val="290"/>
        </w:trPr>
        <w:tc>
          <w:tcPr>
            <w:tcW w:w="0" w:type="auto"/>
            <w:noWrap/>
            <w:hideMark/>
          </w:tcPr>
          <w:p w14:paraId="2284F592" w14:textId="77777777" w:rsidR="00EE47AE" w:rsidRPr="003B79F4" w:rsidRDefault="00EE47AE" w:rsidP="00661229">
            <w:pPr>
              <w:jc w:val="left"/>
              <w:rPr>
                <w:rFonts w:ascii="Calibri" w:hAnsi="Calibri" w:cs="Calibri"/>
                <w:color w:val="000000"/>
                <w:sz w:val="20"/>
              </w:rPr>
            </w:pPr>
            <w:r w:rsidRPr="003B79F4">
              <w:rPr>
                <w:rFonts w:ascii="Calibri" w:hAnsi="Calibri" w:cs="Calibri"/>
                <w:color w:val="000000"/>
                <w:sz w:val="20"/>
              </w:rPr>
              <w:t>Settore primario</w:t>
            </w:r>
          </w:p>
        </w:tc>
        <w:tc>
          <w:tcPr>
            <w:tcW w:w="0" w:type="auto"/>
            <w:noWrap/>
            <w:hideMark/>
          </w:tcPr>
          <w:p w14:paraId="61CDA8B2" w14:textId="77777777" w:rsidR="00EE47AE" w:rsidRPr="003B79F4" w:rsidRDefault="00EE47AE" w:rsidP="00661229">
            <w:pPr>
              <w:jc w:val="right"/>
              <w:rPr>
                <w:rFonts w:ascii="Calibri" w:hAnsi="Calibri" w:cs="Calibri"/>
                <w:color w:val="000000"/>
                <w:sz w:val="20"/>
              </w:rPr>
            </w:pPr>
            <w:r w:rsidRPr="003B79F4">
              <w:rPr>
                <w:rFonts w:ascii="Calibri" w:hAnsi="Calibri" w:cs="Calibri"/>
                <w:color w:val="000000"/>
                <w:sz w:val="20"/>
              </w:rPr>
              <w:t>985</w:t>
            </w:r>
          </w:p>
        </w:tc>
        <w:tc>
          <w:tcPr>
            <w:tcW w:w="0" w:type="auto"/>
            <w:noWrap/>
            <w:hideMark/>
          </w:tcPr>
          <w:p w14:paraId="29CD9985" w14:textId="77777777" w:rsidR="00EE47AE" w:rsidRPr="003B79F4" w:rsidRDefault="00EE47AE" w:rsidP="00661229">
            <w:pPr>
              <w:jc w:val="right"/>
              <w:rPr>
                <w:rFonts w:ascii="Calibri" w:hAnsi="Calibri" w:cs="Calibri"/>
                <w:color w:val="000000"/>
                <w:sz w:val="20"/>
              </w:rPr>
            </w:pPr>
            <w:r w:rsidRPr="003B79F4">
              <w:rPr>
                <w:rFonts w:ascii="Calibri" w:hAnsi="Calibri" w:cs="Calibri"/>
                <w:color w:val="000000"/>
                <w:sz w:val="20"/>
              </w:rPr>
              <w:t>899</w:t>
            </w:r>
          </w:p>
        </w:tc>
        <w:tc>
          <w:tcPr>
            <w:tcW w:w="0" w:type="auto"/>
            <w:noWrap/>
            <w:hideMark/>
          </w:tcPr>
          <w:p w14:paraId="4F874986" w14:textId="77777777" w:rsidR="00EE47AE" w:rsidRPr="003B79F4" w:rsidRDefault="00EE47AE" w:rsidP="00661229">
            <w:pPr>
              <w:jc w:val="right"/>
              <w:rPr>
                <w:rFonts w:ascii="Calibri" w:hAnsi="Calibri" w:cs="Calibri"/>
                <w:color w:val="000000"/>
                <w:sz w:val="20"/>
              </w:rPr>
            </w:pPr>
            <w:r w:rsidRPr="003B79F4">
              <w:rPr>
                <w:rFonts w:ascii="Calibri" w:hAnsi="Calibri" w:cs="Calibri"/>
                <w:color w:val="000000"/>
                <w:sz w:val="20"/>
              </w:rPr>
              <w:t>917</w:t>
            </w:r>
          </w:p>
        </w:tc>
      </w:tr>
      <w:tr w:rsidR="00EE47AE" w:rsidRPr="003B79F4" w14:paraId="3A49D88E" w14:textId="77777777" w:rsidTr="00303956">
        <w:trPr>
          <w:trHeight w:val="290"/>
        </w:trPr>
        <w:tc>
          <w:tcPr>
            <w:tcW w:w="0" w:type="auto"/>
            <w:noWrap/>
            <w:hideMark/>
          </w:tcPr>
          <w:p w14:paraId="23AAD9EE" w14:textId="77777777" w:rsidR="00EE47AE" w:rsidRPr="003B79F4" w:rsidRDefault="00EE47AE" w:rsidP="00661229">
            <w:pPr>
              <w:jc w:val="left"/>
              <w:rPr>
                <w:rFonts w:ascii="Calibri" w:hAnsi="Calibri" w:cs="Calibri"/>
                <w:color w:val="000000"/>
                <w:sz w:val="20"/>
              </w:rPr>
            </w:pPr>
            <w:r w:rsidRPr="003B79F4">
              <w:rPr>
                <w:rFonts w:ascii="Calibri" w:hAnsi="Calibri" w:cs="Calibri"/>
                <w:color w:val="000000"/>
                <w:sz w:val="20"/>
              </w:rPr>
              <w:t>Settore secondario</w:t>
            </w:r>
          </w:p>
        </w:tc>
        <w:tc>
          <w:tcPr>
            <w:tcW w:w="0" w:type="auto"/>
            <w:noWrap/>
            <w:hideMark/>
          </w:tcPr>
          <w:p w14:paraId="6C773841" w14:textId="77777777" w:rsidR="00EE47AE" w:rsidRPr="003B79F4" w:rsidRDefault="00EE47AE" w:rsidP="00661229">
            <w:pPr>
              <w:jc w:val="right"/>
              <w:rPr>
                <w:rFonts w:ascii="Calibri" w:hAnsi="Calibri" w:cs="Calibri"/>
                <w:color w:val="000000"/>
                <w:sz w:val="20"/>
              </w:rPr>
            </w:pPr>
            <w:r w:rsidRPr="003B79F4">
              <w:rPr>
                <w:rFonts w:ascii="Calibri" w:hAnsi="Calibri" w:cs="Calibri"/>
                <w:color w:val="000000"/>
                <w:sz w:val="20"/>
              </w:rPr>
              <w:t>6.867</w:t>
            </w:r>
          </w:p>
        </w:tc>
        <w:tc>
          <w:tcPr>
            <w:tcW w:w="0" w:type="auto"/>
            <w:noWrap/>
            <w:hideMark/>
          </w:tcPr>
          <w:p w14:paraId="34B609AE" w14:textId="77777777" w:rsidR="00EE47AE" w:rsidRPr="003B79F4" w:rsidRDefault="00EE47AE" w:rsidP="00661229">
            <w:pPr>
              <w:jc w:val="right"/>
              <w:rPr>
                <w:rFonts w:ascii="Calibri" w:hAnsi="Calibri" w:cs="Calibri"/>
                <w:color w:val="000000"/>
                <w:sz w:val="20"/>
              </w:rPr>
            </w:pPr>
            <w:r>
              <w:rPr>
                <w:rFonts w:ascii="Calibri" w:hAnsi="Calibri" w:cs="Calibri"/>
                <w:color w:val="000000"/>
                <w:sz w:val="20"/>
              </w:rPr>
              <w:t>5.77</w:t>
            </w:r>
            <w:r w:rsidRPr="003B79F4">
              <w:rPr>
                <w:rFonts w:ascii="Calibri" w:hAnsi="Calibri" w:cs="Calibri"/>
                <w:color w:val="000000"/>
                <w:sz w:val="20"/>
              </w:rPr>
              <w:t>6</w:t>
            </w:r>
          </w:p>
        </w:tc>
        <w:tc>
          <w:tcPr>
            <w:tcW w:w="0" w:type="auto"/>
            <w:noWrap/>
            <w:hideMark/>
          </w:tcPr>
          <w:p w14:paraId="469E19A0" w14:textId="77777777" w:rsidR="00EE47AE" w:rsidRPr="003B79F4" w:rsidRDefault="00EE47AE" w:rsidP="00661229">
            <w:pPr>
              <w:jc w:val="right"/>
              <w:rPr>
                <w:rFonts w:ascii="Calibri" w:hAnsi="Calibri" w:cs="Calibri"/>
                <w:color w:val="000000"/>
                <w:sz w:val="20"/>
              </w:rPr>
            </w:pPr>
            <w:r w:rsidRPr="003B79F4">
              <w:rPr>
                <w:rFonts w:ascii="Calibri" w:hAnsi="Calibri" w:cs="Calibri"/>
                <w:color w:val="000000"/>
                <w:sz w:val="20"/>
              </w:rPr>
              <w:t>5.827</w:t>
            </w:r>
          </w:p>
        </w:tc>
      </w:tr>
      <w:tr w:rsidR="00EE47AE" w:rsidRPr="003B79F4" w14:paraId="3A47A91C" w14:textId="77777777" w:rsidTr="00303956">
        <w:trPr>
          <w:trHeight w:val="290"/>
        </w:trPr>
        <w:tc>
          <w:tcPr>
            <w:tcW w:w="0" w:type="auto"/>
            <w:noWrap/>
            <w:hideMark/>
          </w:tcPr>
          <w:p w14:paraId="3E0599BA" w14:textId="77777777" w:rsidR="00EE47AE" w:rsidRPr="003B79F4" w:rsidRDefault="00EE47AE" w:rsidP="00661229">
            <w:pPr>
              <w:jc w:val="left"/>
              <w:rPr>
                <w:rFonts w:ascii="Calibri" w:hAnsi="Calibri" w:cs="Calibri"/>
                <w:color w:val="000000"/>
                <w:sz w:val="20"/>
              </w:rPr>
            </w:pPr>
            <w:r w:rsidRPr="003B79F4">
              <w:rPr>
                <w:rFonts w:ascii="Calibri" w:hAnsi="Calibri" w:cs="Calibri"/>
                <w:color w:val="000000"/>
                <w:sz w:val="20"/>
              </w:rPr>
              <w:t>Settore terziario</w:t>
            </w:r>
          </w:p>
        </w:tc>
        <w:tc>
          <w:tcPr>
            <w:tcW w:w="0" w:type="auto"/>
            <w:noWrap/>
            <w:hideMark/>
          </w:tcPr>
          <w:p w14:paraId="77E73BC0" w14:textId="77777777" w:rsidR="00EE47AE" w:rsidRPr="003B79F4" w:rsidRDefault="00EE47AE" w:rsidP="00661229">
            <w:pPr>
              <w:jc w:val="right"/>
              <w:rPr>
                <w:rFonts w:ascii="Calibri" w:hAnsi="Calibri" w:cs="Calibri"/>
                <w:color w:val="000000"/>
                <w:sz w:val="20"/>
              </w:rPr>
            </w:pPr>
            <w:r w:rsidRPr="003B79F4">
              <w:rPr>
                <w:rFonts w:ascii="Calibri" w:hAnsi="Calibri" w:cs="Calibri"/>
                <w:color w:val="000000"/>
                <w:sz w:val="20"/>
              </w:rPr>
              <w:t>17.4</w:t>
            </w:r>
            <w:r>
              <w:rPr>
                <w:rFonts w:ascii="Calibri" w:hAnsi="Calibri" w:cs="Calibri"/>
                <w:color w:val="000000"/>
                <w:sz w:val="20"/>
              </w:rPr>
              <w:t>43</w:t>
            </w:r>
          </w:p>
        </w:tc>
        <w:tc>
          <w:tcPr>
            <w:tcW w:w="0" w:type="auto"/>
            <w:noWrap/>
            <w:hideMark/>
          </w:tcPr>
          <w:p w14:paraId="7CEC2404" w14:textId="77777777" w:rsidR="00EE47AE" w:rsidRPr="003B79F4" w:rsidRDefault="00EE47AE" w:rsidP="00661229">
            <w:pPr>
              <w:jc w:val="right"/>
              <w:rPr>
                <w:rFonts w:ascii="Calibri" w:hAnsi="Calibri" w:cs="Calibri"/>
                <w:color w:val="000000"/>
                <w:sz w:val="20"/>
              </w:rPr>
            </w:pPr>
            <w:r w:rsidRPr="003B79F4">
              <w:rPr>
                <w:rFonts w:ascii="Calibri" w:hAnsi="Calibri" w:cs="Calibri"/>
                <w:color w:val="000000"/>
                <w:sz w:val="20"/>
              </w:rPr>
              <w:t>17.892</w:t>
            </w:r>
          </w:p>
        </w:tc>
        <w:tc>
          <w:tcPr>
            <w:tcW w:w="0" w:type="auto"/>
            <w:noWrap/>
            <w:hideMark/>
          </w:tcPr>
          <w:p w14:paraId="0A2EA39E" w14:textId="77777777" w:rsidR="00EE47AE" w:rsidRPr="003B79F4" w:rsidRDefault="00EE47AE" w:rsidP="00661229">
            <w:pPr>
              <w:jc w:val="right"/>
              <w:rPr>
                <w:rFonts w:ascii="Calibri" w:hAnsi="Calibri" w:cs="Calibri"/>
                <w:color w:val="000000"/>
                <w:sz w:val="20"/>
              </w:rPr>
            </w:pPr>
            <w:r w:rsidRPr="003B79F4">
              <w:rPr>
                <w:rFonts w:ascii="Calibri" w:hAnsi="Calibri" w:cs="Calibri"/>
                <w:color w:val="000000"/>
                <w:sz w:val="20"/>
              </w:rPr>
              <w:t>18.591</w:t>
            </w:r>
          </w:p>
        </w:tc>
      </w:tr>
    </w:tbl>
    <w:p w14:paraId="6FDD39FA" w14:textId="77777777" w:rsidR="00134542" w:rsidRDefault="00EE47AE" w:rsidP="00EE47AE">
      <w:pPr>
        <w:pStyle w:val="Fontetab-grafReport"/>
      </w:pPr>
      <w:r>
        <w:t>Fonte: elaborazioni su dati Eurostat</w:t>
      </w:r>
    </w:p>
    <w:p w14:paraId="4A43DD14" w14:textId="5E06429B" w:rsidR="00EE47AE" w:rsidRDefault="00EE47AE" w:rsidP="00EE47AE">
      <w:pPr>
        <w:pStyle w:val="Fontetab-grafReport"/>
      </w:pPr>
    </w:p>
    <w:p w14:paraId="28853417" w14:textId="77FF2973" w:rsidR="00EE47AE" w:rsidRPr="00C547AE" w:rsidRDefault="00EE47AE" w:rsidP="00EE47AE">
      <w:pPr>
        <w:pStyle w:val="Titolofig"/>
        <w:rPr>
          <w:lang w:eastAsia="it-IT"/>
        </w:rPr>
      </w:pPr>
      <w:bookmarkStart w:id="5" w:name="_Ref15298714"/>
      <w:r>
        <w:t xml:space="preserve">Figura </w:t>
      </w:r>
      <w:bookmarkEnd w:id="5"/>
      <w:r w:rsidR="004A5F14">
        <w:t>2.1</w:t>
      </w:r>
      <w:r w:rsidRPr="00C005CD">
        <w:rPr>
          <w:lang w:eastAsia="it-IT"/>
        </w:rPr>
        <w:t xml:space="preserve"> </w:t>
      </w:r>
      <w:r>
        <w:rPr>
          <w:lang w:eastAsia="it-IT"/>
        </w:rPr>
        <w:t>Dinamica degli o</w:t>
      </w:r>
      <w:r w:rsidRPr="00C547AE">
        <w:rPr>
          <w:lang w:eastAsia="it-IT"/>
        </w:rPr>
        <w:t xml:space="preserve">ccupati nei </w:t>
      </w:r>
      <w:proofErr w:type="gramStart"/>
      <w:r w:rsidRPr="00C547AE">
        <w:rPr>
          <w:lang w:eastAsia="it-IT"/>
        </w:rPr>
        <w:t>macro-settori</w:t>
      </w:r>
      <w:proofErr w:type="gramEnd"/>
      <w:r w:rsidRPr="00C547AE">
        <w:rPr>
          <w:lang w:eastAsia="it-IT"/>
        </w:rPr>
        <w:t xml:space="preserve"> di attivi</w:t>
      </w:r>
      <w:r>
        <w:rPr>
          <w:lang w:eastAsia="it-IT"/>
        </w:rPr>
        <w:t xml:space="preserve">tà economica </w:t>
      </w:r>
      <w:r w:rsidRPr="00C005CD">
        <w:rPr>
          <w:lang w:eastAsia="it-IT"/>
        </w:rPr>
        <w:t>(C.8)</w:t>
      </w:r>
      <w:r>
        <w:rPr>
          <w:lang w:eastAsia="it-IT"/>
        </w:rPr>
        <w:t xml:space="preserve"> -</w:t>
      </w:r>
      <w:r w:rsidRPr="00830D0F">
        <w:rPr>
          <w:lang w:eastAsia="it-IT"/>
        </w:rPr>
        <w:t xml:space="preserve"> </w:t>
      </w:r>
      <w:r>
        <w:rPr>
          <w:lang w:eastAsia="it-IT"/>
        </w:rPr>
        <w:t>Italia (indice 2007=100)</w:t>
      </w:r>
    </w:p>
    <w:p w14:paraId="295735DA" w14:textId="5AAB60E2" w:rsidR="00217564" w:rsidRDefault="00217564" w:rsidP="00EE47AE">
      <w:pPr>
        <w:pStyle w:val="Fontetabellagrafico"/>
      </w:pPr>
      <w:r>
        <w:rPr>
          <w:noProof/>
          <w:lang w:eastAsia="it-IT"/>
        </w:rPr>
        <w:drawing>
          <wp:inline distT="0" distB="0" distL="0" distR="0" wp14:anchorId="7BB0B695" wp14:editId="44DD3627">
            <wp:extent cx="4641850" cy="2038350"/>
            <wp:effectExtent l="0" t="0" r="6350" b="0"/>
            <wp:docPr id="27" name="Gra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66C768A" w14:textId="4FB9E371" w:rsidR="00EE47AE" w:rsidRDefault="00EE47AE" w:rsidP="00EE47AE">
      <w:pPr>
        <w:pStyle w:val="Fontetabellagrafico"/>
      </w:pPr>
      <w:r>
        <w:t>Fonte: elaborazioni su dati Eurostat</w:t>
      </w:r>
    </w:p>
    <w:p w14:paraId="4DB0524E" w14:textId="62953D70" w:rsidR="000D3530" w:rsidRDefault="000D3530" w:rsidP="00A33A10"/>
    <w:p w14:paraId="00AE7ABB" w14:textId="52D9B9A8" w:rsidR="009E1E26" w:rsidRPr="00C547AE" w:rsidRDefault="009E1E26" w:rsidP="009E1E26">
      <w:pPr>
        <w:pStyle w:val="Titolofig"/>
        <w:rPr>
          <w:lang w:eastAsia="it-IT"/>
        </w:rPr>
      </w:pPr>
      <w:r>
        <w:t>Figura 2.2</w:t>
      </w:r>
      <w:r w:rsidRPr="00C005CD">
        <w:rPr>
          <w:lang w:eastAsia="it-IT"/>
        </w:rPr>
        <w:t xml:space="preserve"> </w:t>
      </w:r>
      <w:r>
        <w:rPr>
          <w:lang w:eastAsia="it-IT"/>
        </w:rPr>
        <w:t xml:space="preserve">Occupati per settore di attività economica e per area geografica in </w:t>
      </w:r>
      <w:proofErr w:type="spellStart"/>
      <w:r>
        <w:rPr>
          <w:lang w:eastAsia="it-IT"/>
        </w:rPr>
        <w:t>italia</w:t>
      </w:r>
      <w:proofErr w:type="spellEnd"/>
    </w:p>
    <w:p w14:paraId="5B6B4515" w14:textId="4CB537B5" w:rsidR="009E1E26" w:rsidRDefault="009E1E26" w:rsidP="00A33A10">
      <w:r>
        <w:rPr>
          <w:noProof/>
        </w:rPr>
        <w:drawing>
          <wp:inline distT="0" distB="0" distL="0" distR="0" wp14:anchorId="6AF4D478" wp14:editId="009AC647">
            <wp:extent cx="4584700" cy="2755900"/>
            <wp:effectExtent l="0" t="0" r="6350" b="635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84700" cy="2755900"/>
                    </a:xfrm>
                    <a:prstGeom prst="rect">
                      <a:avLst/>
                    </a:prstGeom>
                    <a:noFill/>
                  </pic:spPr>
                </pic:pic>
              </a:graphicData>
            </a:graphic>
          </wp:inline>
        </w:drawing>
      </w:r>
    </w:p>
    <w:p w14:paraId="72326B90" w14:textId="7C5D39C8" w:rsidR="009E1E26" w:rsidRDefault="009E1E26" w:rsidP="009E1E26">
      <w:pPr>
        <w:pStyle w:val="Fontetabellagrafico"/>
      </w:pPr>
      <w:r>
        <w:t>Fonte: elaborazioni su dati ISTAT</w:t>
      </w:r>
    </w:p>
    <w:p w14:paraId="5F95DF9F" w14:textId="77777777" w:rsidR="00207119" w:rsidRDefault="00207119" w:rsidP="00A33A10"/>
    <w:p w14:paraId="3799469A" w14:textId="06C6EF05" w:rsidR="00436401" w:rsidRPr="003058FC" w:rsidRDefault="004F7597" w:rsidP="00975484">
      <w:pPr>
        <w:pStyle w:val="Titolo2"/>
        <w:numPr>
          <w:ilvl w:val="0"/>
          <w:numId w:val="1"/>
        </w:numPr>
      </w:pPr>
      <w:bookmarkStart w:id="6" w:name="_Toc56585249"/>
      <w:r>
        <w:lastRenderedPageBreak/>
        <w:t>Coltivazioni</w:t>
      </w:r>
      <w:r w:rsidR="00436401">
        <w:t xml:space="preserve"> </w:t>
      </w:r>
      <w:r w:rsidR="004F539E">
        <w:t>e allevamenti</w:t>
      </w:r>
      <w:bookmarkEnd w:id="6"/>
    </w:p>
    <w:p w14:paraId="73751075" w14:textId="0F9772DB" w:rsidR="004E08F6" w:rsidRPr="00CD318E" w:rsidRDefault="00111516" w:rsidP="00052C52">
      <w:pPr>
        <w:pStyle w:val="Paragrafoelenco"/>
        <w:numPr>
          <w:ilvl w:val="0"/>
          <w:numId w:val="2"/>
        </w:numPr>
      </w:pPr>
      <w:r>
        <w:t>Nel 2016 o</w:t>
      </w:r>
      <w:r w:rsidR="00436401" w:rsidRPr="00CD318E">
        <w:t xml:space="preserve">ltre la metà della SAU nazionale continua a essere coltivata a seminativi, </w:t>
      </w:r>
      <w:r w:rsidR="00F17D85" w:rsidRPr="00CD318E">
        <w:t>con una tendenza di leggera crescita ris</w:t>
      </w:r>
      <w:r w:rsidR="00803337">
        <w:t>p</w:t>
      </w:r>
      <w:r w:rsidR="00F17D85" w:rsidRPr="00CD318E">
        <w:t>etto a iniz</w:t>
      </w:r>
      <w:r w:rsidR="0027738F">
        <w:t>i</w:t>
      </w:r>
      <w:r w:rsidR="00F17D85" w:rsidRPr="00CD318E">
        <w:t>o decennio</w:t>
      </w:r>
      <w:r w:rsidR="00436401" w:rsidRPr="00CD318E">
        <w:t>. Al contrario la superficie destinata a prati e pascoli (</w:t>
      </w:r>
      <w:r w:rsidR="005A64B9" w:rsidRPr="00CD318E">
        <w:t>circa un quarto</w:t>
      </w:r>
      <w:r w:rsidR="00436401" w:rsidRPr="00CD318E">
        <w:t xml:space="preserve"> della SAU) e a coltivazioni legnose (</w:t>
      </w:r>
      <w:r w:rsidR="005A64B9" w:rsidRPr="00CD318E">
        <w:t>meno di un quinto</w:t>
      </w:r>
      <w:r w:rsidR="00436401" w:rsidRPr="00CD318E">
        <w:t xml:space="preserve"> della SAU) è in diminuzione. Tra le coltivazioni legnose</w:t>
      </w:r>
      <w:r w:rsidR="00CD318E" w:rsidRPr="00CD318E">
        <w:t xml:space="preserve"> si riducono</w:t>
      </w:r>
      <w:r w:rsidR="00F17D85" w:rsidRPr="00CD318E">
        <w:t xml:space="preserve"> </w:t>
      </w:r>
      <w:r w:rsidR="00436401" w:rsidRPr="00CD318E">
        <w:t>l’ulivo</w:t>
      </w:r>
      <w:r w:rsidR="00F17D85" w:rsidRPr="00CD318E">
        <w:t>, la vite e gli agrumi; è,</w:t>
      </w:r>
      <w:r w:rsidR="00436401" w:rsidRPr="00CD318E">
        <w:t xml:space="preserve"> invece, </w:t>
      </w:r>
      <w:proofErr w:type="spellStart"/>
      <w:r w:rsidR="00F17D85" w:rsidRPr="00CD318E">
        <w:t>sostanzialemnte</w:t>
      </w:r>
      <w:proofErr w:type="spellEnd"/>
      <w:r w:rsidR="00F17D85" w:rsidRPr="00CD318E">
        <w:t xml:space="preserve"> stabil</w:t>
      </w:r>
      <w:r w:rsidR="00CD318E" w:rsidRPr="00CD318E">
        <w:t>e</w:t>
      </w:r>
      <w:r w:rsidR="00F17D85" w:rsidRPr="00CD318E">
        <w:t xml:space="preserve"> </w:t>
      </w:r>
      <w:r w:rsidR="00436401" w:rsidRPr="00CD318E">
        <w:t xml:space="preserve">la superficie a fruttiferi. </w:t>
      </w:r>
    </w:p>
    <w:p w14:paraId="14592C43" w14:textId="2A461A31" w:rsidR="00436401" w:rsidRPr="00F24C87" w:rsidRDefault="00436401" w:rsidP="00052C52">
      <w:pPr>
        <w:pStyle w:val="Paragrafoelenco"/>
        <w:numPr>
          <w:ilvl w:val="0"/>
          <w:numId w:val="2"/>
        </w:numPr>
      </w:pPr>
      <w:r w:rsidRPr="00F24C87">
        <w:t xml:space="preserve">Quasi la metà del totale delle superfici con seminativi è coltivata a cereali e tra questi, il frumento duro occupa l’areale maggiore pari a quasi 1,4 milioni di ettari. </w:t>
      </w:r>
    </w:p>
    <w:p w14:paraId="7E406AEB" w14:textId="77777777" w:rsidR="004E08F6" w:rsidRDefault="00436401" w:rsidP="00052C52">
      <w:pPr>
        <w:pStyle w:val="Paragrafoelenco"/>
        <w:numPr>
          <w:ilvl w:val="0"/>
          <w:numId w:val="2"/>
        </w:numPr>
      </w:pPr>
      <w:r w:rsidRPr="00F24C87">
        <w:t xml:space="preserve">I seminativi occupano oltre il 70% della SAU regionale in Lombardia, Veneto, </w:t>
      </w:r>
      <w:proofErr w:type="gramStart"/>
      <w:r w:rsidRPr="00F24C87">
        <w:t>Friuli Venezia Giulia</w:t>
      </w:r>
      <w:proofErr w:type="gramEnd"/>
      <w:r w:rsidRPr="00F24C87">
        <w:t xml:space="preserve">, Emilia-Romagna, Marche e Molise. Le coltivazioni legnose sono rilevanti in Calabria (41% della SAU regionale), Puglia (39%) e Sicilia (25%). I prati e pascoli costituiscono la quasi totalità della SAU della Valle d’Aosta (99%) e sono dominanti nel Trentino-Alto Adige (85%), in Sardegna (60%) e in Liguria (58%). </w:t>
      </w:r>
    </w:p>
    <w:p w14:paraId="3C03BEFC" w14:textId="3F368438" w:rsidR="00436401" w:rsidRDefault="00436401" w:rsidP="00052C52">
      <w:pPr>
        <w:pStyle w:val="Paragrafoelenco"/>
        <w:numPr>
          <w:ilvl w:val="0"/>
          <w:numId w:val="2"/>
        </w:numPr>
      </w:pPr>
      <w:r w:rsidRPr="00F63D26">
        <w:t xml:space="preserve">La coltivazione di orti familiari, marginale in tutto il territorio nazionale, rappresentando appena lo 0,15% della SAU, </w:t>
      </w:r>
      <w:r w:rsidR="00F17D85" w:rsidRPr="00F63D26">
        <w:t xml:space="preserve">e mostra un trend di </w:t>
      </w:r>
      <w:r w:rsidRPr="00F63D26">
        <w:t>contrazione</w:t>
      </w:r>
      <w:r w:rsidR="00F17D85" w:rsidRPr="00F63D26">
        <w:t>,</w:t>
      </w:r>
      <w:r w:rsidR="00F63D26" w:rsidRPr="00F63D26">
        <w:t xml:space="preserve"> </w:t>
      </w:r>
      <w:r w:rsidRPr="00F63D26">
        <w:t>che interessa tutte le regioni italiane.</w:t>
      </w:r>
    </w:p>
    <w:p w14:paraId="2CEE382D" w14:textId="77777777" w:rsidR="004F539E" w:rsidRDefault="004F539E" w:rsidP="004F539E">
      <w:pPr>
        <w:pStyle w:val="Fontetabellagrafico"/>
        <w:spacing w:before="60"/>
        <w:rPr>
          <w:sz w:val="20"/>
          <w:szCs w:val="20"/>
        </w:rPr>
      </w:pPr>
    </w:p>
    <w:p w14:paraId="49EDD31D" w14:textId="77777777" w:rsidR="004F539E" w:rsidRPr="00F24C87" w:rsidRDefault="004F539E" w:rsidP="004F539E">
      <w:pPr>
        <w:pStyle w:val="Paragrafoelenco"/>
        <w:numPr>
          <w:ilvl w:val="0"/>
          <w:numId w:val="2"/>
        </w:numPr>
      </w:pPr>
      <w:r w:rsidRPr="00F24C87">
        <w:t xml:space="preserve">I dati </w:t>
      </w:r>
      <w:r>
        <w:t xml:space="preserve">disponibili </w:t>
      </w:r>
      <w:r w:rsidRPr="00F24C87">
        <w:t xml:space="preserve">segnalano una tendenza alla concentrazione degli allevamenti in un numero minore di aziende, ma di maggiori dimensioni. </w:t>
      </w:r>
    </w:p>
    <w:p w14:paraId="43C8E54A" w14:textId="77777777" w:rsidR="004F539E" w:rsidRDefault="004F539E" w:rsidP="004F539E">
      <w:pPr>
        <w:pStyle w:val="Paragrafoelenco"/>
        <w:numPr>
          <w:ilvl w:val="0"/>
          <w:numId w:val="2"/>
        </w:numPr>
      </w:pPr>
      <w:r w:rsidRPr="00F24C87">
        <w:t xml:space="preserve">Le aziende specializzate nell’allevamento di granivori, particolarmente concentrate nel Nord </w:t>
      </w:r>
      <w:r>
        <w:t xml:space="preserve">del Paese </w:t>
      </w:r>
      <w:r w:rsidRPr="00F24C87">
        <w:t>(quasi il 90%), si distinguono</w:t>
      </w:r>
      <w:r>
        <w:t xml:space="preserve"> sia</w:t>
      </w:r>
      <w:r w:rsidRPr="00F24C87">
        <w:t xml:space="preserve"> per l</w:t>
      </w:r>
      <w:r>
        <w:t xml:space="preserve">e </w:t>
      </w:r>
      <w:r w:rsidRPr="00F24C87">
        <w:t xml:space="preserve">elevate dimensioni degli allevamenti (quasi 480 UBA per azienda nel 2016), </w:t>
      </w:r>
      <w:r>
        <w:t xml:space="preserve">sia </w:t>
      </w:r>
      <w:r w:rsidRPr="00F24C87">
        <w:t>per il carattere intensivo (la densità zootecnica media è oltre 20 UBA/ha)</w:t>
      </w:r>
      <w:r>
        <w:t xml:space="preserve">. Tali caratteristiche consentono alle </w:t>
      </w:r>
      <w:r w:rsidRPr="00F24C87">
        <w:t>aziende di ottenere valori molto elevati d</w:t>
      </w:r>
      <w:r>
        <w:t>i</w:t>
      </w:r>
      <w:r w:rsidRPr="00F24C87">
        <w:t xml:space="preserve"> produzione aziendale</w:t>
      </w:r>
      <w:r>
        <w:t xml:space="preserve">, </w:t>
      </w:r>
      <w:r w:rsidRPr="00F24C87">
        <w:t xml:space="preserve">produttività e redditività. </w:t>
      </w:r>
    </w:p>
    <w:p w14:paraId="0D1114FD" w14:textId="77777777" w:rsidR="004F539E" w:rsidRDefault="004F539E" w:rsidP="004F539E">
      <w:pPr>
        <w:pStyle w:val="Paragrafoelenco"/>
        <w:numPr>
          <w:ilvl w:val="0"/>
          <w:numId w:val="2"/>
        </w:numPr>
      </w:pPr>
      <w:r w:rsidRPr="00F24C87">
        <w:t xml:space="preserve">Le aziende specializzate in bovini da latte, per oltre 2/3 localizzate al Nord, sono dotate di una buona consistenza zootecnica, mediamente superiore a quella europea e allevata in maniera mediamente intensiva (2,7 UBA/ha di SAU), anche se si deve ricordare che l’allevamento in aree montane è di tipo estensivo. </w:t>
      </w:r>
    </w:p>
    <w:p w14:paraId="635EDDDD" w14:textId="77777777" w:rsidR="004F539E" w:rsidRDefault="004F539E" w:rsidP="004F539E">
      <w:pPr>
        <w:pStyle w:val="Paragrafoelenco"/>
        <w:numPr>
          <w:ilvl w:val="0"/>
          <w:numId w:val="2"/>
        </w:numPr>
      </w:pPr>
      <w:r w:rsidRPr="00F24C87">
        <w:t xml:space="preserve">Le aziende specializzate in bovini da </w:t>
      </w:r>
      <w:r>
        <w:t>latte</w:t>
      </w:r>
      <w:r w:rsidRPr="00F24C87">
        <w:t xml:space="preserve"> e </w:t>
      </w:r>
      <w:r>
        <w:t>misti carne-latte</w:t>
      </w:r>
      <w:r w:rsidRPr="00F24C87">
        <w:t>, seppur dotate di un’ampia SAU media (36 ha), conducono allevamenti in media intensivi</w:t>
      </w:r>
      <w:r>
        <w:t>,</w:t>
      </w:r>
      <w:r w:rsidRPr="00F24C87">
        <w:t xml:space="preserve"> in linea </w:t>
      </w:r>
      <w:r>
        <w:t>il dato europeo</w:t>
      </w:r>
      <w:r w:rsidRPr="00F24C87">
        <w:t xml:space="preserve"> europea (52,7 UBA aziendali).</w:t>
      </w:r>
    </w:p>
    <w:p w14:paraId="49724AB7" w14:textId="11BD7756" w:rsidR="004F539E" w:rsidRDefault="004F539E" w:rsidP="004F539E">
      <w:pPr>
        <w:pStyle w:val="Paragrafoelenco"/>
        <w:numPr>
          <w:ilvl w:val="0"/>
          <w:numId w:val="2"/>
        </w:numPr>
      </w:pPr>
      <w:r w:rsidRPr="00F24C87">
        <w:t xml:space="preserve">Le aziende specializzate nell’allevamento con altri erbivori (sostanzialmente ovini e caprini) rivestono particolare rilevanza soprattutto nelle regioni del </w:t>
      </w:r>
      <w:r>
        <w:t>C</w:t>
      </w:r>
      <w:r w:rsidRPr="00F24C87">
        <w:t>entro</w:t>
      </w:r>
      <w:r>
        <w:t>-S</w:t>
      </w:r>
      <w:r w:rsidRPr="00F24C87">
        <w:t>ud e nelle Isole (quasi il 90% della mandria nazionale) e presentano caratteri di allevamento in genere poco intensiv</w:t>
      </w:r>
      <w:r>
        <w:t>i</w:t>
      </w:r>
      <w:r w:rsidRPr="00F24C87">
        <w:t xml:space="preserve"> (la densità zootecnica media è pari a 0,6 UBA/SAU), per quanto in diversi casi con una elevata specializzazione.</w:t>
      </w:r>
    </w:p>
    <w:p w14:paraId="59F31362" w14:textId="77777777" w:rsidR="004F539E" w:rsidRDefault="004F539E" w:rsidP="004F539E">
      <w:r>
        <w:t>Per quanto riguarda le tendenze più recenti:</w:t>
      </w:r>
    </w:p>
    <w:p w14:paraId="5D3B6EDE" w14:textId="77777777" w:rsidR="004F539E" w:rsidRDefault="004F539E" w:rsidP="004F539E">
      <w:pPr>
        <w:pStyle w:val="Paragrafoelenco"/>
        <w:numPr>
          <w:ilvl w:val="0"/>
          <w:numId w:val="14"/>
        </w:numPr>
      </w:pPr>
      <w:r>
        <w:t>I dati delle indagini annuali sulle consistenze di bestiame</w:t>
      </w:r>
      <w:r>
        <w:rPr>
          <w:rStyle w:val="Rimandonotaapidipagina"/>
        </w:rPr>
        <w:footnoteReference w:id="3"/>
      </w:r>
      <w:r>
        <w:t xml:space="preserve"> indicano un incremento del patrimonio bovino nazionale negli ultimi anni (+2,5% tra il 2018 e il 2015) principalmente attribuibile al segmento della carne. Nel periodo considerato, infatti, il numero di capi da latte è rimasto </w:t>
      </w:r>
      <w:proofErr w:type="spellStart"/>
      <w:r>
        <w:t>sostanzialemnte</w:t>
      </w:r>
      <w:proofErr w:type="spellEnd"/>
      <w:r>
        <w:t xml:space="preserve"> stabile, frutto di una contrazione delle vacche da latte (-7,3%) e di un equivalente aumento delle consistenze degli animali più giovani. </w:t>
      </w:r>
    </w:p>
    <w:p w14:paraId="4C191370" w14:textId="77777777" w:rsidR="004F539E" w:rsidRDefault="004F539E" w:rsidP="004F539E">
      <w:pPr>
        <w:pStyle w:val="Paragrafoelenco"/>
        <w:numPr>
          <w:ilvl w:val="0"/>
          <w:numId w:val="14"/>
        </w:numPr>
      </w:pPr>
      <w:r>
        <w:t xml:space="preserve">I suini risultano invece complessivamente in diminuzione del 2,2% tra il 2018 e il 2015; si segnala un calo sia degli animali da ingrasso che del parco scrofe. </w:t>
      </w:r>
    </w:p>
    <w:p w14:paraId="790B92E4" w14:textId="77777777" w:rsidR="004F539E" w:rsidRDefault="004F539E" w:rsidP="004F539E">
      <w:pPr>
        <w:pStyle w:val="Paragrafoelenco"/>
        <w:numPr>
          <w:ilvl w:val="0"/>
          <w:numId w:val="14"/>
        </w:numPr>
      </w:pPr>
      <w:r>
        <w:t>In aumento, infine, il numero di ovicaprini (+0,7% tra il 2018 e il 2015), principalmente a seguito della crescita registrata dai caprini (+2,6%).</w:t>
      </w:r>
    </w:p>
    <w:p w14:paraId="4C0F218C" w14:textId="77777777" w:rsidR="004F539E" w:rsidRDefault="004F539E" w:rsidP="004F539E">
      <w:r>
        <w:t>Il dettaglio regionale delle consistenze degli allevamenti per tipologia di animale di fonte Istat (ad eccezione degli avicoli) è consultabile al seguente link:</w:t>
      </w:r>
    </w:p>
    <w:p w14:paraId="7B86E746" w14:textId="77777777" w:rsidR="004F539E" w:rsidRDefault="00A32DB9" w:rsidP="004F539E">
      <w:hyperlink r:id="rId16" w:history="1">
        <w:r w:rsidR="004F539E" w:rsidRPr="00FF158B">
          <w:rPr>
            <w:rStyle w:val="Collegamentoipertestuale"/>
          </w:rPr>
          <w:t>http://www.ismeamercati.it/osservatori-rrn/indicatori-competitivita/agroalimentare/consistenze-bestiame-numero-capi</w:t>
        </w:r>
      </w:hyperlink>
    </w:p>
    <w:p w14:paraId="297B2C44" w14:textId="77777777" w:rsidR="004F539E" w:rsidRPr="00F63D26" w:rsidRDefault="004F539E" w:rsidP="004F539E"/>
    <w:p w14:paraId="2BCDDB8F" w14:textId="5BD19B2E" w:rsidR="003F074F" w:rsidRDefault="003F074F" w:rsidP="000549E0">
      <w:pPr>
        <w:pStyle w:val="Titolotab-grafReport"/>
        <w:numPr>
          <w:ilvl w:val="0"/>
          <w:numId w:val="0"/>
        </w:numPr>
        <w:spacing w:before="120" w:after="120"/>
      </w:pPr>
      <w:r w:rsidRPr="00F800FC">
        <w:t xml:space="preserve">Figura </w:t>
      </w:r>
      <w:r w:rsidRPr="00217601">
        <w:fldChar w:fldCharType="begin"/>
      </w:r>
      <w:r w:rsidRPr="00F800FC">
        <w:instrText xml:space="preserve"> SEQ Figura \* ARABIC </w:instrText>
      </w:r>
      <w:r w:rsidRPr="00217601">
        <w:fldChar w:fldCharType="separate"/>
      </w:r>
      <w:r w:rsidR="004F539E">
        <w:rPr>
          <w:noProof/>
        </w:rPr>
        <w:t>3.</w:t>
      </w:r>
      <w:r w:rsidR="0020415F">
        <w:rPr>
          <w:noProof/>
        </w:rPr>
        <w:t>1</w:t>
      </w:r>
      <w:r w:rsidRPr="00217601">
        <w:fldChar w:fldCharType="end"/>
      </w:r>
      <w:r>
        <w:t xml:space="preserve"> </w:t>
      </w:r>
      <w:r w:rsidRPr="00F24C87">
        <w:t>Distribuzione della superficie investita</w:t>
      </w:r>
      <w:r>
        <w:t xml:space="preserve"> in Italia (anno </w:t>
      </w:r>
      <w:r w:rsidRPr="00F24C87">
        <w:t>2016</w:t>
      </w:r>
      <w:r>
        <w:t>)</w:t>
      </w:r>
    </w:p>
    <w:p w14:paraId="108922E2" w14:textId="6BD6E935" w:rsidR="007A74E8" w:rsidRDefault="00E75545" w:rsidP="004F539E">
      <w:pPr>
        <w:pStyle w:val="Titolotab-grafReport"/>
        <w:numPr>
          <w:ilvl w:val="0"/>
          <w:numId w:val="0"/>
        </w:numPr>
        <w:spacing w:before="120" w:after="120"/>
        <w:jc w:val="left"/>
      </w:pPr>
      <w:r w:rsidRPr="00E75545">
        <w:rPr>
          <w:noProof/>
          <w:lang w:eastAsia="it-IT"/>
        </w:rPr>
        <w:drawing>
          <wp:inline distT="0" distB="0" distL="0" distR="0" wp14:anchorId="7D3E7411" wp14:editId="303441E7">
            <wp:extent cx="4962748" cy="3327400"/>
            <wp:effectExtent l="0" t="0" r="9525" b="635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88049" cy="3344364"/>
                    </a:xfrm>
                    <a:prstGeom prst="rect">
                      <a:avLst/>
                    </a:prstGeom>
                    <a:noFill/>
                    <a:ln>
                      <a:noFill/>
                    </a:ln>
                  </pic:spPr>
                </pic:pic>
              </a:graphicData>
            </a:graphic>
          </wp:inline>
        </w:drawing>
      </w:r>
    </w:p>
    <w:p w14:paraId="2310F0A0" w14:textId="730B29F1" w:rsidR="00436401" w:rsidRPr="008846B0" w:rsidRDefault="00436401" w:rsidP="008846B0">
      <w:pPr>
        <w:pStyle w:val="Fontetabellagrafico"/>
        <w:spacing w:before="60"/>
        <w:rPr>
          <w:sz w:val="20"/>
          <w:szCs w:val="20"/>
        </w:rPr>
      </w:pPr>
      <w:r w:rsidRPr="008846B0">
        <w:rPr>
          <w:sz w:val="20"/>
          <w:szCs w:val="20"/>
        </w:rPr>
        <w:t xml:space="preserve">Fonte: </w:t>
      </w:r>
      <w:r w:rsidR="00CD6A67" w:rsidRPr="008846B0">
        <w:rPr>
          <w:sz w:val="20"/>
          <w:szCs w:val="20"/>
        </w:rPr>
        <w:t>ISTAT</w:t>
      </w:r>
      <w:r w:rsidR="00206BB1">
        <w:rPr>
          <w:sz w:val="20"/>
          <w:szCs w:val="20"/>
        </w:rPr>
        <w:t>, FSS</w:t>
      </w:r>
    </w:p>
    <w:p w14:paraId="41E12322" w14:textId="725607F9" w:rsidR="004129F5" w:rsidRDefault="004129F5" w:rsidP="00554B1A"/>
    <w:p w14:paraId="4CCCE4A2" w14:textId="5F30C6C5" w:rsidR="004129F5" w:rsidRDefault="004129F5" w:rsidP="004129F5">
      <w:pPr>
        <w:pStyle w:val="Titolotab-grafReport"/>
        <w:numPr>
          <w:ilvl w:val="0"/>
          <w:numId w:val="0"/>
        </w:numPr>
        <w:spacing w:before="120" w:after="120"/>
      </w:pPr>
      <w:r w:rsidRPr="00F800FC">
        <w:t xml:space="preserve">Figura </w:t>
      </w:r>
      <w:r w:rsidRPr="00217601">
        <w:fldChar w:fldCharType="begin"/>
      </w:r>
      <w:r w:rsidRPr="00F800FC">
        <w:instrText xml:space="preserve"> SEQ Figura \* ARABIC </w:instrText>
      </w:r>
      <w:r w:rsidRPr="00217601">
        <w:fldChar w:fldCharType="separate"/>
      </w:r>
      <w:r w:rsidR="004F539E">
        <w:rPr>
          <w:noProof/>
        </w:rPr>
        <w:t>3.</w:t>
      </w:r>
      <w:r w:rsidR="0020415F">
        <w:rPr>
          <w:noProof/>
        </w:rPr>
        <w:t>2</w:t>
      </w:r>
      <w:r w:rsidRPr="00217601">
        <w:fldChar w:fldCharType="end"/>
      </w:r>
      <w:r>
        <w:t xml:space="preserve"> </w:t>
      </w:r>
      <w:r w:rsidRPr="00F24C87">
        <w:t xml:space="preserve">Distribuzione della superficie </w:t>
      </w:r>
      <w:r w:rsidR="003944AC">
        <w:t>agricola secondo le principali forme di utilizzazione e per regione</w:t>
      </w:r>
      <w:r>
        <w:t xml:space="preserve"> (anno </w:t>
      </w:r>
      <w:r w:rsidRPr="00F24C87">
        <w:t>2016</w:t>
      </w:r>
      <w:r w:rsidR="003944AC">
        <w:t>, valori in %</w:t>
      </w:r>
      <w:r>
        <w:t>)</w:t>
      </w:r>
    </w:p>
    <w:p w14:paraId="4969954C" w14:textId="37646416" w:rsidR="004600BA" w:rsidRPr="00217601" w:rsidRDefault="004600BA" w:rsidP="004F539E">
      <w:pPr>
        <w:pStyle w:val="Titolotab-grafReport"/>
        <w:numPr>
          <w:ilvl w:val="0"/>
          <w:numId w:val="0"/>
        </w:numPr>
        <w:spacing w:before="120" w:after="120"/>
        <w:jc w:val="left"/>
      </w:pPr>
      <w:r w:rsidRPr="004600BA">
        <w:rPr>
          <w:noProof/>
          <w:lang w:eastAsia="it-IT"/>
        </w:rPr>
        <w:drawing>
          <wp:inline distT="0" distB="0" distL="0" distR="0" wp14:anchorId="5A5AF31D" wp14:editId="37A5E52F">
            <wp:extent cx="5074180" cy="26289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12676" cy="2648845"/>
                    </a:xfrm>
                    <a:prstGeom prst="rect">
                      <a:avLst/>
                    </a:prstGeom>
                    <a:noFill/>
                    <a:ln>
                      <a:noFill/>
                    </a:ln>
                  </pic:spPr>
                </pic:pic>
              </a:graphicData>
            </a:graphic>
          </wp:inline>
        </w:drawing>
      </w:r>
    </w:p>
    <w:p w14:paraId="4F710E07" w14:textId="6CD9812C" w:rsidR="004600BA" w:rsidRDefault="004600BA" w:rsidP="004F5FC4">
      <w:pPr>
        <w:pStyle w:val="Fontetabellagrafico"/>
      </w:pPr>
      <w:r w:rsidRPr="008846B0">
        <w:t>Fonte: ISTAT</w:t>
      </w:r>
      <w:r w:rsidR="00F04E65">
        <w:t xml:space="preserve">, tratto da CREA (2019) L’agricoltura italiana conta 2018  </w:t>
      </w:r>
    </w:p>
    <w:p w14:paraId="6F3D6A2B" w14:textId="77777777" w:rsidR="004F539E" w:rsidRDefault="004F539E" w:rsidP="004F5FC4">
      <w:pPr>
        <w:pStyle w:val="Fontetabellagrafico"/>
      </w:pPr>
    </w:p>
    <w:p w14:paraId="1FEBC20F" w14:textId="31AD9FD5" w:rsidR="003F074F" w:rsidRPr="008846B0" w:rsidRDefault="003F074F" w:rsidP="00AE062B">
      <w:pPr>
        <w:pStyle w:val="Titolotab-grafReport"/>
        <w:numPr>
          <w:ilvl w:val="0"/>
          <w:numId w:val="0"/>
        </w:numPr>
        <w:spacing w:before="120" w:after="120"/>
      </w:pPr>
      <w:bookmarkStart w:id="7" w:name="_Toc11141648"/>
      <w:bookmarkStart w:id="8" w:name="_Toc11334794"/>
      <w:bookmarkStart w:id="9" w:name="_Toc12968118"/>
      <w:r w:rsidRPr="008846B0">
        <w:lastRenderedPageBreak/>
        <w:t xml:space="preserve">Figura </w:t>
      </w:r>
      <w:r w:rsidR="00FA0D31">
        <w:rPr>
          <w:noProof/>
        </w:rPr>
        <w:fldChar w:fldCharType="begin"/>
      </w:r>
      <w:r w:rsidR="00FA0D31">
        <w:rPr>
          <w:noProof/>
        </w:rPr>
        <w:instrText xml:space="preserve"> SEQ Figura \* ARABIC </w:instrText>
      </w:r>
      <w:r w:rsidR="00FA0D31">
        <w:rPr>
          <w:noProof/>
        </w:rPr>
        <w:fldChar w:fldCharType="separate"/>
      </w:r>
      <w:r w:rsidR="0020415F">
        <w:rPr>
          <w:noProof/>
        </w:rPr>
        <w:t>3</w:t>
      </w:r>
      <w:r w:rsidR="00FA0D31">
        <w:rPr>
          <w:noProof/>
        </w:rPr>
        <w:fldChar w:fldCharType="end"/>
      </w:r>
      <w:r w:rsidR="004F539E">
        <w:rPr>
          <w:noProof/>
        </w:rPr>
        <w:t>.</w:t>
      </w:r>
      <w:proofErr w:type="gramStart"/>
      <w:r w:rsidR="004F539E">
        <w:rPr>
          <w:noProof/>
        </w:rPr>
        <w:t xml:space="preserve">3 </w:t>
      </w:r>
      <w:r>
        <w:t xml:space="preserve"> </w:t>
      </w:r>
      <w:r w:rsidRPr="008846B0">
        <w:t>Composizione</w:t>
      </w:r>
      <w:proofErr w:type="gramEnd"/>
      <w:r w:rsidRPr="008846B0">
        <w:t xml:space="preserve"> della mandria nazionale per UBA</w:t>
      </w:r>
      <w:r w:rsidR="0020640E">
        <w:t xml:space="preserve"> (valori assoluti, anno 2016)</w:t>
      </w:r>
      <w:r w:rsidR="00064B44">
        <w:t xml:space="preserve"> – C.22</w:t>
      </w:r>
    </w:p>
    <w:p w14:paraId="32807F36" w14:textId="3417280D" w:rsidR="003F074F" w:rsidRPr="00F24C87" w:rsidRDefault="00FD1E11" w:rsidP="004F539E">
      <w:pPr>
        <w:spacing w:after="0"/>
        <w:jc w:val="left"/>
      </w:pPr>
      <w:r w:rsidRPr="00FD1E11">
        <w:rPr>
          <w:noProof/>
          <w:lang w:eastAsia="it-IT"/>
        </w:rPr>
        <w:drawing>
          <wp:inline distT="0" distB="0" distL="0" distR="0" wp14:anchorId="2A95B45E" wp14:editId="2550FCD9">
            <wp:extent cx="4354490" cy="2435225"/>
            <wp:effectExtent l="0" t="0" r="8255" b="317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6356" cy="2453046"/>
                    </a:xfrm>
                    <a:prstGeom prst="rect">
                      <a:avLst/>
                    </a:prstGeom>
                    <a:noFill/>
                    <a:ln>
                      <a:noFill/>
                    </a:ln>
                  </pic:spPr>
                </pic:pic>
              </a:graphicData>
            </a:graphic>
          </wp:inline>
        </w:drawing>
      </w:r>
    </w:p>
    <w:p w14:paraId="069D0939" w14:textId="5B769163" w:rsidR="003F074F" w:rsidRDefault="003F074F" w:rsidP="008846B0">
      <w:pPr>
        <w:pStyle w:val="Fontetabellagrafico"/>
        <w:spacing w:before="60"/>
        <w:rPr>
          <w:sz w:val="20"/>
          <w:szCs w:val="20"/>
        </w:rPr>
      </w:pPr>
      <w:r w:rsidRPr="008846B0">
        <w:rPr>
          <w:sz w:val="20"/>
          <w:szCs w:val="20"/>
        </w:rPr>
        <w:t xml:space="preserve">Fonte: elaborazioni su dati </w:t>
      </w:r>
      <w:r w:rsidR="00F34868">
        <w:rPr>
          <w:sz w:val="20"/>
          <w:szCs w:val="20"/>
        </w:rPr>
        <w:t>ISTAT</w:t>
      </w:r>
    </w:p>
    <w:p w14:paraId="06E14BEC" w14:textId="77777777" w:rsidR="000549E0" w:rsidRPr="008846B0" w:rsidRDefault="000549E0" w:rsidP="008846B0">
      <w:pPr>
        <w:pStyle w:val="Fontetabellagrafico"/>
        <w:spacing w:before="60"/>
        <w:rPr>
          <w:sz w:val="20"/>
          <w:szCs w:val="20"/>
        </w:rPr>
      </w:pPr>
    </w:p>
    <w:p w14:paraId="51777193" w14:textId="0094F625" w:rsidR="003F074F" w:rsidRPr="008846B0" w:rsidRDefault="003F074F" w:rsidP="000549E0">
      <w:pPr>
        <w:pStyle w:val="Titolotab-grafReport"/>
        <w:numPr>
          <w:ilvl w:val="0"/>
          <w:numId w:val="0"/>
        </w:numPr>
        <w:spacing w:before="120" w:after="120"/>
      </w:pPr>
      <w:r w:rsidRPr="008846B0">
        <w:t xml:space="preserve">Figura </w:t>
      </w:r>
      <w:r w:rsidR="00E12636">
        <w:rPr>
          <w:noProof/>
        </w:rPr>
        <w:fldChar w:fldCharType="begin"/>
      </w:r>
      <w:r w:rsidR="00E12636">
        <w:rPr>
          <w:noProof/>
        </w:rPr>
        <w:instrText xml:space="preserve"> SEQ Figura \* ARABIC </w:instrText>
      </w:r>
      <w:r w:rsidR="00E12636">
        <w:rPr>
          <w:noProof/>
        </w:rPr>
        <w:fldChar w:fldCharType="separate"/>
      </w:r>
      <w:r w:rsidR="004F539E">
        <w:rPr>
          <w:noProof/>
        </w:rPr>
        <w:t>3.</w:t>
      </w:r>
      <w:r w:rsidR="0020415F">
        <w:rPr>
          <w:noProof/>
        </w:rPr>
        <w:t>4</w:t>
      </w:r>
      <w:r w:rsidR="00E12636">
        <w:rPr>
          <w:noProof/>
        </w:rPr>
        <w:fldChar w:fldCharType="end"/>
      </w:r>
      <w:r>
        <w:t xml:space="preserve"> </w:t>
      </w:r>
      <w:r w:rsidRPr="008846B0">
        <w:t>Composizione della mandria in UBA per tipologia di allevamento e zona geografica (anno 2016)</w:t>
      </w:r>
    </w:p>
    <w:p w14:paraId="6E4CF223" w14:textId="25A092D0" w:rsidR="003F074F" w:rsidRPr="008846B0" w:rsidRDefault="0020640E" w:rsidP="004F539E">
      <w:pPr>
        <w:jc w:val="left"/>
        <w:rPr>
          <w:b/>
        </w:rPr>
      </w:pPr>
      <w:r w:rsidRPr="0020640E">
        <w:rPr>
          <w:noProof/>
          <w:lang w:eastAsia="it-IT"/>
        </w:rPr>
        <w:drawing>
          <wp:inline distT="0" distB="0" distL="0" distR="0" wp14:anchorId="35766EB8" wp14:editId="118ECF46">
            <wp:extent cx="4508500" cy="2153824"/>
            <wp:effectExtent l="0" t="0" r="635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35698" cy="2166817"/>
                    </a:xfrm>
                    <a:prstGeom prst="rect">
                      <a:avLst/>
                    </a:prstGeom>
                    <a:noFill/>
                    <a:ln>
                      <a:noFill/>
                    </a:ln>
                  </pic:spPr>
                </pic:pic>
              </a:graphicData>
            </a:graphic>
          </wp:inline>
        </w:drawing>
      </w:r>
    </w:p>
    <w:p w14:paraId="18F20B79" w14:textId="4C56D96E" w:rsidR="003F074F" w:rsidRDefault="003F074F" w:rsidP="008846B0">
      <w:pPr>
        <w:pStyle w:val="Fontetabellagrafico"/>
        <w:spacing w:before="60"/>
        <w:rPr>
          <w:sz w:val="20"/>
          <w:szCs w:val="20"/>
        </w:rPr>
      </w:pPr>
      <w:r w:rsidRPr="008846B0">
        <w:rPr>
          <w:sz w:val="20"/>
          <w:szCs w:val="20"/>
        </w:rPr>
        <w:t xml:space="preserve">Fonte: elaborazioni su dati </w:t>
      </w:r>
      <w:r w:rsidR="00F34868">
        <w:rPr>
          <w:sz w:val="20"/>
          <w:szCs w:val="20"/>
        </w:rPr>
        <w:t>ISTAT</w:t>
      </w:r>
    </w:p>
    <w:p w14:paraId="0E474921" w14:textId="77777777" w:rsidR="007822AE" w:rsidRDefault="007822AE" w:rsidP="008846B0">
      <w:pPr>
        <w:pStyle w:val="Fontetabellagrafico"/>
        <w:spacing w:before="60"/>
        <w:rPr>
          <w:sz w:val="20"/>
          <w:szCs w:val="20"/>
        </w:rPr>
      </w:pPr>
    </w:p>
    <w:p w14:paraId="18AEE405" w14:textId="41942695" w:rsidR="003F074F" w:rsidRPr="000549E0" w:rsidRDefault="003F074F" w:rsidP="000549E0">
      <w:pPr>
        <w:pStyle w:val="Titolotab-grafReport"/>
        <w:numPr>
          <w:ilvl w:val="0"/>
          <w:numId w:val="0"/>
        </w:numPr>
        <w:spacing w:before="120" w:after="120"/>
      </w:pPr>
      <w:r>
        <w:t xml:space="preserve">Figura </w:t>
      </w:r>
      <w:r w:rsidR="00E12636">
        <w:rPr>
          <w:noProof/>
        </w:rPr>
        <w:fldChar w:fldCharType="begin"/>
      </w:r>
      <w:r w:rsidR="00E12636">
        <w:rPr>
          <w:noProof/>
        </w:rPr>
        <w:instrText xml:space="preserve"> SEQ Figura \* ARABIC </w:instrText>
      </w:r>
      <w:r w:rsidR="00E12636">
        <w:rPr>
          <w:noProof/>
        </w:rPr>
        <w:fldChar w:fldCharType="separate"/>
      </w:r>
      <w:r w:rsidR="004F539E">
        <w:rPr>
          <w:noProof/>
        </w:rPr>
        <w:t>3.</w:t>
      </w:r>
      <w:r w:rsidR="0020415F">
        <w:rPr>
          <w:noProof/>
        </w:rPr>
        <w:t>5</w:t>
      </w:r>
      <w:r w:rsidR="00E12636">
        <w:rPr>
          <w:noProof/>
        </w:rPr>
        <w:fldChar w:fldCharType="end"/>
      </w:r>
      <w:r>
        <w:t xml:space="preserve"> </w:t>
      </w:r>
      <w:r w:rsidRPr="000549E0">
        <w:t>UBA e densità per tipologia di allevamento in Italia (anno 2016)</w:t>
      </w:r>
      <w:r w:rsidR="00064B44">
        <w:t xml:space="preserve"> – C.23</w:t>
      </w: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53776D" w:rsidRPr="00F24C87" w14:paraId="610C43F1" w14:textId="77777777" w:rsidTr="007C0733">
        <w:tc>
          <w:tcPr>
            <w:tcW w:w="2500" w:type="pct"/>
          </w:tcPr>
          <w:p w14:paraId="086E5D1A" w14:textId="77777777" w:rsidR="003F074F" w:rsidRPr="008E2555" w:rsidRDefault="003F074F" w:rsidP="007C0733">
            <w:pPr>
              <w:jc w:val="center"/>
              <w:rPr>
                <w:rFonts w:ascii="Calibri" w:eastAsia="Times New Roman" w:hAnsi="Calibri" w:cs="Calibri"/>
                <w:sz w:val="20"/>
                <w:szCs w:val="20"/>
                <w:lang w:eastAsia="it-IT"/>
              </w:rPr>
            </w:pPr>
            <w:r w:rsidRPr="008E2555">
              <w:rPr>
                <w:rFonts w:ascii="Calibri" w:eastAsia="Times New Roman" w:hAnsi="Calibri" w:cs="Calibri"/>
                <w:sz w:val="20"/>
                <w:szCs w:val="20"/>
                <w:lang w:eastAsia="it-IT"/>
              </w:rPr>
              <w:t>Numero di UBA per azienda con bestiame</w:t>
            </w:r>
          </w:p>
        </w:tc>
        <w:tc>
          <w:tcPr>
            <w:tcW w:w="2500" w:type="pct"/>
          </w:tcPr>
          <w:p w14:paraId="0CF6544A" w14:textId="77777777" w:rsidR="003F074F" w:rsidRPr="008E2555" w:rsidRDefault="003F074F" w:rsidP="007C0733">
            <w:pPr>
              <w:jc w:val="center"/>
              <w:rPr>
                <w:rFonts w:ascii="Calibri" w:eastAsia="Times New Roman" w:hAnsi="Calibri" w:cs="Calibri"/>
                <w:sz w:val="20"/>
                <w:szCs w:val="20"/>
                <w:lang w:eastAsia="it-IT"/>
              </w:rPr>
            </w:pPr>
            <w:r w:rsidRPr="008E2555">
              <w:rPr>
                <w:rFonts w:ascii="Calibri" w:eastAsia="Times New Roman" w:hAnsi="Calibri" w:cs="Calibri"/>
                <w:sz w:val="20"/>
                <w:szCs w:val="20"/>
                <w:lang w:eastAsia="it-IT"/>
              </w:rPr>
              <w:t>Densità di bestiame (UBA/ha)</w:t>
            </w:r>
          </w:p>
        </w:tc>
      </w:tr>
      <w:tr w:rsidR="0053776D" w:rsidRPr="00F24C87" w14:paraId="74071736" w14:textId="77777777" w:rsidTr="007C0733">
        <w:tc>
          <w:tcPr>
            <w:tcW w:w="2500" w:type="pct"/>
          </w:tcPr>
          <w:p w14:paraId="2E976312" w14:textId="703E17C7" w:rsidR="003F074F" w:rsidRPr="00F24C87" w:rsidRDefault="002E240D" w:rsidP="007C0733">
            <w:pPr>
              <w:jc w:val="center"/>
            </w:pPr>
            <w:r w:rsidRPr="002E240D">
              <w:rPr>
                <w:noProof/>
                <w:lang w:eastAsia="it-IT"/>
              </w:rPr>
              <w:drawing>
                <wp:inline distT="0" distB="0" distL="0" distR="0" wp14:anchorId="3BC110C5" wp14:editId="76A7A7A9">
                  <wp:extent cx="2622550" cy="2265291"/>
                  <wp:effectExtent l="0" t="0" r="6350" b="190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58546" cy="2296383"/>
                          </a:xfrm>
                          <a:prstGeom prst="rect">
                            <a:avLst/>
                          </a:prstGeom>
                          <a:noFill/>
                          <a:ln>
                            <a:noFill/>
                          </a:ln>
                        </pic:spPr>
                      </pic:pic>
                    </a:graphicData>
                  </a:graphic>
                </wp:inline>
              </w:drawing>
            </w:r>
          </w:p>
        </w:tc>
        <w:tc>
          <w:tcPr>
            <w:tcW w:w="2500" w:type="pct"/>
          </w:tcPr>
          <w:p w14:paraId="00C0804F" w14:textId="03C51070" w:rsidR="003F074F" w:rsidRPr="00F24C87" w:rsidRDefault="0053776D" w:rsidP="007C0733">
            <w:pPr>
              <w:jc w:val="center"/>
            </w:pPr>
            <w:r w:rsidRPr="0053776D">
              <w:rPr>
                <w:noProof/>
                <w:lang w:eastAsia="it-IT"/>
              </w:rPr>
              <w:drawing>
                <wp:inline distT="0" distB="0" distL="0" distR="0" wp14:anchorId="41FFA757" wp14:editId="5BADA609">
                  <wp:extent cx="2679700" cy="2246800"/>
                  <wp:effectExtent l="0" t="0" r="6350" b="127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08429" cy="2270888"/>
                          </a:xfrm>
                          <a:prstGeom prst="rect">
                            <a:avLst/>
                          </a:prstGeom>
                          <a:noFill/>
                          <a:ln>
                            <a:noFill/>
                          </a:ln>
                        </pic:spPr>
                      </pic:pic>
                    </a:graphicData>
                  </a:graphic>
                </wp:inline>
              </w:drawing>
            </w:r>
          </w:p>
        </w:tc>
      </w:tr>
    </w:tbl>
    <w:p w14:paraId="4F125B84" w14:textId="3AE02255" w:rsidR="003F074F" w:rsidRPr="008846B0" w:rsidRDefault="003F074F" w:rsidP="008846B0">
      <w:pPr>
        <w:pStyle w:val="Fontetabellagrafico"/>
        <w:spacing w:before="60"/>
        <w:rPr>
          <w:sz w:val="20"/>
          <w:szCs w:val="20"/>
        </w:rPr>
      </w:pPr>
      <w:r w:rsidRPr="008846B0">
        <w:rPr>
          <w:sz w:val="20"/>
          <w:szCs w:val="20"/>
        </w:rPr>
        <w:t xml:space="preserve">Fonte: elaborazioni su dati </w:t>
      </w:r>
      <w:r w:rsidR="00F34868">
        <w:rPr>
          <w:sz w:val="20"/>
          <w:szCs w:val="20"/>
        </w:rPr>
        <w:t>ISTAT</w:t>
      </w:r>
    </w:p>
    <w:p w14:paraId="2DC85774" w14:textId="591CEE02" w:rsidR="0093636B" w:rsidRDefault="0093636B" w:rsidP="00206BB1"/>
    <w:p w14:paraId="78C460A4" w14:textId="1D002B57" w:rsidR="00FD3D7A" w:rsidRDefault="00FD3D7A" w:rsidP="00206BB1"/>
    <w:p w14:paraId="72F6DAD0" w14:textId="6B57EBA6" w:rsidR="00440843" w:rsidRPr="00B97ABD" w:rsidRDefault="00440843" w:rsidP="00975484">
      <w:pPr>
        <w:pStyle w:val="Titolo2"/>
        <w:numPr>
          <w:ilvl w:val="0"/>
          <w:numId w:val="1"/>
        </w:numPr>
      </w:pPr>
      <w:bookmarkStart w:id="10" w:name="_Toc56585250"/>
      <w:r>
        <w:t xml:space="preserve">Il </w:t>
      </w:r>
      <w:r w:rsidR="007E169F">
        <w:t>mercato fondiario</w:t>
      </w:r>
      <w:bookmarkEnd w:id="10"/>
      <w:r w:rsidRPr="00B97ABD">
        <w:t xml:space="preserve"> </w:t>
      </w:r>
    </w:p>
    <w:p w14:paraId="44E463D1" w14:textId="32FE9E88" w:rsidR="004F539E" w:rsidRDefault="004F539E" w:rsidP="004F539E">
      <w:r>
        <w:t>L</w:t>
      </w:r>
      <w:r w:rsidRPr="004F539E">
        <w:t xml:space="preserve">a mobilità fondiaria riguarda il trasferimento dei terreni secondo due modalità: il trasferimento tra differenti agenti (proprietari e affittuari principalmente) e il cambiamento nella destinazione d'uso. Nel primo caso la mobilità si realizza attraverso il mercato delle compravendite e degli affitti, e assumono grande importanza i flussi in entrata e in uscita degli agricoltori nel settore agricolo. Il secondo aspetto della mobilità riguarda la conversione delle superfici agricole verso usi alternativi - sia a carattere irreversibile (usi edificatori e infrastrutturali) sia attraverso l'abbandono della funzionalità produttiva agricola (forestazione e rinaturalizzazione) - e tra differenti usi agricoli del suolo (es. da seminativi a pascoli). Quindi, se si vuole analizzare il fenomeno della mobilità fondiaria va tenuto conto che si intrecciano aspetti economici (efficienza e competitività), sociali (accesso alla terra e disparità dimensionale) e ambientali (fornitura di servizi ecosistemici). </w:t>
      </w:r>
      <w:r>
        <w:t xml:space="preserve">Qui di seguito si riportano in mood più diretto i principali fati relativi al mercato </w:t>
      </w:r>
      <w:proofErr w:type="spellStart"/>
      <w:r>
        <w:t>findiario</w:t>
      </w:r>
      <w:proofErr w:type="spellEnd"/>
      <w:r>
        <w:t xml:space="preserve">, mentre per altri aspetti (come la </w:t>
      </w:r>
      <w:proofErr w:type="spellStart"/>
      <w:r>
        <w:t>ocncntrazione</w:t>
      </w:r>
      <w:proofErr w:type="spellEnd"/>
      <w:r>
        <w:t xml:space="preserve">, le </w:t>
      </w:r>
      <w:proofErr w:type="spellStart"/>
      <w:r>
        <w:t>diensioni</w:t>
      </w:r>
      <w:proofErr w:type="spellEnd"/>
      <w:r>
        <w:t xml:space="preserve"> medie, l’</w:t>
      </w:r>
      <w:proofErr w:type="spellStart"/>
      <w:r>
        <w:t>abbaindo</w:t>
      </w:r>
      <w:proofErr w:type="spellEnd"/>
      <w:r>
        <w:t>, si rimanda ai capitoli precedenti).</w:t>
      </w:r>
    </w:p>
    <w:p w14:paraId="5D80AE57" w14:textId="45FE392E" w:rsidR="00417924" w:rsidRDefault="00417924" w:rsidP="004F539E">
      <w:pPr>
        <w:pStyle w:val="Paragrafoelenco"/>
        <w:numPr>
          <w:ilvl w:val="0"/>
          <w:numId w:val="14"/>
        </w:numPr>
      </w:pPr>
      <w:r>
        <w:t xml:space="preserve">Dopo cinque anni di continue svalutazioni il prezzo della terra ha evidenziato un aumento, seppur flebile, rispetto all’anno precedente, secondo quanto riportato dall’indagine annuale del CREA (Indagine sul mercato fondiario). </w:t>
      </w:r>
      <w:proofErr w:type="spellStart"/>
      <w:r w:rsidR="007E169F" w:rsidRPr="007E169F">
        <w:t>l</w:t>
      </w:r>
      <w:r w:rsidR="007E169F">
        <w:t>l</w:t>
      </w:r>
      <w:proofErr w:type="spellEnd"/>
      <w:r w:rsidR="007E169F" w:rsidRPr="007E169F">
        <w:t xml:space="preserve"> punto di inversione per le compravendite di terreni agricoli si è avuto nel 2014 e da allora si confermano aumenti dell'ordine del 3-4% all'anno</w:t>
      </w:r>
      <w:r w:rsidR="007E169F">
        <w:t>, ma no</w:t>
      </w:r>
      <w:r w:rsidR="007E169F" w:rsidRPr="007E169F">
        <w:t>n è chiaro se sia iniziato un nuovo ciclo,</w:t>
      </w:r>
    </w:p>
    <w:p w14:paraId="3A4DFE2F" w14:textId="1F6DCB3D" w:rsidR="00417924" w:rsidRDefault="00417924" w:rsidP="00417924">
      <w:pPr>
        <w:pStyle w:val="Paragrafoelenco"/>
        <w:numPr>
          <w:ilvl w:val="0"/>
          <w:numId w:val="14"/>
        </w:numPr>
      </w:pPr>
      <w:r>
        <w:t>Il prezzo medio della terra in Italia è pari a poco più di 20.000 euro per ettaro, un valore inferiore a quello che si registra in altri paesi del nord Europa, ma sensibilmente superiore a quello di altri paesi dell’area mediterranea.</w:t>
      </w:r>
    </w:p>
    <w:p w14:paraId="5473FA67" w14:textId="5D727462" w:rsidR="00417924" w:rsidRDefault="00417924" w:rsidP="00417924">
      <w:pPr>
        <w:pStyle w:val="Paragrafoelenco"/>
        <w:numPr>
          <w:ilvl w:val="0"/>
          <w:numId w:val="14"/>
        </w:numPr>
      </w:pPr>
      <w:r>
        <w:t>Il valore medio nazionale nasconde una forte differenziazione tra i prezzi delle compravendite nel nord Italia, stabilmente sopra i 40.000 euro/ ha nelle regioni del Nord Est e i prezzi che si registrano nel Mezzogiorno compresi in media tra 8-13.000 euro/ha. Seguendo gli andamenti nel tempo si nota una crescita leggermente superiore nelle regioni meridionali rispetto alle regioni del Nord</w:t>
      </w:r>
    </w:p>
    <w:p w14:paraId="3D08C97E" w14:textId="21CDC17B" w:rsidR="00417924" w:rsidRDefault="007E169F" w:rsidP="00417924">
      <w:pPr>
        <w:pStyle w:val="Paragrafoelenco"/>
        <w:numPr>
          <w:ilvl w:val="0"/>
          <w:numId w:val="14"/>
        </w:numPr>
      </w:pPr>
      <w:r>
        <w:t>In crescita in particolare</w:t>
      </w:r>
      <w:r w:rsidR="00417924" w:rsidRPr="00417924">
        <w:t xml:space="preserve"> i prezzi per terreni adatti a colture di pregio - in primis la vite - dove il successo commerciale crea in molti casi un forte aumento della domanda con conseguente rialzo dei valori fondiari.</w:t>
      </w:r>
    </w:p>
    <w:p w14:paraId="7AF2B458" w14:textId="6C342F4D" w:rsidR="00FD3D7A" w:rsidRDefault="007E169F" w:rsidP="00417924">
      <w:pPr>
        <w:pStyle w:val="Paragrafoelenco"/>
        <w:numPr>
          <w:ilvl w:val="0"/>
          <w:numId w:val="14"/>
        </w:numPr>
      </w:pPr>
      <w:r>
        <w:t>E</w:t>
      </w:r>
      <w:r w:rsidRPr="007E169F">
        <w:t>siste una potenziale offerta molto consistente che non si tramuta in vendita a causa del livello dei prezzi giudicato poco appetibile</w:t>
      </w:r>
      <w:r>
        <w:t xml:space="preserve"> da</w:t>
      </w:r>
      <w:r w:rsidRPr="007E169F">
        <w:t>i proprietari</w:t>
      </w:r>
      <w:r>
        <w:t xml:space="preserve">, </w:t>
      </w:r>
      <w:r w:rsidRPr="007E169F">
        <w:t xml:space="preserve">che in </w:t>
      </w:r>
      <w:r>
        <w:t>molti casi</w:t>
      </w:r>
      <w:r w:rsidRPr="007E169F">
        <w:t xml:space="preserve"> hanno abbandonato l'attività agricola per limiti d'età o per l'esiguità dei redditi aziendali</w:t>
      </w:r>
      <w:r>
        <w:t>.</w:t>
      </w:r>
    </w:p>
    <w:p w14:paraId="290780EE" w14:textId="2D52690F" w:rsidR="009D021B" w:rsidRDefault="009D021B" w:rsidP="00417924">
      <w:pPr>
        <w:pStyle w:val="Paragrafoelenco"/>
        <w:numPr>
          <w:ilvl w:val="0"/>
          <w:numId w:val="14"/>
        </w:numPr>
      </w:pPr>
      <w:r w:rsidRPr="009D021B">
        <w:t>Il mercato degli affitti continua a presentare un dinamismo superiore alle compravendite, grazie alla maggiore facilità nell'acquisire il possesso temporaneo dei terreni per migliorare le economie di scala e aumentare il reddito aziendale</w:t>
      </w:r>
    </w:p>
    <w:p w14:paraId="4D95288F" w14:textId="573F8BDC" w:rsidR="009D021B" w:rsidRDefault="009D021B" w:rsidP="00417924">
      <w:pPr>
        <w:pStyle w:val="Paragrafoelenco"/>
        <w:numPr>
          <w:ilvl w:val="0"/>
          <w:numId w:val="14"/>
        </w:numPr>
      </w:pPr>
      <w:r>
        <w:t>L</w:t>
      </w:r>
      <w:r w:rsidRPr="009D021B">
        <w:t>a domanda prevale sull’offerta soprattutto nelle regioni settentrionali e per i terreni interessati alla coltivazione di colture di alto pregio, mentre la tendenza si inverte nelle zone montane e per i terreni più marginali.</w:t>
      </w:r>
    </w:p>
    <w:p w14:paraId="3BE54CCA" w14:textId="545D7719" w:rsidR="00E426C4" w:rsidRDefault="00E426C4" w:rsidP="00417924">
      <w:pPr>
        <w:pStyle w:val="Paragrafoelenco"/>
        <w:numPr>
          <w:ilvl w:val="0"/>
          <w:numId w:val="14"/>
        </w:numPr>
      </w:pPr>
      <w:r>
        <w:t>Al momento,</w:t>
      </w:r>
      <w:r w:rsidRPr="00E426C4">
        <w:t xml:space="preserve"> 17 amministrazioni regionali</w:t>
      </w:r>
      <w:r>
        <w:t xml:space="preserve"> hanno istituto una</w:t>
      </w:r>
      <w:r w:rsidRPr="00E426C4">
        <w:t xml:space="preserve"> Banca della terra da parte</w:t>
      </w:r>
      <w:r>
        <w:t xml:space="preserve">, </w:t>
      </w:r>
      <w:r w:rsidRPr="00E426C4">
        <w:t>che dovrebbe consentire di concedere in affitto terreni di proprietà pubblica e privata</w:t>
      </w:r>
      <w:r>
        <w:t>; si ricorda anche il Progetto ISMEA</w:t>
      </w:r>
      <w:r w:rsidRPr="00E426C4">
        <w:t>,</w:t>
      </w:r>
      <w:r>
        <w:t xml:space="preserve"> </w:t>
      </w:r>
      <w:r w:rsidRPr="00E426C4">
        <w:t xml:space="preserve">La "Banca nazionale delle terre agricole" </w:t>
      </w:r>
      <w:r>
        <w:t>che</w:t>
      </w:r>
      <w:r w:rsidRPr="00E426C4">
        <w:t xml:space="preserve"> costituisce l'inventario dei terreni agricoli che si rendono disponibili </w:t>
      </w:r>
      <w:r>
        <w:t>(</w:t>
      </w:r>
      <w:r w:rsidRPr="00E426C4">
        <w:t>abbandono</w:t>
      </w:r>
      <w:r>
        <w:t xml:space="preserve">, </w:t>
      </w:r>
      <w:r w:rsidRPr="00E426C4">
        <w:t>prepensionamenti</w:t>
      </w:r>
      <w:r>
        <w:t>).</w:t>
      </w:r>
    </w:p>
    <w:p w14:paraId="20AED679" w14:textId="5D05B9A3" w:rsidR="00E426C4" w:rsidRDefault="00E426C4" w:rsidP="00E426C4"/>
    <w:p w14:paraId="3FAF82B9" w14:textId="4B36CB3F" w:rsidR="00E426C4" w:rsidRDefault="00E426C4" w:rsidP="00E426C4"/>
    <w:p w14:paraId="10201A23" w14:textId="77777777" w:rsidR="00E426C4" w:rsidRDefault="00E426C4" w:rsidP="00E426C4"/>
    <w:p w14:paraId="33E5F62A" w14:textId="5078D640" w:rsidR="009D021B" w:rsidRDefault="009D021B" w:rsidP="009D021B"/>
    <w:p w14:paraId="46C022CD" w14:textId="5403EC3C" w:rsidR="006561B9" w:rsidRDefault="006561B9" w:rsidP="009D021B"/>
    <w:p w14:paraId="358AAADD" w14:textId="23C9BDCC" w:rsidR="006561B9" w:rsidRDefault="006561B9" w:rsidP="009D021B"/>
    <w:p w14:paraId="0D8308F7" w14:textId="77777777" w:rsidR="006561B9" w:rsidRDefault="006561B9" w:rsidP="009D021B"/>
    <w:p w14:paraId="2E857226" w14:textId="77777777" w:rsidR="006561B9" w:rsidRDefault="006561B9" w:rsidP="006561B9"/>
    <w:p w14:paraId="184E3586" w14:textId="238B3538" w:rsidR="009D021B" w:rsidRDefault="009D021B" w:rsidP="009D021B">
      <w:pPr>
        <w:pStyle w:val="Titolotab-grafReport"/>
        <w:numPr>
          <w:ilvl w:val="0"/>
          <w:numId w:val="0"/>
        </w:numPr>
        <w:spacing w:after="120"/>
        <w:rPr>
          <w:lang w:eastAsia="it-IT"/>
        </w:rPr>
      </w:pPr>
      <w:r w:rsidRPr="00473AC9">
        <w:t xml:space="preserve">Tabella </w:t>
      </w:r>
      <w:r w:rsidR="00207119">
        <w:rPr>
          <w:noProof/>
        </w:rPr>
        <w:t>4.1</w:t>
      </w:r>
      <w:r w:rsidRPr="00DD2517">
        <w:t xml:space="preserve"> </w:t>
      </w:r>
      <w:proofErr w:type="spellStart"/>
      <w:r w:rsidR="00E87F04" w:rsidRPr="00E87F04">
        <w:rPr>
          <w:lang w:eastAsia="it-IT"/>
        </w:rPr>
        <w:t>voluzione</w:t>
      </w:r>
      <w:proofErr w:type="spellEnd"/>
      <w:r w:rsidR="00E87F04" w:rsidRPr="00E87F04">
        <w:rPr>
          <w:lang w:eastAsia="it-IT"/>
        </w:rPr>
        <w:t xml:space="preserve"> dei valori fondiari medi (migliaia di euro per ettaro, 2018)</w:t>
      </w:r>
    </w:p>
    <w:tbl>
      <w:tblPr>
        <w:tblW w:w="9220" w:type="dxa"/>
        <w:tblCellMar>
          <w:left w:w="70" w:type="dxa"/>
          <w:right w:w="70" w:type="dxa"/>
        </w:tblCellMar>
        <w:tblLook w:val="04A0" w:firstRow="1" w:lastRow="0" w:firstColumn="1" w:lastColumn="0" w:noHBand="0" w:noVBand="1"/>
      </w:tblPr>
      <w:tblGrid>
        <w:gridCol w:w="1936"/>
        <w:gridCol w:w="1044"/>
        <w:gridCol w:w="1044"/>
        <w:gridCol w:w="1039"/>
        <w:gridCol w:w="1040"/>
        <w:gridCol w:w="1039"/>
        <w:gridCol w:w="1038"/>
        <w:gridCol w:w="1040"/>
      </w:tblGrid>
      <w:tr w:rsidR="00C1077F" w:rsidRPr="00C1077F" w14:paraId="44CCB2BF" w14:textId="77777777" w:rsidTr="006561B9">
        <w:trPr>
          <w:trHeight w:val="520"/>
        </w:trPr>
        <w:tc>
          <w:tcPr>
            <w:tcW w:w="1936" w:type="dxa"/>
            <w:tcBorders>
              <w:top w:val="single" w:sz="4" w:space="0" w:color="auto"/>
              <w:left w:val="single" w:sz="4" w:space="0" w:color="auto"/>
              <w:bottom w:val="nil"/>
              <w:right w:val="single" w:sz="4" w:space="0" w:color="auto"/>
            </w:tcBorders>
            <w:shd w:val="clear" w:color="auto" w:fill="C6D9F1" w:themeFill="text2" w:themeFillTint="33"/>
            <w:vAlign w:val="center"/>
            <w:hideMark/>
          </w:tcPr>
          <w:p w14:paraId="0405AE82"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w:t>
            </w:r>
          </w:p>
        </w:tc>
        <w:tc>
          <w:tcPr>
            <w:tcW w:w="5206" w:type="dxa"/>
            <w:gridSpan w:val="5"/>
            <w:tcBorders>
              <w:top w:val="single" w:sz="4" w:space="0" w:color="auto"/>
              <w:left w:val="nil"/>
              <w:bottom w:val="nil"/>
              <w:right w:val="single" w:sz="4" w:space="0" w:color="000000"/>
            </w:tcBorders>
            <w:shd w:val="clear" w:color="auto" w:fill="C6D9F1" w:themeFill="text2" w:themeFillTint="33"/>
            <w:vAlign w:val="center"/>
            <w:hideMark/>
          </w:tcPr>
          <w:p w14:paraId="69047064" w14:textId="27E276B3" w:rsidR="00C1077F" w:rsidRPr="00C1077F" w:rsidRDefault="00E87F04" w:rsidP="00C1077F">
            <w:pPr>
              <w:spacing w:after="0"/>
              <w:jc w:val="center"/>
              <w:rPr>
                <w:rFonts w:ascii="Calibri" w:eastAsia="Times New Roman" w:hAnsi="Calibri" w:cs="Calibri"/>
                <w:b/>
                <w:bCs/>
                <w:color w:val="444444"/>
                <w:sz w:val="20"/>
                <w:szCs w:val="20"/>
                <w:lang w:eastAsia="it-IT"/>
              </w:rPr>
            </w:pPr>
            <w:r>
              <w:rPr>
                <w:rFonts w:ascii="Calibri" w:eastAsia="Times New Roman" w:hAnsi="Calibri" w:cs="Calibri"/>
                <w:b/>
                <w:bCs/>
                <w:color w:val="444444"/>
                <w:sz w:val="20"/>
                <w:szCs w:val="20"/>
                <w:lang w:eastAsia="it-IT"/>
              </w:rPr>
              <w:t>Zona altimetrica</w:t>
            </w:r>
          </w:p>
        </w:tc>
        <w:tc>
          <w:tcPr>
            <w:tcW w:w="1038" w:type="dxa"/>
            <w:tcBorders>
              <w:top w:val="single" w:sz="4" w:space="0" w:color="auto"/>
              <w:left w:val="nil"/>
              <w:bottom w:val="nil"/>
              <w:right w:val="single" w:sz="4" w:space="0" w:color="auto"/>
            </w:tcBorders>
            <w:shd w:val="clear" w:color="auto" w:fill="C6D9F1" w:themeFill="text2" w:themeFillTint="33"/>
            <w:vAlign w:val="center"/>
            <w:hideMark/>
          </w:tcPr>
          <w:p w14:paraId="6A588AE3"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Totale</w:t>
            </w:r>
          </w:p>
        </w:tc>
        <w:tc>
          <w:tcPr>
            <w:tcW w:w="1040" w:type="dxa"/>
            <w:tcBorders>
              <w:top w:val="single" w:sz="4" w:space="0" w:color="auto"/>
              <w:left w:val="nil"/>
              <w:bottom w:val="nil"/>
              <w:right w:val="single" w:sz="4" w:space="0" w:color="auto"/>
            </w:tcBorders>
            <w:shd w:val="clear" w:color="auto" w:fill="C6D9F1" w:themeFill="text2" w:themeFillTint="33"/>
            <w:vAlign w:val="center"/>
            <w:hideMark/>
          </w:tcPr>
          <w:p w14:paraId="61D50925" w14:textId="352A9A3B" w:rsidR="00C1077F" w:rsidRPr="00C1077F" w:rsidRDefault="00E87F04" w:rsidP="00C1077F">
            <w:pPr>
              <w:spacing w:after="0"/>
              <w:jc w:val="left"/>
              <w:rPr>
                <w:rFonts w:ascii="Calibri" w:eastAsia="Times New Roman" w:hAnsi="Calibri" w:cs="Calibri"/>
                <w:b/>
                <w:bCs/>
                <w:color w:val="444444"/>
                <w:sz w:val="20"/>
                <w:szCs w:val="20"/>
                <w:lang w:eastAsia="it-IT"/>
              </w:rPr>
            </w:pPr>
            <w:r>
              <w:rPr>
                <w:rFonts w:ascii="Calibri" w:eastAsia="Times New Roman" w:hAnsi="Calibri" w:cs="Calibri"/>
                <w:b/>
                <w:bCs/>
                <w:color w:val="444444"/>
                <w:sz w:val="20"/>
                <w:szCs w:val="20"/>
                <w:lang w:eastAsia="it-IT"/>
              </w:rPr>
              <w:t>%</w:t>
            </w:r>
            <w:r w:rsidR="00C1077F" w:rsidRPr="00C1077F">
              <w:rPr>
                <w:rFonts w:ascii="Calibri" w:eastAsia="Times New Roman" w:hAnsi="Calibri" w:cs="Calibri"/>
                <w:b/>
                <w:bCs/>
                <w:color w:val="444444"/>
                <w:sz w:val="20"/>
                <w:szCs w:val="20"/>
                <w:lang w:eastAsia="it-IT"/>
              </w:rPr>
              <w:t xml:space="preserve"> sul 2018</w:t>
            </w:r>
          </w:p>
        </w:tc>
      </w:tr>
      <w:tr w:rsidR="00C1077F" w:rsidRPr="00C1077F" w14:paraId="246EFBDE" w14:textId="77777777" w:rsidTr="006561B9">
        <w:trPr>
          <w:trHeight w:val="280"/>
        </w:trPr>
        <w:tc>
          <w:tcPr>
            <w:tcW w:w="1936" w:type="dxa"/>
            <w:tcBorders>
              <w:top w:val="nil"/>
              <w:left w:val="single" w:sz="4" w:space="0" w:color="auto"/>
              <w:bottom w:val="nil"/>
              <w:right w:val="single" w:sz="4" w:space="0" w:color="auto"/>
            </w:tcBorders>
            <w:shd w:val="clear" w:color="auto" w:fill="C6D9F1" w:themeFill="text2" w:themeFillTint="33"/>
            <w:vAlign w:val="center"/>
            <w:hideMark/>
          </w:tcPr>
          <w:p w14:paraId="7BF22F36"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w:t>
            </w:r>
          </w:p>
        </w:tc>
        <w:tc>
          <w:tcPr>
            <w:tcW w:w="1044" w:type="dxa"/>
            <w:tcBorders>
              <w:top w:val="single" w:sz="4" w:space="0" w:color="auto"/>
              <w:left w:val="nil"/>
              <w:bottom w:val="nil"/>
              <w:right w:val="single" w:sz="4" w:space="0" w:color="auto"/>
            </w:tcBorders>
            <w:shd w:val="clear" w:color="auto" w:fill="C6D9F1" w:themeFill="text2" w:themeFillTint="33"/>
            <w:vAlign w:val="center"/>
            <w:hideMark/>
          </w:tcPr>
          <w:p w14:paraId="150A250E"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Montagna</w:t>
            </w:r>
          </w:p>
        </w:tc>
        <w:tc>
          <w:tcPr>
            <w:tcW w:w="1044" w:type="dxa"/>
            <w:tcBorders>
              <w:top w:val="single" w:sz="4" w:space="0" w:color="auto"/>
              <w:left w:val="nil"/>
              <w:bottom w:val="nil"/>
              <w:right w:val="single" w:sz="4" w:space="0" w:color="auto"/>
            </w:tcBorders>
            <w:shd w:val="clear" w:color="auto" w:fill="C6D9F1" w:themeFill="text2" w:themeFillTint="33"/>
            <w:vAlign w:val="center"/>
            <w:hideMark/>
          </w:tcPr>
          <w:p w14:paraId="413C3612"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Montagna</w:t>
            </w:r>
          </w:p>
        </w:tc>
        <w:tc>
          <w:tcPr>
            <w:tcW w:w="1039" w:type="dxa"/>
            <w:tcBorders>
              <w:top w:val="single" w:sz="4" w:space="0" w:color="auto"/>
              <w:left w:val="nil"/>
              <w:bottom w:val="nil"/>
              <w:right w:val="single" w:sz="4" w:space="0" w:color="auto"/>
            </w:tcBorders>
            <w:shd w:val="clear" w:color="auto" w:fill="C6D9F1" w:themeFill="text2" w:themeFillTint="33"/>
            <w:vAlign w:val="center"/>
            <w:hideMark/>
          </w:tcPr>
          <w:p w14:paraId="3DF31BEB"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Collina</w:t>
            </w:r>
          </w:p>
        </w:tc>
        <w:tc>
          <w:tcPr>
            <w:tcW w:w="1040" w:type="dxa"/>
            <w:tcBorders>
              <w:top w:val="single" w:sz="4" w:space="0" w:color="auto"/>
              <w:left w:val="nil"/>
              <w:bottom w:val="nil"/>
              <w:right w:val="single" w:sz="4" w:space="0" w:color="auto"/>
            </w:tcBorders>
            <w:shd w:val="clear" w:color="auto" w:fill="C6D9F1" w:themeFill="text2" w:themeFillTint="33"/>
            <w:vAlign w:val="center"/>
            <w:hideMark/>
          </w:tcPr>
          <w:p w14:paraId="3282D5DF"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Collina</w:t>
            </w:r>
          </w:p>
        </w:tc>
        <w:tc>
          <w:tcPr>
            <w:tcW w:w="1039" w:type="dxa"/>
            <w:tcBorders>
              <w:top w:val="single" w:sz="4" w:space="0" w:color="auto"/>
              <w:left w:val="nil"/>
              <w:bottom w:val="nil"/>
              <w:right w:val="single" w:sz="4" w:space="0" w:color="auto"/>
            </w:tcBorders>
            <w:shd w:val="clear" w:color="auto" w:fill="C6D9F1" w:themeFill="text2" w:themeFillTint="33"/>
            <w:vAlign w:val="center"/>
            <w:hideMark/>
          </w:tcPr>
          <w:p w14:paraId="60539B22"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Pianura</w:t>
            </w:r>
          </w:p>
        </w:tc>
        <w:tc>
          <w:tcPr>
            <w:tcW w:w="1038" w:type="dxa"/>
            <w:tcBorders>
              <w:top w:val="nil"/>
              <w:left w:val="nil"/>
              <w:bottom w:val="nil"/>
              <w:right w:val="single" w:sz="4" w:space="0" w:color="auto"/>
            </w:tcBorders>
            <w:shd w:val="clear" w:color="auto" w:fill="C6D9F1" w:themeFill="text2" w:themeFillTint="33"/>
            <w:vAlign w:val="center"/>
            <w:hideMark/>
          </w:tcPr>
          <w:p w14:paraId="0273605D"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w:t>
            </w:r>
          </w:p>
        </w:tc>
        <w:tc>
          <w:tcPr>
            <w:tcW w:w="1040" w:type="dxa"/>
            <w:tcBorders>
              <w:top w:val="nil"/>
              <w:left w:val="nil"/>
              <w:bottom w:val="nil"/>
              <w:right w:val="single" w:sz="4" w:space="0" w:color="auto"/>
            </w:tcBorders>
            <w:shd w:val="clear" w:color="auto" w:fill="C6D9F1" w:themeFill="text2" w:themeFillTint="33"/>
            <w:vAlign w:val="center"/>
            <w:hideMark/>
          </w:tcPr>
          <w:p w14:paraId="1F4490AD"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w:t>
            </w:r>
          </w:p>
        </w:tc>
      </w:tr>
      <w:tr w:rsidR="00C1077F" w:rsidRPr="00C1077F" w14:paraId="1EFF4472" w14:textId="77777777" w:rsidTr="006561B9">
        <w:trPr>
          <w:trHeight w:val="280"/>
        </w:trPr>
        <w:tc>
          <w:tcPr>
            <w:tcW w:w="1936" w:type="dxa"/>
            <w:tcBorders>
              <w:top w:val="nil"/>
              <w:left w:val="single" w:sz="4" w:space="0" w:color="auto"/>
              <w:bottom w:val="single" w:sz="4" w:space="0" w:color="auto"/>
              <w:right w:val="single" w:sz="4" w:space="0" w:color="auto"/>
            </w:tcBorders>
            <w:shd w:val="clear" w:color="auto" w:fill="C6D9F1" w:themeFill="text2" w:themeFillTint="33"/>
            <w:vAlign w:val="center"/>
            <w:hideMark/>
          </w:tcPr>
          <w:p w14:paraId="50C134E9"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w:t>
            </w:r>
          </w:p>
        </w:tc>
        <w:tc>
          <w:tcPr>
            <w:tcW w:w="1044" w:type="dxa"/>
            <w:tcBorders>
              <w:top w:val="nil"/>
              <w:left w:val="nil"/>
              <w:bottom w:val="single" w:sz="4" w:space="0" w:color="auto"/>
              <w:right w:val="single" w:sz="4" w:space="0" w:color="auto"/>
            </w:tcBorders>
            <w:shd w:val="clear" w:color="auto" w:fill="C6D9F1" w:themeFill="text2" w:themeFillTint="33"/>
            <w:vAlign w:val="center"/>
            <w:hideMark/>
          </w:tcPr>
          <w:p w14:paraId="1F17B081"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interna</w:t>
            </w:r>
          </w:p>
        </w:tc>
        <w:tc>
          <w:tcPr>
            <w:tcW w:w="1044" w:type="dxa"/>
            <w:tcBorders>
              <w:top w:val="nil"/>
              <w:left w:val="nil"/>
              <w:bottom w:val="single" w:sz="4" w:space="0" w:color="auto"/>
              <w:right w:val="single" w:sz="4" w:space="0" w:color="auto"/>
            </w:tcBorders>
            <w:shd w:val="clear" w:color="auto" w:fill="C6D9F1" w:themeFill="text2" w:themeFillTint="33"/>
            <w:vAlign w:val="center"/>
            <w:hideMark/>
          </w:tcPr>
          <w:p w14:paraId="6ADB00E1"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litoranea</w:t>
            </w:r>
          </w:p>
        </w:tc>
        <w:tc>
          <w:tcPr>
            <w:tcW w:w="1039" w:type="dxa"/>
            <w:tcBorders>
              <w:top w:val="nil"/>
              <w:left w:val="nil"/>
              <w:bottom w:val="single" w:sz="4" w:space="0" w:color="auto"/>
              <w:right w:val="single" w:sz="4" w:space="0" w:color="auto"/>
            </w:tcBorders>
            <w:shd w:val="clear" w:color="auto" w:fill="C6D9F1" w:themeFill="text2" w:themeFillTint="33"/>
            <w:vAlign w:val="center"/>
            <w:hideMark/>
          </w:tcPr>
          <w:p w14:paraId="6EBDA488"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interna</w:t>
            </w:r>
          </w:p>
        </w:tc>
        <w:tc>
          <w:tcPr>
            <w:tcW w:w="1040" w:type="dxa"/>
            <w:tcBorders>
              <w:top w:val="nil"/>
              <w:left w:val="nil"/>
              <w:bottom w:val="single" w:sz="4" w:space="0" w:color="auto"/>
              <w:right w:val="single" w:sz="4" w:space="0" w:color="auto"/>
            </w:tcBorders>
            <w:shd w:val="clear" w:color="auto" w:fill="C6D9F1" w:themeFill="text2" w:themeFillTint="33"/>
            <w:vAlign w:val="center"/>
            <w:hideMark/>
          </w:tcPr>
          <w:p w14:paraId="7C5DEBB7"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litoranea</w:t>
            </w:r>
          </w:p>
        </w:tc>
        <w:tc>
          <w:tcPr>
            <w:tcW w:w="1039" w:type="dxa"/>
            <w:tcBorders>
              <w:top w:val="nil"/>
              <w:left w:val="nil"/>
              <w:bottom w:val="single" w:sz="4" w:space="0" w:color="auto"/>
              <w:right w:val="single" w:sz="4" w:space="0" w:color="auto"/>
            </w:tcBorders>
            <w:shd w:val="clear" w:color="auto" w:fill="C6D9F1" w:themeFill="text2" w:themeFillTint="33"/>
            <w:vAlign w:val="center"/>
            <w:hideMark/>
          </w:tcPr>
          <w:p w14:paraId="3A28C47E"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w:t>
            </w:r>
          </w:p>
        </w:tc>
        <w:tc>
          <w:tcPr>
            <w:tcW w:w="1038" w:type="dxa"/>
            <w:tcBorders>
              <w:top w:val="nil"/>
              <w:left w:val="nil"/>
              <w:bottom w:val="single" w:sz="4" w:space="0" w:color="auto"/>
              <w:right w:val="single" w:sz="4" w:space="0" w:color="auto"/>
            </w:tcBorders>
            <w:shd w:val="clear" w:color="auto" w:fill="C6D9F1" w:themeFill="text2" w:themeFillTint="33"/>
            <w:vAlign w:val="center"/>
            <w:hideMark/>
          </w:tcPr>
          <w:p w14:paraId="4906D6BC"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w:t>
            </w:r>
          </w:p>
        </w:tc>
        <w:tc>
          <w:tcPr>
            <w:tcW w:w="1040" w:type="dxa"/>
            <w:tcBorders>
              <w:top w:val="nil"/>
              <w:left w:val="nil"/>
              <w:bottom w:val="single" w:sz="4" w:space="0" w:color="auto"/>
              <w:right w:val="single" w:sz="4" w:space="0" w:color="auto"/>
            </w:tcBorders>
            <w:shd w:val="clear" w:color="auto" w:fill="C6D9F1" w:themeFill="text2" w:themeFillTint="33"/>
            <w:vAlign w:val="center"/>
            <w:hideMark/>
          </w:tcPr>
          <w:p w14:paraId="2668D6A5" w14:textId="77777777"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w:t>
            </w:r>
          </w:p>
        </w:tc>
      </w:tr>
      <w:tr w:rsidR="00C1077F" w:rsidRPr="00C1077F" w14:paraId="6CE85C98" w14:textId="77777777" w:rsidTr="00E87F04">
        <w:trPr>
          <w:trHeight w:val="280"/>
        </w:trPr>
        <w:tc>
          <w:tcPr>
            <w:tcW w:w="1936" w:type="dxa"/>
            <w:tcBorders>
              <w:top w:val="nil"/>
              <w:left w:val="single" w:sz="4" w:space="0" w:color="auto"/>
              <w:bottom w:val="single" w:sz="4" w:space="0" w:color="auto"/>
              <w:right w:val="single" w:sz="4" w:space="0" w:color="auto"/>
            </w:tcBorders>
            <w:shd w:val="clear" w:color="000000" w:fill="FFFFFF"/>
            <w:vAlign w:val="center"/>
            <w:hideMark/>
          </w:tcPr>
          <w:p w14:paraId="41F18E59" w14:textId="77777777" w:rsidR="00C1077F" w:rsidRPr="00C1077F" w:rsidRDefault="00C1077F" w:rsidP="00C1077F">
            <w:pPr>
              <w:spacing w:after="0"/>
              <w:jc w:val="lef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Nord-ovest</w:t>
            </w:r>
          </w:p>
        </w:tc>
        <w:tc>
          <w:tcPr>
            <w:tcW w:w="1044" w:type="dxa"/>
            <w:tcBorders>
              <w:top w:val="nil"/>
              <w:left w:val="nil"/>
              <w:bottom w:val="single" w:sz="4" w:space="0" w:color="auto"/>
              <w:right w:val="single" w:sz="4" w:space="0" w:color="auto"/>
            </w:tcBorders>
            <w:shd w:val="clear" w:color="000000" w:fill="FFFFFF"/>
            <w:vAlign w:val="center"/>
            <w:hideMark/>
          </w:tcPr>
          <w:p w14:paraId="6AEECA5D"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5,8</w:t>
            </w:r>
          </w:p>
        </w:tc>
        <w:tc>
          <w:tcPr>
            <w:tcW w:w="1044" w:type="dxa"/>
            <w:tcBorders>
              <w:top w:val="nil"/>
              <w:left w:val="nil"/>
              <w:bottom w:val="single" w:sz="4" w:space="0" w:color="auto"/>
              <w:right w:val="single" w:sz="4" w:space="0" w:color="auto"/>
            </w:tcBorders>
            <w:shd w:val="clear" w:color="000000" w:fill="FFFFFF"/>
            <w:vAlign w:val="center"/>
            <w:hideMark/>
          </w:tcPr>
          <w:p w14:paraId="65D65069"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17,6</w:t>
            </w:r>
          </w:p>
        </w:tc>
        <w:tc>
          <w:tcPr>
            <w:tcW w:w="1039" w:type="dxa"/>
            <w:tcBorders>
              <w:top w:val="nil"/>
              <w:left w:val="nil"/>
              <w:bottom w:val="single" w:sz="4" w:space="0" w:color="auto"/>
              <w:right w:val="single" w:sz="4" w:space="0" w:color="auto"/>
            </w:tcBorders>
            <w:shd w:val="clear" w:color="000000" w:fill="FFFFFF"/>
            <w:vAlign w:val="center"/>
            <w:hideMark/>
          </w:tcPr>
          <w:p w14:paraId="69D7CB72"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25,3</w:t>
            </w:r>
          </w:p>
        </w:tc>
        <w:tc>
          <w:tcPr>
            <w:tcW w:w="1040" w:type="dxa"/>
            <w:tcBorders>
              <w:top w:val="nil"/>
              <w:left w:val="nil"/>
              <w:bottom w:val="single" w:sz="4" w:space="0" w:color="auto"/>
              <w:right w:val="single" w:sz="4" w:space="0" w:color="auto"/>
            </w:tcBorders>
            <w:shd w:val="clear" w:color="000000" w:fill="FFFFFF"/>
            <w:vAlign w:val="center"/>
            <w:hideMark/>
          </w:tcPr>
          <w:p w14:paraId="16A4C58F"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99,4</w:t>
            </w:r>
          </w:p>
        </w:tc>
        <w:tc>
          <w:tcPr>
            <w:tcW w:w="1039" w:type="dxa"/>
            <w:tcBorders>
              <w:top w:val="nil"/>
              <w:left w:val="nil"/>
              <w:bottom w:val="single" w:sz="4" w:space="0" w:color="auto"/>
              <w:right w:val="single" w:sz="4" w:space="0" w:color="auto"/>
            </w:tcBorders>
            <w:shd w:val="clear" w:color="000000" w:fill="FFFFFF"/>
            <w:vAlign w:val="center"/>
            <w:hideMark/>
          </w:tcPr>
          <w:p w14:paraId="4A3BBD11"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33,3</w:t>
            </w:r>
          </w:p>
        </w:tc>
        <w:tc>
          <w:tcPr>
            <w:tcW w:w="1038" w:type="dxa"/>
            <w:tcBorders>
              <w:top w:val="nil"/>
              <w:left w:val="nil"/>
              <w:bottom w:val="single" w:sz="4" w:space="0" w:color="auto"/>
              <w:right w:val="single" w:sz="4" w:space="0" w:color="auto"/>
            </w:tcBorders>
            <w:shd w:val="clear" w:color="000000" w:fill="FFFFFF"/>
            <w:vAlign w:val="center"/>
            <w:hideMark/>
          </w:tcPr>
          <w:p w14:paraId="70D0FEE7"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26,3</w:t>
            </w:r>
          </w:p>
        </w:tc>
        <w:tc>
          <w:tcPr>
            <w:tcW w:w="1040" w:type="dxa"/>
            <w:tcBorders>
              <w:top w:val="nil"/>
              <w:left w:val="nil"/>
              <w:bottom w:val="single" w:sz="4" w:space="0" w:color="auto"/>
              <w:right w:val="single" w:sz="4" w:space="0" w:color="auto"/>
            </w:tcBorders>
            <w:shd w:val="clear" w:color="000000" w:fill="FFFFFF"/>
            <w:vAlign w:val="center"/>
            <w:hideMark/>
          </w:tcPr>
          <w:p w14:paraId="1CCFD9EF"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0,7</w:t>
            </w:r>
          </w:p>
        </w:tc>
      </w:tr>
      <w:tr w:rsidR="00C1077F" w:rsidRPr="00C1077F" w14:paraId="1659ABEE" w14:textId="77777777" w:rsidTr="00E87F04">
        <w:trPr>
          <w:trHeight w:val="280"/>
        </w:trPr>
        <w:tc>
          <w:tcPr>
            <w:tcW w:w="1936" w:type="dxa"/>
            <w:tcBorders>
              <w:top w:val="nil"/>
              <w:left w:val="single" w:sz="4" w:space="0" w:color="auto"/>
              <w:bottom w:val="single" w:sz="4" w:space="0" w:color="auto"/>
              <w:right w:val="single" w:sz="4" w:space="0" w:color="auto"/>
            </w:tcBorders>
            <w:shd w:val="clear" w:color="000000" w:fill="FFFFFF"/>
            <w:vAlign w:val="center"/>
            <w:hideMark/>
          </w:tcPr>
          <w:p w14:paraId="29352AF5" w14:textId="77777777" w:rsidR="00C1077F" w:rsidRPr="00C1077F" w:rsidRDefault="00C1077F" w:rsidP="00C1077F">
            <w:pPr>
              <w:spacing w:after="0"/>
              <w:jc w:val="lef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Nord-est</w:t>
            </w:r>
          </w:p>
        </w:tc>
        <w:tc>
          <w:tcPr>
            <w:tcW w:w="1044" w:type="dxa"/>
            <w:tcBorders>
              <w:top w:val="nil"/>
              <w:left w:val="nil"/>
              <w:bottom w:val="single" w:sz="4" w:space="0" w:color="auto"/>
              <w:right w:val="single" w:sz="4" w:space="0" w:color="auto"/>
            </w:tcBorders>
            <w:shd w:val="clear" w:color="000000" w:fill="FFFFFF"/>
            <w:vAlign w:val="center"/>
            <w:hideMark/>
          </w:tcPr>
          <w:p w14:paraId="77BDB6AB"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38,3</w:t>
            </w:r>
          </w:p>
        </w:tc>
        <w:tc>
          <w:tcPr>
            <w:tcW w:w="1044" w:type="dxa"/>
            <w:tcBorders>
              <w:top w:val="nil"/>
              <w:left w:val="nil"/>
              <w:bottom w:val="single" w:sz="4" w:space="0" w:color="auto"/>
              <w:right w:val="single" w:sz="4" w:space="0" w:color="auto"/>
            </w:tcBorders>
            <w:shd w:val="clear" w:color="000000" w:fill="FFFFFF"/>
            <w:vAlign w:val="center"/>
            <w:hideMark/>
          </w:tcPr>
          <w:p w14:paraId="4415AAC4" w14:textId="77777777" w:rsidR="00C1077F" w:rsidRPr="00C1077F" w:rsidRDefault="00C1077F" w:rsidP="00C1077F">
            <w:pPr>
              <w:spacing w:after="0"/>
              <w:jc w:val="lef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w:t>
            </w:r>
          </w:p>
        </w:tc>
        <w:tc>
          <w:tcPr>
            <w:tcW w:w="1039" w:type="dxa"/>
            <w:tcBorders>
              <w:top w:val="nil"/>
              <w:left w:val="nil"/>
              <w:bottom w:val="single" w:sz="4" w:space="0" w:color="auto"/>
              <w:right w:val="single" w:sz="4" w:space="0" w:color="auto"/>
            </w:tcBorders>
            <w:shd w:val="clear" w:color="000000" w:fill="FFFFFF"/>
            <w:vAlign w:val="center"/>
            <w:hideMark/>
          </w:tcPr>
          <w:p w14:paraId="0E4509BB"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44,9</w:t>
            </w:r>
          </w:p>
        </w:tc>
        <w:tc>
          <w:tcPr>
            <w:tcW w:w="1040" w:type="dxa"/>
            <w:tcBorders>
              <w:top w:val="nil"/>
              <w:left w:val="nil"/>
              <w:bottom w:val="single" w:sz="4" w:space="0" w:color="auto"/>
              <w:right w:val="single" w:sz="4" w:space="0" w:color="auto"/>
            </w:tcBorders>
            <w:shd w:val="clear" w:color="000000" w:fill="FFFFFF"/>
            <w:vAlign w:val="center"/>
            <w:hideMark/>
          </w:tcPr>
          <w:p w14:paraId="09930D53"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31,1</w:t>
            </w:r>
          </w:p>
        </w:tc>
        <w:tc>
          <w:tcPr>
            <w:tcW w:w="1039" w:type="dxa"/>
            <w:tcBorders>
              <w:top w:val="nil"/>
              <w:left w:val="nil"/>
              <w:bottom w:val="single" w:sz="4" w:space="0" w:color="auto"/>
              <w:right w:val="single" w:sz="4" w:space="0" w:color="auto"/>
            </w:tcBorders>
            <w:shd w:val="clear" w:color="000000" w:fill="FFFFFF"/>
            <w:vAlign w:val="center"/>
            <w:hideMark/>
          </w:tcPr>
          <w:p w14:paraId="6972DA14"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44,3</w:t>
            </w:r>
          </w:p>
        </w:tc>
        <w:tc>
          <w:tcPr>
            <w:tcW w:w="1038" w:type="dxa"/>
            <w:tcBorders>
              <w:top w:val="nil"/>
              <w:left w:val="nil"/>
              <w:bottom w:val="single" w:sz="4" w:space="0" w:color="auto"/>
              <w:right w:val="single" w:sz="4" w:space="0" w:color="auto"/>
            </w:tcBorders>
            <w:shd w:val="clear" w:color="000000" w:fill="FFFFFF"/>
            <w:vAlign w:val="center"/>
            <w:hideMark/>
          </w:tcPr>
          <w:p w14:paraId="7625228E"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42,9</w:t>
            </w:r>
          </w:p>
        </w:tc>
        <w:tc>
          <w:tcPr>
            <w:tcW w:w="1040" w:type="dxa"/>
            <w:tcBorders>
              <w:top w:val="nil"/>
              <w:left w:val="nil"/>
              <w:bottom w:val="single" w:sz="4" w:space="0" w:color="auto"/>
              <w:right w:val="single" w:sz="4" w:space="0" w:color="auto"/>
            </w:tcBorders>
            <w:shd w:val="clear" w:color="000000" w:fill="FFFFFF"/>
            <w:vAlign w:val="center"/>
            <w:hideMark/>
          </w:tcPr>
          <w:p w14:paraId="09AB9401"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-0,1</w:t>
            </w:r>
          </w:p>
        </w:tc>
      </w:tr>
      <w:tr w:rsidR="00C1077F" w:rsidRPr="00C1077F" w14:paraId="2B7F3809" w14:textId="77777777" w:rsidTr="00E87F04">
        <w:trPr>
          <w:trHeight w:val="280"/>
        </w:trPr>
        <w:tc>
          <w:tcPr>
            <w:tcW w:w="1936" w:type="dxa"/>
            <w:tcBorders>
              <w:top w:val="nil"/>
              <w:left w:val="single" w:sz="4" w:space="0" w:color="auto"/>
              <w:bottom w:val="single" w:sz="4" w:space="0" w:color="auto"/>
              <w:right w:val="single" w:sz="4" w:space="0" w:color="auto"/>
            </w:tcBorders>
            <w:shd w:val="clear" w:color="000000" w:fill="FFFFFF"/>
            <w:vAlign w:val="center"/>
            <w:hideMark/>
          </w:tcPr>
          <w:p w14:paraId="09257A78" w14:textId="77777777" w:rsidR="00C1077F" w:rsidRPr="00C1077F" w:rsidRDefault="00C1077F" w:rsidP="00C1077F">
            <w:pPr>
              <w:spacing w:after="0"/>
              <w:jc w:val="lef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Centro</w:t>
            </w:r>
          </w:p>
        </w:tc>
        <w:tc>
          <w:tcPr>
            <w:tcW w:w="1044" w:type="dxa"/>
            <w:tcBorders>
              <w:top w:val="nil"/>
              <w:left w:val="nil"/>
              <w:bottom w:val="single" w:sz="4" w:space="0" w:color="auto"/>
              <w:right w:val="single" w:sz="4" w:space="0" w:color="auto"/>
            </w:tcBorders>
            <w:shd w:val="clear" w:color="000000" w:fill="FFFFFF"/>
            <w:vAlign w:val="center"/>
            <w:hideMark/>
          </w:tcPr>
          <w:p w14:paraId="7DD7F920"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9,2</w:t>
            </w:r>
          </w:p>
        </w:tc>
        <w:tc>
          <w:tcPr>
            <w:tcW w:w="1044" w:type="dxa"/>
            <w:tcBorders>
              <w:top w:val="nil"/>
              <w:left w:val="nil"/>
              <w:bottom w:val="single" w:sz="4" w:space="0" w:color="auto"/>
              <w:right w:val="single" w:sz="4" w:space="0" w:color="auto"/>
            </w:tcBorders>
            <w:shd w:val="clear" w:color="000000" w:fill="FFFFFF"/>
            <w:vAlign w:val="center"/>
            <w:hideMark/>
          </w:tcPr>
          <w:p w14:paraId="617D2EEB"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24,2</w:t>
            </w:r>
          </w:p>
        </w:tc>
        <w:tc>
          <w:tcPr>
            <w:tcW w:w="1039" w:type="dxa"/>
            <w:tcBorders>
              <w:top w:val="nil"/>
              <w:left w:val="nil"/>
              <w:bottom w:val="single" w:sz="4" w:space="0" w:color="auto"/>
              <w:right w:val="single" w:sz="4" w:space="0" w:color="auto"/>
            </w:tcBorders>
            <w:shd w:val="clear" w:color="000000" w:fill="FFFFFF"/>
            <w:vAlign w:val="center"/>
            <w:hideMark/>
          </w:tcPr>
          <w:p w14:paraId="1A7DD599"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14,9</w:t>
            </w:r>
          </w:p>
        </w:tc>
        <w:tc>
          <w:tcPr>
            <w:tcW w:w="1040" w:type="dxa"/>
            <w:tcBorders>
              <w:top w:val="nil"/>
              <w:left w:val="nil"/>
              <w:bottom w:val="single" w:sz="4" w:space="0" w:color="auto"/>
              <w:right w:val="single" w:sz="4" w:space="0" w:color="auto"/>
            </w:tcBorders>
            <w:shd w:val="clear" w:color="000000" w:fill="FFFFFF"/>
            <w:vAlign w:val="center"/>
            <w:hideMark/>
          </w:tcPr>
          <w:p w14:paraId="68781B75"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16,8</w:t>
            </w:r>
          </w:p>
        </w:tc>
        <w:tc>
          <w:tcPr>
            <w:tcW w:w="1039" w:type="dxa"/>
            <w:tcBorders>
              <w:top w:val="nil"/>
              <w:left w:val="nil"/>
              <w:bottom w:val="single" w:sz="4" w:space="0" w:color="auto"/>
              <w:right w:val="single" w:sz="4" w:space="0" w:color="auto"/>
            </w:tcBorders>
            <w:shd w:val="clear" w:color="000000" w:fill="FFFFFF"/>
            <w:vAlign w:val="center"/>
            <w:hideMark/>
          </w:tcPr>
          <w:p w14:paraId="62C23F47"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22,5</w:t>
            </w:r>
          </w:p>
        </w:tc>
        <w:tc>
          <w:tcPr>
            <w:tcW w:w="1038" w:type="dxa"/>
            <w:tcBorders>
              <w:top w:val="nil"/>
              <w:left w:val="nil"/>
              <w:bottom w:val="single" w:sz="4" w:space="0" w:color="auto"/>
              <w:right w:val="single" w:sz="4" w:space="0" w:color="auto"/>
            </w:tcBorders>
            <w:shd w:val="clear" w:color="000000" w:fill="FFFFFF"/>
            <w:vAlign w:val="center"/>
            <w:hideMark/>
          </w:tcPr>
          <w:p w14:paraId="51027696"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14,9</w:t>
            </w:r>
          </w:p>
        </w:tc>
        <w:tc>
          <w:tcPr>
            <w:tcW w:w="1040" w:type="dxa"/>
            <w:tcBorders>
              <w:top w:val="nil"/>
              <w:left w:val="nil"/>
              <w:bottom w:val="single" w:sz="4" w:space="0" w:color="auto"/>
              <w:right w:val="single" w:sz="4" w:space="0" w:color="auto"/>
            </w:tcBorders>
            <w:shd w:val="clear" w:color="000000" w:fill="FFFFFF"/>
            <w:vAlign w:val="center"/>
            <w:hideMark/>
          </w:tcPr>
          <w:p w14:paraId="668C32A1"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0,4</w:t>
            </w:r>
          </w:p>
        </w:tc>
      </w:tr>
      <w:tr w:rsidR="00C1077F" w:rsidRPr="00C1077F" w14:paraId="4232E298" w14:textId="77777777" w:rsidTr="00E87F04">
        <w:trPr>
          <w:trHeight w:val="280"/>
        </w:trPr>
        <w:tc>
          <w:tcPr>
            <w:tcW w:w="1936" w:type="dxa"/>
            <w:tcBorders>
              <w:top w:val="nil"/>
              <w:left w:val="single" w:sz="4" w:space="0" w:color="auto"/>
              <w:bottom w:val="single" w:sz="4" w:space="0" w:color="auto"/>
              <w:right w:val="single" w:sz="4" w:space="0" w:color="auto"/>
            </w:tcBorders>
            <w:shd w:val="clear" w:color="000000" w:fill="FFFFFF"/>
            <w:vAlign w:val="center"/>
            <w:hideMark/>
          </w:tcPr>
          <w:p w14:paraId="4A957A2D" w14:textId="77777777" w:rsidR="00C1077F" w:rsidRPr="00C1077F" w:rsidRDefault="00C1077F" w:rsidP="00C1077F">
            <w:pPr>
              <w:spacing w:after="0"/>
              <w:jc w:val="lef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Meridione</w:t>
            </w:r>
          </w:p>
        </w:tc>
        <w:tc>
          <w:tcPr>
            <w:tcW w:w="1044" w:type="dxa"/>
            <w:tcBorders>
              <w:top w:val="nil"/>
              <w:left w:val="nil"/>
              <w:bottom w:val="single" w:sz="4" w:space="0" w:color="auto"/>
              <w:right w:val="single" w:sz="4" w:space="0" w:color="auto"/>
            </w:tcBorders>
            <w:shd w:val="clear" w:color="000000" w:fill="FFFFFF"/>
            <w:vAlign w:val="center"/>
            <w:hideMark/>
          </w:tcPr>
          <w:p w14:paraId="637CE012"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6,5</w:t>
            </w:r>
          </w:p>
        </w:tc>
        <w:tc>
          <w:tcPr>
            <w:tcW w:w="1044" w:type="dxa"/>
            <w:tcBorders>
              <w:top w:val="nil"/>
              <w:left w:val="nil"/>
              <w:bottom w:val="single" w:sz="4" w:space="0" w:color="auto"/>
              <w:right w:val="single" w:sz="4" w:space="0" w:color="auto"/>
            </w:tcBorders>
            <w:shd w:val="clear" w:color="000000" w:fill="FFFFFF"/>
            <w:vAlign w:val="center"/>
            <w:hideMark/>
          </w:tcPr>
          <w:p w14:paraId="48ACF691"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9,8</w:t>
            </w:r>
          </w:p>
        </w:tc>
        <w:tc>
          <w:tcPr>
            <w:tcW w:w="1039" w:type="dxa"/>
            <w:tcBorders>
              <w:top w:val="nil"/>
              <w:left w:val="nil"/>
              <w:bottom w:val="single" w:sz="4" w:space="0" w:color="auto"/>
              <w:right w:val="single" w:sz="4" w:space="0" w:color="auto"/>
            </w:tcBorders>
            <w:shd w:val="clear" w:color="000000" w:fill="FFFFFF"/>
            <w:vAlign w:val="center"/>
            <w:hideMark/>
          </w:tcPr>
          <w:p w14:paraId="2E7C0553"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12,2</w:t>
            </w:r>
          </w:p>
        </w:tc>
        <w:tc>
          <w:tcPr>
            <w:tcW w:w="1040" w:type="dxa"/>
            <w:tcBorders>
              <w:top w:val="nil"/>
              <w:left w:val="nil"/>
              <w:bottom w:val="single" w:sz="4" w:space="0" w:color="auto"/>
              <w:right w:val="single" w:sz="4" w:space="0" w:color="auto"/>
            </w:tcBorders>
            <w:shd w:val="clear" w:color="000000" w:fill="FFFFFF"/>
            <w:vAlign w:val="center"/>
            <w:hideMark/>
          </w:tcPr>
          <w:p w14:paraId="66E5032A"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17</w:t>
            </w:r>
          </w:p>
        </w:tc>
        <w:tc>
          <w:tcPr>
            <w:tcW w:w="1039" w:type="dxa"/>
            <w:tcBorders>
              <w:top w:val="nil"/>
              <w:left w:val="nil"/>
              <w:bottom w:val="single" w:sz="4" w:space="0" w:color="auto"/>
              <w:right w:val="single" w:sz="4" w:space="0" w:color="auto"/>
            </w:tcBorders>
            <w:shd w:val="clear" w:color="000000" w:fill="FFFFFF"/>
            <w:vAlign w:val="center"/>
            <w:hideMark/>
          </w:tcPr>
          <w:p w14:paraId="7AB73D11"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17,9</w:t>
            </w:r>
          </w:p>
        </w:tc>
        <w:tc>
          <w:tcPr>
            <w:tcW w:w="1038" w:type="dxa"/>
            <w:tcBorders>
              <w:top w:val="nil"/>
              <w:left w:val="nil"/>
              <w:bottom w:val="single" w:sz="4" w:space="0" w:color="auto"/>
              <w:right w:val="single" w:sz="4" w:space="0" w:color="auto"/>
            </w:tcBorders>
            <w:shd w:val="clear" w:color="000000" w:fill="FFFFFF"/>
            <w:vAlign w:val="center"/>
            <w:hideMark/>
          </w:tcPr>
          <w:p w14:paraId="62AEBB12"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13</w:t>
            </w:r>
          </w:p>
        </w:tc>
        <w:tc>
          <w:tcPr>
            <w:tcW w:w="1040" w:type="dxa"/>
            <w:tcBorders>
              <w:top w:val="nil"/>
              <w:left w:val="nil"/>
              <w:bottom w:val="single" w:sz="4" w:space="0" w:color="auto"/>
              <w:right w:val="single" w:sz="4" w:space="0" w:color="auto"/>
            </w:tcBorders>
            <w:shd w:val="clear" w:color="000000" w:fill="FFFFFF"/>
            <w:vAlign w:val="center"/>
            <w:hideMark/>
          </w:tcPr>
          <w:p w14:paraId="644B9228"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0</w:t>
            </w:r>
          </w:p>
        </w:tc>
      </w:tr>
      <w:tr w:rsidR="00C1077F" w:rsidRPr="00C1077F" w14:paraId="1A4EC4C4" w14:textId="77777777" w:rsidTr="00E87F04">
        <w:trPr>
          <w:trHeight w:val="280"/>
        </w:trPr>
        <w:tc>
          <w:tcPr>
            <w:tcW w:w="1936" w:type="dxa"/>
            <w:tcBorders>
              <w:top w:val="nil"/>
              <w:left w:val="single" w:sz="4" w:space="0" w:color="auto"/>
              <w:bottom w:val="single" w:sz="4" w:space="0" w:color="auto"/>
              <w:right w:val="single" w:sz="4" w:space="0" w:color="auto"/>
            </w:tcBorders>
            <w:shd w:val="clear" w:color="000000" w:fill="FFFFFF"/>
            <w:vAlign w:val="center"/>
            <w:hideMark/>
          </w:tcPr>
          <w:p w14:paraId="352BC7CC" w14:textId="77777777" w:rsidR="00C1077F" w:rsidRPr="00C1077F" w:rsidRDefault="00C1077F" w:rsidP="00C1077F">
            <w:pPr>
              <w:spacing w:after="0"/>
              <w:jc w:val="lef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Isole</w:t>
            </w:r>
          </w:p>
        </w:tc>
        <w:tc>
          <w:tcPr>
            <w:tcW w:w="1044" w:type="dxa"/>
            <w:tcBorders>
              <w:top w:val="nil"/>
              <w:left w:val="nil"/>
              <w:bottom w:val="single" w:sz="4" w:space="0" w:color="auto"/>
              <w:right w:val="single" w:sz="4" w:space="0" w:color="auto"/>
            </w:tcBorders>
            <w:shd w:val="clear" w:color="000000" w:fill="FFFFFF"/>
            <w:vAlign w:val="center"/>
            <w:hideMark/>
          </w:tcPr>
          <w:p w14:paraId="6B9CAA22"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5,8</w:t>
            </w:r>
          </w:p>
        </w:tc>
        <w:tc>
          <w:tcPr>
            <w:tcW w:w="1044" w:type="dxa"/>
            <w:tcBorders>
              <w:top w:val="nil"/>
              <w:left w:val="nil"/>
              <w:bottom w:val="single" w:sz="4" w:space="0" w:color="auto"/>
              <w:right w:val="single" w:sz="4" w:space="0" w:color="auto"/>
            </w:tcBorders>
            <w:shd w:val="clear" w:color="000000" w:fill="FFFFFF"/>
            <w:vAlign w:val="center"/>
            <w:hideMark/>
          </w:tcPr>
          <w:p w14:paraId="7437D010"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7,2</w:t>
            </w:r>
          </w:p>
        </w:tc>
        <w:tc>
          <w:tcPr>
            <w:tcW w:w="1039" w:type="dxa"/>
            <w:tcBorders>
              <w:top w:val="nil"/>
              <w:left w:val="nil"/>
              <w:bottom w:val="single" w:sz="4" w:space="0" w:color="auto"/>
              <w:right w:val="single" w:sz="4" w:space="0" w:color="auto"/>
            </w:tcBorders>
            <w:shd w:val="clear" w:color="000000" w:fill="FFFFFF"/>
            <w:vAlign w:val="center"/>
            <w:hideMark/>
          </w:tcPr>
          <w:p w14:paraId="1C35DD71"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7,6</w:t>
            </w:r>
          </w:p>
        </w:tc>
        <w:tc>
          <w:tcPr>
            <w:tcW w:w="1040" w:type="dxa"/>
            <w:tcBorders>
              <w:top w:val="nil"/>
              <w:left w:val="nil"/>
              <w:bottom w:val="single" w:sz="4" w:space="0" w:color="auto"/>
              <w:right w:val="single" w:sz="4" w:space="0" w:color="auto"/>
            </w:tcBorders>
            <w:shd w:val="clear" w:color="000000" w:fill="FFFFFF"/>
            <w:vAlign w:val="center"/>
            <w:hideMark/>
          </w:tcPr>
          <w:p w14:paraId="597CF39E"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8,9</w:t>
            </w:r>
          </w:p>
        </w:tc>
        <w:tc>
          <w:tcPr>
            <w:tcW w:w="1039" w:type="dxa"/>
            <w:tcBorders>
              <w:top w:val="nil"/>
              <w:left w:val="nil"/>
              <w:bottom w:val="single" w:sz="4" w:space="0" w:color="auto"/>
              <w:right w:val="single" w:sz="4" w:space="0" w:color="auto"/>
            </w:tcBorders>
            <w:shd w:val="clear" w:color="000000" w:fill="FFFFFF"/>
            <w:vAlign w:val="center"/>
            <w:hideMark/>
          </w:tcPr>
          <w:p w14:paraId="299ADDC0"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14,4</w:t>
            </w:r>
          </w:p>
        </w:tc>
        <w:tc>
          <w:tcPr>
            <w:tcW w:w="1038" w:type="dxa"/>
            <w:tcBorders>
              <w:top w:val="nil"/>
              <w:left w:val="nil"/>
              <w:bottom w:val="single" w:sz="4" w:space="0" w:color="auto"/>
              <w:right w:val="single" w:sz="4" w:space="0" w:color="auto"/>
            </w:tcBorders>
            <w:shd w:val="clear" w:color="000000" w:fill="FFFFFF"/>
            <w:vAlign w:val="center"/>
            <w:hideMark/>
          </w:tcPr>
          <w:p w14:paraId="3539D110"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8,6</w:t>
            </w:r>
          </w:p>
        </w:tc>
        <w:tc>
          <w:tcPr>
            <w:tcW w:w="1040" w:type="dxa"/>
            <w:tcBorders>
              <w:top w:val="nil"/>
              <w:left w:val="nil"/>
              <w:bottom w:val="single" w:sz="4" w:space="0" w:color="auto"/>
              <w:right w:val="single" w:sz="4" w:space="0" w:color="auto"/>
            </w:tcBorders>
            <w:shd w:val="clear" w:color="000000" w:fill="FFFFFF"/>
            <w:vAlign w:val="center"/>
            <w:hideMark/>
          </w:tcPr>
          <w:p w14:paraId="06162324"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0,5</w:t>
            </w:r>
          </w:p>
        </w:tc>
      </w:tr>
      <w:tr w:rsidR="00C1077F" w:rsidRPr="00C1077F" w14:paraId="48136271" w14:textId="77777777" w:rsidTr="00E87F04">
        <w:trPr>
          <w:trHeight w:val="280"/>
        </w:trPr>
        <w:tc>
          <w:tcPr>
            <w:tcW w:w="1936" w:type="dxa"/>
            <w:tcBorders>
              <w:top w:val="nil"/>
              <w:left w:val="single" w:sz="4" w:space="0" w:color="auto"/>
              <w:bottom w:val="single" w:sz="4" w:space="0" w:color="auto"/>
              <w:right w:val="single" w:sz="4" w:space="0" w:color="auto"/>
            </w:tcBorders>
            <w:shd w:val="clear" w:color="000000" w:fill="FFFFFF"/>
            <w:vAlign w:val="center"/>
            <w:hideMark/>
          </w:tcPr>
          <w:p w14:paraId="5ADF5EE1" w14:textId="77777777" w:rsidR="00C1077F" w:rsidRPr="00C1077F" w:rsidRDefault="00C1077F" w:rsidP="00C1077F">
            <w:pPr>
              <w:spacing w:after="0"/>
              <w:jc w:val="lef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Totale</w:t>
            </w:r>
          </w:p>
        </w:tc>
        <w:tc>
          <w:tcPr>
            <w:tcW w:w="1044" w:type="dxa"/>
            <w:tcBorders>
              <w:top w:val="nil"/>
              <w:left w:val="nil"/>
              <w:bottom w:val="single" w:sz="4" w:space="0" w:color="auto"/>
              <w:right w:val="single" w:sz="4" w:space="0" w:color="auto"/>
            </w:tcBorders>
            <w:shd w:val="clear" w:color="000000" w:fill="FFFFFF"/>
            <w:vAlign w:val="center"/>
            <w:hideMark/>
          </w:tcPr>
          <w:p w14:paraId="4647C91C"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13,6</w:t>
            </w:r>
          </w:p>
        </w:tc>
        <w:tc>
          <w:tcPr>
            <w:tcW w:w="1044" w:type="dxa"/>
            <w:tcBorders>
              <w:top w:val="nil"/>
              <w:left w:val="nil"/>
              <w:bottom w:val="single" w:sz="4" w:space="0" w:color="auto"/>
              <w:right w:val="single" w:sz="4" w:space="0" w:color="auto"/>
            </w:tcBorders>
            <w:shd w:val="clear" w:color="000000" w:fill="FFFFFF"/>
            <w:vAlign w:val="center"/>
            <w:hideMark/>
          </w:tcPr>
          <w:p w14:paraId="4AFB1C2D"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8,9</w:t>
            </w:r>
          </w:p>
        </w:tc>
        <w:tc>
          <w:tcPr>
            <w:tcW w:w="1039" w:type="dxa"/>
            <w:tcBorders>
              <w:top w:val="nil"/>
              <w:left w:val="nil"/>
              <w:bottom w:val="single" w:sz="4" w:space="0" w:color="auto"/>
              <w:right w:val="single" w:sz="4" w:space="0" w:color="auto"/>
            </w:tcBorders>
            <w:shd w:val="clear" w:color="000000" w:fill="FFFFFF"/>
            <w:vAlign w:val="center"/>
            <w:hideMark/>
          </w:tcPr>
          <w:p w14:paraId="1E74BE7F"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15,8</w:t>
            </w:r>
          </w:p>
        </w:tc>
        <w:tc>
          <w:tcPr>
            <w:tcW w:w="1040" w:type="dxa"/>
            <w:tcBorders>
              <w:top w:val="nil"/>
              <w:left w:val="nil"/>
              <w:bottom w:val="single" w:sz="4" w:space="0" w:color="auto"/>
              <w:right w:val="single" w:sz="4" w:space="0" w:color="auto"/>
            </w:tcBorders>
            <w:shd w:val="clear" w:color="000000" w:fill="FFFFFF"/>
            <w:vAlign w:val="center"/>
            <w:hideMark/>
          </w:tcPr>
          <w:p w14:paraId="7FBCC0EF"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14,8</w:t>
            </w:r>
          </w:p>
        </w:tc>
        <w:tc>
          <w:tcPr>
            <w:tcW w:w="1039" w:type="dxa"/>
            <w:tcBorders>
              <w:top w:val="nil"/>
              <w:left w:val="nil"/>
              <w:bottom w:val="single" w:sz="4" w:space="0" w:color="auto"/>
              <w:right w:val="single" w:sz="4" w:space="0" w:color="auto"/>
            </w:tcBorders>
            <w:shd w:val="clear" w:color="000000" w:fill="FFFFFF"/>
            <w:vAlign w:val="center"/>
            <w:hideMark/>
          </w:tcPr>
          <w:p w14:paraId="074296E0"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31,6</w:t>
            </w:r>
          </w:p>
        </w:tc>
        <w:tc>
          <w:tcPr>
            <w:tcW w:w="1038" w:type="dxa"/>
            <w:tcBorders>
              <w:top w:val="nil"/>
              <w:left w:val="nil"/>
              <w:bottom w:val="single" w:sz="4" w:space="0" w:color="auto"/>
              <w:right w:val="single" w:sz="4" w:space="0" w:color="auto"/>
            </w:tcBorders>
            <w:shd w:val="clear" w:color="000000" w:fill="FFFFFF"/>
            <w:vAlign w:val="center"/>
            <w:hideMark/>
          </w:tcPr>
          <w:p w14:paraId="20A2C134"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20,4</w:t>
            </w:r>
          </w:p>
        </w:tc>
        <w:tc>
          <w:tcPr>
            <w:tcW w:w="1040" w:type="dxa"/>
            <w:tcBorders>
              <w:top w:val="nil"/>
              <w:left w:val="nil"/>
              <w:bottom w:val="single" w:sz="4" w:space="0" w:color="auto"/>
              <w:right w:val="single" w:sz="4" w:space="0" w:color="auto"/>
            </w:tcBorders>
            <w:shd w:val="clear" w:color="000000" w:fill="FFFFFF"/>
            <w:vAlign w:val="center"/>
            <w:hideMark/>
          </w:tcPr>
          <w:p w14:paraId="1EDAB9B7" w14:textId="77777777" w:rsidR="00C1077F" w:rsidRPr="00C1077F" w:rsidRDefault="00C1077F" w:rsidP="00C1077F">
            <w:pPr>
              <w:spacing w:after="0"/>
              <w:jc w:val="right"/>
              <w:rPr>
                <w:rFonts w:ascii="Calibri" w:eastAsia="Times New Roman" w:hAnsi="Calibri" w:cs="Calibri"/>
                <w:color w:val="444444"/>
                <w:sz w:val="20"/>
                <w:szCs w:val="20"/>
                <w:lang w:eastAsia="it-IT"/>
              </w:rPr>
            </w:pPr>
            <w:r w:rsidRPr="00C1077F">
              <w:rPr>
                <w:rFonts w:ascii="Calibri" w:eastAsia="Times New Roman" w:hAnsi="Calibri" w:cs="Calibri"/>
                <w:color w:val="444444"/>
                <w:sz w:val="20"/>
                <w:szCs w:val="20"/>
                <w:lang w:eastAsia="it-IT"/>
              </w:rPr>
              <w:t>0,2</w:t>
            </w:r>
          </w:p>
        </w:tc>
      </w:tr>
      <w:tr w:rsidR="00C1077F" w:rsidRPr="00C1077F" w14:paraId="026BAE4A" w14:textId="77777777" w:rsidTr="00E87F04">
        <w:trPr>
          <w:trHeight w:val="280"/>
        </w:trPr>
        <w:tc>
          <w:tcPr>
            <w:tcW w:w="1936" w:type="dxa"/>
            <w:tcBorders>
              <w:top w:val="nil"/>
              <w:left w:val="single" w:sz="4" w:space="0" w:color="auto"/>
              <w:bottom w:val="single" w:sz="4" w:space="0" w:color="auto"/>
              <w:right w:val="single" w:sz="4" w:space="0" w:color="auto"/>
            </w:tcBorders>
            <w:shd w:val="clear" w:color="000000" w:fill="FFFFFF"/>
            <w:vAlign w:val="center"/>
            <w:hideMark/>
          </w:tcPr>
          <w:p w14:paraId="2AB47566" w14:textId="5211C470" w:rsidR="00C1077F" w:rsidRPr="00C1077F" w:rsidRDefault="00C1077F" w:rsidP="00C1077F">
            <w:pPr>
              <w:spacing w:after="0"/>
              <w:jc w:val="lef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 xml:space="preserve">% </w:t>
            </w:r>
            <w:r w:rsidR="00E87F04">
              <w:rPr>
                <w:rFonts w:ascii="Calibri" w:eastAsia="Times New Roman" w:hAnsi="Calibri" w:cs="Calibri"/>
                <w:b/>
                <w:bCs/>
                <w:color w:val="444444"/>
                <w:sz w:val="20"/>
                <w:szCs w:val="20"/>
                <w:lang w:eastAsia="it-IT"/>
              </w:rPr>
              <w:t>sul 2018</w:t>
            </w:r>
          </w:p>
        </w:tc>
        <w:tc>
          <w:tcPr>
            <w:tcW w:w="1044" w:type="dxa"/>
            <w:tcBorders>
              <w:top w:val="nil"/>
              <w:left w:val="nil"/>
              <w:bottom w:val="single" w:sz="4" w:space="0" w:color="auto"/>
              <w:right w:val="single" w:sz="4" w:space="0" w:color="auto"/>
            </w:tcBorders>
            <w:shd w:val="clear" w:color="000000" w:fill="FFFFFF"/>
            <w:vAlign w:val="center"/>
            <w:hideMark/>
          </w:tcPr>
          <w:p w14:paraId="6808968E" w14:textId="77777777" w:rsidR="00C1077F" w:rsidRPr="00C1077F" w:rsidRDefault="00C1077F" w:rsidP="00C1077F">
            <w:pPr>
              <w:spacing w:after="0"/>
              <w:jc w:val="righ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0,5</w:t>
            </w:r>
          </w:p>
        </w:tc>
        <w:tc>
          <w:tcPr>
            <w:tcW w:w="1044" w:type="dxa"/>
            <w:tcBorders>
              <w:top w:val="nil"/>
              <w:left w:val="nil"/>
              <w:bottom w:val="single" w:sz="4" w:space="0" w:color="auto"/>
              <w:right w:val="single" w:sz="4" w:space="0" w:color="auto"/>
            </w:tcBorders>
            <w:shd w:val="clear" w:color="000000" w:fill="FFFFFF"/>
            <w:vAlign w:val="center"/>
            <w:hideMark/>
          </w:tcPr>
          <w:p w14:paraId="2C84B0E2" w14:textId="77777777" w:rsidR="00C1077F" w:rsidRPr="00C1077F" w:rsidRDefault="00C1077F" w:rsidP="00C1077F">
            <w:pPr>
              <w:spacing w:after="0"/>
              <w:jc w:val="righ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0,2</w:t>
            </w:r>
          </w:p>
        </w:tc>
        <w:tc>
          <w:tcPr>
            <w:tcW w:w="1039" w:type="dxa"/>
            <w:tcBorders>
              <w:top w:val="nil"/>
              <w:left w:val="nil"/>
              <w:bottom w:val="single" w:sz="4" w:space="0" w:color="auto"/>
              <w:right w:val="single" w:sz="4" w:space="0" w:color="auto"/>
            </w:tcBorders>
            <w:shd w:val="clear" w:color="000000" w:fill="FFFFFF"/>
            <w:vAlign w:val="center"/>
            <w:hideMark/>
          </w:tcPr>
          <w:p w14:paraId="7982AC22" w14:textId="77777777" w:rsidR="00C1077F" w:rsidRPr="00C1077F" w:rsidRDefault="00C1077F" w:rsidP="00C1077F">
            <w:pPr>
              <w:spacing w:after="0"/>
              <w:jc w:val="righ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0,3</w:t>
            </w:r>
          </w:p>
        </w:tc>
        <w:tc>
          <w:tcPr>
            <w:tcW w:w="1040" w:type="dxa"/>
            <w:tcBorders>
              <w:top w:val="nil"/>
              <w:left w:val="nil"/>
              <w:bottom w:val="single" w:sz="4" w:space="0" w:color="auto"/>
              <w:right w:val="single" w:sz="4" w:space="0" w:color="auto"/>
            </w:tcBorders>
            <w:shd w:val="clear" w:color="000000" w:fill="FFFFFF"/>
            <w:vAlign w:val="center"/>
            <w:hideMark/>
          </w:tcPr>
          <w:p w14:paraId="251292FB" w14:textId="77777777" w:rsidR="00C1077F" w:rsidRPr="00C1077F" w:rsidRDefault="00C1077F" w:rsidP="00C1077F">
            <w:pPr>
              <w:spacing w:after="0"/>
              <w:jc w:val="righ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0,1</w:t>
            </w:r>
          </w:p>
        </w:tc>
        <w:tc>
          <w:tcPr>
            <w:tcW w:w="1039" w:type="dxa"/>
            <w:tcBorders>
              <w:top w:val="nil"/>
              <w:left w:val="nil"/>
              <w:bottom w:val="single" w:sz="4" w:space="0" w:color="auto"/>
              <w:right w:val="single" w:sz="4" w:space="0" w:color="auto"/>
            </w:tcBorders>
            <w:shd w:val="clear" w:color="000000" w:fill="FFFFFF"/>
            <w:vAlign w:val="center"/>
            <w:hideMark/>
          </w:tcPr>
          <w:p w14:paraId="549D801F" w14:textId="77777777" w:rsidR="00C1077F" w:rsidRPr="00C1077F" w:rsidRDefault="00C1077F" w:rsidP="00C1077F">
            <w:pPr>
              <w:spacing w:after="0"/>
              <w:jc w:val="righ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0,1</w:t>
            </w:r>
          </w:p>
        </w:tc>
        <w:tc>
          <w:tcPr>
            <w:tcW w:w="1038" w:type="dxa"/>
            <w:tcBorders>
              <w:top w:val="nil"/>
              <w:left w:val="nil"/>
              <w:bottom w:val="single" w:sz="4" w:space="0" w:color="auto"/>
              <w:right w:val="single" w:sz="4" w:space="0" w:color="auto"/>
            </w:tcBorders>
            <w:shd w:val="clear" w:color="000000" w:fill="FFFFFF"/>
            <w:vAlign w:val="center"/>
            <w:hideMark/>
          </w:tcPr>
          <w:p w14:paraId="39491667" w14:textId="77777777" w:rsidR="00C1077F" w:rsidRPr="00C1077F" w:rsidRDefault="00C1077F" w:rsidP="00C1077F">
            <w:pPr>
              <w:spacing w:after="0"/>
              <w:jc w:val="right"/>
              <w:rPr>
                <w:rFonts w:ascii="Calibri" w:eastAsia="Times New Roman" w:hAnsi="Calibri" w:cs="Calibri"/>
                <w:b/>
                <w:bCs/>
                <w:color w:val="444444"/>
                <w:sz w:val="20"/>
                <w:szCs w:val="20"/>
                <w:lang w:eastAsia="it-IT"/>
              </w:rPr>
            </w:pPr>
            <w:r w:rsidRPr="00C1077F">
              <w:rPr>
                <w:rFonts w:ascii="Calibri" w:eastAsia="Times New Roman" w:hAnsi="Calibri" w:cs="Calibri"/>
                <w:b/>
                <w:bCs/>
                <w:color w:val="444444"/>
                <w:sz w:val="20"/>
                <w:szCs w:val="20"/>
                <w:lang w:eastAsia="it-IT"/>
              </w:rPr>
              <w:t>0,2</w:t>
            </w:r>
          </w:p>
        </w:tc>
        <w:tc>
          <w:tcPr>
            <w:tcW w:w="1040" w:type="dxa"/>
            <w:tcBorders>
              <w:top w:val="nil"/>
              <w:left w:val="nil"/>
              <w:bottom w:val="single" w:sz="4" w:space="0" w:color="auto"/>
              <w:right w:val="single" w:sz="4" w:space="0" w:color="auto"/>
            </w:tcBorders>
            <w:shd w:val="clear" w:color="000000" w:fill="FFFFFF"/>
            <w:noWrap/>
            <w:vAlign w:val="bottom"/>
            <w:hideMark/>
          </w:tcPr>
          <w:p w14:paraId="43ED51E6" w14:textId="77777777" w:rsidR="00C1077F" w:rsidRPr="00C1077F" w:rsidRDefault="00C1077F" w:rsidP="00C1077F">
            <w:pPr>
              <w:spacing w:after="0"/>
              <w:jc w:val="left"/>
              <w:rPr>
                <w:rFonts w:ascii="Calibri" w:eastAsia="Times New Roman" w:hAnsi="Calibri" w:cs="Calibri"/>
                <w:sz w:val="20"/>
                <w:szCs w:val="20"/>
                <w:lang w:eastAsia="it-IT"/>
              </w:rPr>
            </w:pPr>
            <w:r w:rsidRPr="00C1077F">
              <w:rPr>
                <w:rFonts w:ascii="Calibri" w:eastAsia="Times New Roman" w:hAnsi="Calibri" w:cs="Calibri"/>
                <w:sz w:val="20"/>
                <w:szCs w:val="20"/>
                <w:lang w:eastAsia="it-IT"/>
              </w:rPr>
              <w:t> </w:t>
            </w:r>
          </w:p>
        </w:tc>
      </w:tr>
    </w:tbl>
    <w:p w14:paraId="095DE8F2" w14:textId="77777777" w:rsidR="00E87F04" w:rsidRPr="00E87F04" w:rsidRDefault="00E87F04" w:rsidP="00E87F04">
      <w:pPr>
        <w:pStyle w:val="Fontetabellagrafico"/>
        <w:spacing w:before="60"/>
        <w:rPr>
          <w:sz w:val="20"/>
          <w:szCs w:val="20"/>
        </w:rPr>
      </w:pPr>
      <w:r w:rsidRPr="00E87F04">
        <w:rPr>
          <w:sz w:val="20"/>
          <w:szCs w:val="20"/>
        </w:rPr>
        <w:t>Fonte: Crea, Banca Dati dei Valori Fondiari.</w:t>
      </w:r>
    </w:p>
    <w:p w14:paraId="7F74D7CF" w14:textId="72BE502C" w:rsidR="00C1077F" w:rsidRPr="00E87F04" w:rsidRDefault="00E87F04" w:rsidP="00E87F04">
      <w:pPr>
        <w:pStyle w:val="Fontetabellagrafico"/>
        <w:spacing w:before="60"/>
        <w:rPr>
          <w:sz w:val="20"/>
          <w:szCs w:val="20"/>
        </w:rPr>
      </w:pPr>
      <w:r w:rsidRPr="00E87F04">
        <w:rPr>
          <w:sz w:val="20"/>
          <w:szCs w:val="20"/>
        </w:rPr>
        <w:t>NB: I dati presenti in questa tabella non sono confrontabili con quelli pubblicati negli anni precedenti a seguito di un aggiornamento della Banca dati dei valori fondiari</w:t>
      </w:r>
    </w:p>
    <w:p w14:paraId="07E88A8D" w14:textId="76FB94A3" w:rsidR="009D021B" w:rsidRDefault="009D021B" w:rsidP="00417924"/>
    <w:p w14:paraId="2C82382A" w14:textId="1AB15BFB" w:rsidR="006561B9" w:rsidRDefault="006561B9" w:rsidP="00417924"/>
    <w:p w14:paraId="212272EB" w14:textId="419F66D4" w:rsidR="006561B9" w:rsidRDefault="006561B9" w:rsidP="00417924"/>
    <w:p w14:paraId="1B38BB78" w14:textId="77777777" w:rsidR="006561B9" w:rsidRDefault="006561B9" w:rsidP="00417924"/>
    <w:p w14:paraId="02202FCA" w14:textId="64CE69A3" w:rsidR="009D021B" w:rsidRPr="000549E0" w:rsidRDefault="009D021B" w:rsidP="009D021B">
      <w:pPr>
        <w:pStyle w:val="Titolotab-grafReport"/>
        <w:numPr>
          <w:ilvl w:val="0"/>
          <w:numId w:val="0"/>
        </w:numPr>
        <w:spacing w:before="120" w:after="120"/>
      </w:pPr>
      <w:r>
        <w:t xml:space="preserve">Figura </w:t>
      </w:r>
      <w:r>
        <w:rPr>
          <w:noProof/>
        </w:rPr>
        <w:fldChar w:fldCharType="begin"/>
      </w:r>
      <w:r>
        <w:rPr>
          <w:noProof/>
        </w:rPr>
        <w:instrText xml:space="preserve"> SEQ Figura \* ARABIC </w:instrText>
      </w:r>
      <w:r>
        <w:rPr>
          <w:noProof/>
        </w:rPr>
        <w:fldChar w:fldCharType="separate"/>
      </w:r>
      <w:r w:rsidR="00207119">
        <w:rPr>
          <w:noProof/>
        </w:rPr>
        <w:t>4.1</w:t>
      </w:r>
      <w:r>
        <w:rPr>
          <w:noProof/>
        </w:rPr>
        <w:fldChar w:fldCharType="end"/>
      </w:r>
      <w:r>
        <w:t xml:space="preserve"> </w:t>
      </w:r>
      <w:r w:rsidR="00E87F04" w:rsidRPr="00E87F04">
        <w:t>Confronto tra compravendite di terreni agricoli e credito per l'acquisto di immobili rurali (in migliaia di euro)</w:t>
      </w:r>
    </w:p>
    <w:p w14:paraId="33BC8A69" w14:textId="5B831239" w:rsidR="00417924" w:rsidRDefault="00417924" w:rsidP="00417924">
      <w:r>
        <w:rPr>
          <w:noProof/>
        </w:rPr>
        <w:drawing>
          <wp:inline distT="0" distB="0" distL="0" distR="0" wp14:anchorId="38E69B5E" wp14:editId="1CD6BC65">
            <wp:extent cx="5015868" cy="3308350"/>
            <wp:effectExtent l="0" t="0" r="0" b="635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35243" cy="3321129"/>
                    </a:xfrm>
                    <a:prstGeom prst="rect">
                      <a:avLst/>
                    </a:prstGeom>
                    <a:noFill/>
                    <a:ln>
                      <a:noFill/>
                    </a:ln>
                  </pic:spPr>
                </pic:pic>
              </a:graphicData>
            </a:graphic>
          </wp:inline>
        </w:drawing>
      </w:r>
    </w:p>
    <w:p w14:paraId="4E5EEEB2" w14:textId="37A5A4B9" w:rsidR="009D021B" w:rsidRDefault="009D021B" w:rsidP="009D021B">
      <w:pPr>
        <w:pStyle w:val="Fontetabellagrafico"/>
        <w:spacing w:before="60"/>
        <w:rPr>
          <w:sz w:val="20"/>
          <w:szCs w:val="20"/>
        </w:rPr>
      </w:pPr>
      <w:r w:rsidRPr="008846B0">
        <w:rPr>
          <w:sz w:val="20"/>
          <w:szCs w:val="20"/>
        </w:rPr>
        <w:t xml:space="preserve">Fonte: </w:t>
      </w:r>
      <w:r w:rsidRPr="009D021B">
        <w:rPr>
          <w:sz w:val="20"/>
          <w:szCs w:val="20"/>
        </w:rPr>
        <w:t>Istat, Attività notarile; Banca d'Italia, Bollettino statistico</w:t>
      </w:r>
    </w:p>
    <w:p w14:paraId="68AD1C2E" w14:textId="75063246" w:rsidR="009D021B" w:rsidRDefault="009D021B" w:rsidP="009D021B">
      <w:pPr>
        <w:pStyle w:val="Fontetabellagrafico"/>
        <w:spacing w:before="60"/>
        <w:rPr>
          <w:sz w:val="20"/>
          <w:szCs w:val="20"/>
        </w:rPr>
      </w:pPr>
    </w:p>
    <w:p w14:paraId="09C3A17E" w14:textId="31170E34" w:rsidR="006561B9" w:rsidRDefault="006561B9" w:rsidP="009D021B">
      <w:pPr>
        <w:pStyle w:val="Fontetabellagrafico"/>
        <w:spacing w:before="60"/>
        <w:rPr>
          <w:sz w:val="20"/>
          <w:szCs w:val="20"/>
        </w:rPr>
      </w:pPr>
    </w:p>
    <w:p w14:paraId="5C88B9E7" w14:textId="0450CB08" w:rsidR="006561B9" w:rsidRDefault="006561B9" w:rsidP="009D021B">
      <w:pPr>
        <w:pStyle w:val="Fontetabellagrafico"/>
        <w:spacing w:before="60"/>
        <w:rPr>
          <w:sz w:val="20"/>
          <w:szCs w:val="20"/>
        </w:rPr>
      </w:pPr>
    </w:p>
    <w:p w14:paraId="2A89ABE7" w14:textId="77777777" w:rsidR="006561B9" w:rsidRDefault="006561B9" w:rsidP="009D021B">
      <w:pPr>
        <w:pStyle w:val="Fontetabellagrafico"/>
        <w:spacing w:before="60"/>
        <w:rPr>
          <w:sz w:val="20"/>
          <w:szCs w:val="20"/>
        </w:rPr>
      </w:pPr>
    </w:p>
    <w:p w14:paraId="5BCF7EB6" w14:textId="667229FE" w:rsidR="00807795" w:rsidRDefault="00E87F04" w:rsidP="00E87F04">
      <w:pPr>
        <w:pStyle w:val="Titolotab-grafReport"/>
        <w:numPr>
          <w:ilvl w:val="0"/>
          <w:numId w:val="0"/>
        </w:numPr>
        <w:spacing w:after="120"/>
        <w:rPr>
          <w:lang w:eastAsia="it-IT"/>
        </w:rPr>
      </w:pPr>
      <w:r w:rsidRPr="00473AC9">
        <w:lastRenderedPageBreak/>
        <w:t xml:space="preserve">Tabella </w:t>
      </w:r>
      <w:r w:rsidR="00207119">
        <w:rPr>
          <w:noProof/>
        </w:rPr>
        <w:t>4.2</w:t>
      </w:r>
      <w:r w:rsidRPr="00DD2517">
        <w:t xml:space="preserve"> </w:t>
      </w:r>
      <w:r w:rsidRPr="00E87F04">
        <w:rPr>
          <w:lang w:eastAsia="it-IT"/>
        </w:rPr>
        <w:t>Aziende e Sau per titolo di possesso dei terreni nel 2016</w:t>
      </w:r>
    </w:p>
    <w:tbl>
      <w:tblPr>
        <w:tblW w:w="5000" w:type="pct"/>
        <w:tblCellMar>
          <w:left w:w="70" w:type="dxa"/>
          <w:right w:w="70" w:type="dxa"/>
        </w:tblCellMar>
        <w:tblLook w:val="04A0" w:firstRow="1" w:lastRow="0" w:firstColumn="1" w:lastColumn="0" w:noHBand="0" w:noVBand="1"/>
      </w:tblPr>
      <w:tblGrid>
        <w:gridCol w:w="2275"/>
        <w:gridCol w:w="1223"/>
        <w:gridCol w:w="1238"/>
        <w:gridCol w:w="1223"/>
        <w:gridCol w:w="1223"/>
        <w:gridCol w:w="1223"/>
        <w:gridCol w:w="1223"/>
      </w:tblGrid>
      <w:tr w:rsidR="00807795" w:rsidRPr="00807795" w14:paraId="54C0B367" w14:textId="77777777" w:rsidTr="006561B9">
        <w:trPr>
          <w:trHeight w:val="280"/>
        </w:trPr>
        <w:tc>
          <w:tcPr>
            <w:tcW w:w="1182"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23CED00" w14:textId="77777777" w:rsidR="00807795" w:rsidRPr="00807795" w:rsidRDefault="00807795" w:rsidP="006561B9">
            <w:pPr>
              <w:spacing w:before="100" w:beforeAutospacing="1" w:after="100" w:afterAutospacing="1"/>
              <w:jc w:val="left"/>
              <w:rPr>
                <w:rFonts w:ascii="Calibri" w:eastAsia="Times New Roman" w:hAnsi="Calibri" w:cs="Calibri"/>
                <w:b/>
                <w:bCs/>
                <w:color w:val="444444"/>
                <w:sz w:val="20"/>
                <w:szCs w:val="20"/>
                <w:lang w:eastAsia="it-IT"/>
              </w:rPr>
            </w:pPr>
            <w:r w:rsidRPr="00807795">
              <w:rPr>
                <w:rFonts w:ascii="Calibri" w:eastAsia="Times New Roman" w:hAnsi="Calibri" w:cs="Calibri"/>
                <w:b/>
                <w:bCs/>
                <w:color w:val="444444"/>
                <w:sz w:val="20"/>
                <w:szCs w:val="20"/>
                <w:lang w:eastAsia="it-IT"/>
              </w:rPr>
              <w:t> </w:t>
            </w:r>
          </w:p>
        </w:tc>
        <w:tc>
          <w:tcPr>
            <w:tcW w:w="1278" w:type="pct"/>
            <w:gridSpan w:val="2"/>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365CED85" w14:textId="77777777" w:rsidR="00807795" w:rsidRPr="00807795" w:rsidRDefault="00807795" w:rsidP="006561B9">
            <w:pPr>
              <w:spacing w:before="100" w:beforeAutospacing="1" w:after="100" w:afterAutospacing="1"/>
              <w:jc w:val="center"/>
              <w:rPr>
                <w:rFonts w:ascii="Calibri" w:eastAsia="Times New Roman" w:hAnsi="Calibri" w:cs="Calibri"/>
                <w:b/>
                <w:bCs/>
                <w:color w:val="444444"/>
                <w:sz w:val="20"/>
                <w:szCs w:val="20"/>
                <w:lang w:eastAsia="it-IT"/>
              </w:rPr>
            </w:pPr>
            <w:r w:rsidRPr="00807795">
              <w:rPr>
                <w:rFonts w:ascii="Calibri" w:eastAsia="Times New Roman" w:hAnsi="Calibri" w:cs="Calibri"/>
                <w:b/>
                <w:bCs/>
                <w:color w:val="444444"/>
                <w:sz w:val="20"/>
                <w:szCs w:val="20"/>
                <w:lang w:eastAsia="it-IT"/>
              </w:rPr>
              <w:t>VA</w:t>
            </w:r>
          </w:p>
        </w:tc>
        <w:tc>
          <w:tcPr>
            <w:tcW w:w="1270" w:type="pct"/>
            <w:gridSpan w:val="2"/>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2610DCF6" w14:textId="77777777" w:rsidR="00807795" w:rsidRPr="00807795" w:rsidRDefault="00807795" w:rsidP="006561B9">
            <w:pPr>
              <w:spacing w:before="100" w:beforeAutospacing="1" w:after="100" w:afterAutospacing="1"/>
              <w:jc w:val="center"/>
              <w:rPr>
                <w:rFonts w:ascii="Calibri" w:eastAsia="Times New Roman" w:hAnsi="Calibri" w:cs="Calibri"/>
                <w:b/>
                <w:bCs/>
                <w:color w:val="444444"/>
                <w:sz w:val="20"/>
                <w:szCs w:val="20"/>
                <w:lang w:eastAsia="it-IT"/>
              </w:rPr>
            </w:pPr>
            <w:r w:rsidRPr="00807795">
              <w:rPr>
                <w:rFonts w:ascii="Calibri" w:eastAsia="Times New Roman" w:hAnsi="Calibri" w:cs="Calibri"/>
                <w:b/>
                <w:bCs/>
                <w:color w:val="444444"/>
                <w:sz w:val="20"/>
                <w:szCs w:val="20"/>
                <w:lang w:eastAsia="it-IT"/>
              </w:rPr>
              <w:t>     In % su totale</w:t>
            </w:r>
          </w:p>
        </w:tc>
        <w:tc>
          <w:tcPr>
            <w:tcW w:w="1270" w:type="pct"/>
            <w:gridSpan w:val="2"/>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6FF99471" w14:textId="77777777" w:rsidR="00807795" w:rsidRPr="00807795" w:rsidRDefault="00807795" w:rsidP="006561B9">
            <w:pPr>
              <w:spacing w:before="100" w:beforeAutospacing="1" w:after="100" w:afterAutospacing="1"/>
              <w:jc w:val="center"/>
              <w:rPr>
                <w:rFonts w:ascii="Calibri" w:eastAsia="Times New Roman" w:hAnsi="Calibri" w:cs="Calibri"/>
                <w:b/>
                <w:bCs/>
                <w:color w:val="444444"/>
                <w:sz w:val="20"/>
                <w:szCs w:val="20"/>
                <w:lang w:eastAsia="it-IT"/>
              </w:rPr>
            </w:pPr>
            <w:r w:rsidRPr="00807795">
              <w:rPr>
                <w:rFonts w:ascii="Calibri" w:eastAsia="Times New Roman" w:hAnsi="Calibri" w:cs="Calibri"/>
                <w:b/>
                <w:bCs/>
                <w:color w:val="444444"/>
                <w:sz w:val="20"/>
                <w:szCs w:val="20"/>
                <w:lang w:eastAsia="it-IT"/>
              </w:rPr>
              <w:t> 2016/2010 in %</w:t>
            </w:r>
          </w:p>
        </w:tc>
      </w:tr>
      <w:tr w:rsidR="00807795" w:rsidRPr="00807795" w14:paraId="7EDCD0D2" w14:textId="77777777" w:rsidTr="006561B9">
        <w:trPr>
          <w:trHeight w:val="280"/>
        </w:trPr>
        <w:tc>
          <w:tcPr>
            <w:tcW w:w="1182" w:type="pct"/>
            <w:tcBorders>
              <w:top w:val="nil"/>
              <w:left w:val="single" w:sz="4" w:space="0" w:color="auto"/>
              <w:bottom w:val="single" w:sz="4" w:space="0" w:color="auto"/>
              <w:right w:val="single" w:sz="4" w:space="0" w:color="auto"/>
            </w:tcBorders>
            <w:shd w:val="clear" w:color="auto" w:fill="C6D9F1" w:themeFill="text2" w:themeFillTint="33"/>
            <w:vAlign w:val="center"/>
            <w:hideMark/>
          </w:tcPr>
          <w:p w14:paraId="7FAF5619" w14:textId="77777777" w:rsidR="00807795" w:rsidRPr="00807795" w:rsidRDefault="00807795" w:rsidP="006561B9">
            <w:pPr>
              <w:spacing w:before="100" w:beforeAutospacing="1" w:after="100" w:afterAutospacing="1"/>
              <w:jc w:val="left"/>
              <w:rPr>
                <w:rFonts w:ascii="Calibri" w:eastAsia="Times New Roman" w:hAnsi="Calibri" w:cs="Calibri"/>
                <w:b/>
                <w:bCs/>
                <w:color w:val="444444"/>
                <w:sz w:val="20"/>
                <w:szCs w:val="20"/>
                <w:lang w:eastAsia="it-IT"/>
              </w:rPr>
            </w:pPr>
            <w:r w:rsidRPr="00807795">
              <w:rPr>
                <w:rFonts w:ascii="Calibri" w:eastAsia="Times New Roman" w:hAnsi="Calibri" w:cs="Calibri"/>
                <w:b/>
                <w:bCs/>
                <w:color w:val="444444"/>
                <w:sz w:val="20"/>
                <w:szCs w:val="20"/>
                <w:lang w:eastAsia="it-IT"/>
              </w:rPr>
              <w:t> </w:t>
            </w:r>
          </w:p>
        </w:tc>
        <w:tc>
          <w:tcPr>
            <w:tcW w:w="635" w:type="pct"/>
            <w:tcBorders>
              <w:top w:val="nil"/>
              <w:left w:val="nil"/>
              <w:bottom w:val="single" w:sz="4" w:space="0" w:color="auto"/>
              <w:right w:val="single" w:sz="4" w:space="0" w:color="auto"/>
            </w:tcBorders>
            <w:shd w:val="clear" w:color="auto" w:fill="C6D9F1" w:themeFill="text2" w:themeFillTint="33"/>
            <w:vAlign w:val="center"/>
            <w:hideMark/>
          </w:tcPr>
          <w:p w14:paraId="0486FB91" w14:textId="77777777" w:rsidR="00807795" w:rsidRPr="00807795" w:rsidRDefault="00807795" w:rsidP="006561B9">
            <w:pPr>
              <w:spacing w:before="100" w:beforeAutospacing="1" w:after="100" w:afterAutospacing="1"/>
              <w:jc w:val="center"/>
              <w:rPr>
                <w:rFonts w:ascii="Calibri" w:eastAsia="Times New Roman" w:hAnsi="Calibri" w:cs="Calibri"/>
                <w:b/>
                <w:bCs/>
                <w:color w:val="444444"/>
                <w:sz w:val="20"/>
                <w:szCs w:val="20"/>
                <w:lang w:eastAsia="it-IT"/>
              </w:rPr>
            </w:pPr>
            <w:r w:rsidRPr="00807795">
              <w:rPr>
                <w:rFonts w:ascii="Calibri" w:eastAsia="Times New Roman" w:hAnsi="Calibri" w:cs="Calibri"/>
                <w:b/>
                <w:bCs/>
                <w:color w:val="444444"/>
                <w:sz w:val="20"/>
                <w:szCs w:val="20"/>
                <w:lang w:eastAsia="it-IT"/>
              </w:rPr>
              <w:t>Aziende</w:t>
            </w:r>
          </w:p>
        </w:tc>
        <w:tc>
          <w:tcPr>
            <w:tcW w:w="643" w:type="pct"/>
            <w:tcBorders>
              <w:top w:val="nil"/>
              <w:left w:val="nil"/>
              <w:bottom w:val="single" w:sz="4" w:space="0" w:color="auto"/>
              <w:right w:val="single" w:sz="4" w:space="0" w:color="auto"/>
            </w:tcBorders>
            <w:shd w:val="clear" w:color="auto" w:fill="C6D9F1" w:themeFill="text2" w:themeFillTint="33"/>
            <w:vAlign w:val="center"/>
            <w:hideMark/>
          </w:tcPr>
          <w:p w14:paraId="496D8E2A" w14:textId="77777777" w:rsidR="00807795" w:rsidRPr="00807795" w:rsidRDefault="00807795" w:rsidP="006561B9">
            <w:pPr>
              <w:spacing w:before="100" w:beforeAutospacing="1" w:after="100" w:afterAutospacing="1"/>
              <w:jc w:val="center"/>
              <w:rPr>
                <w:rFonts w:ascii="Calibri" w:eastAsia="Times New Roman" w:hAnsi="Calibri" w:cs="Calibri"/>
                <w:b/>
                <w:bCs/>
                <w:color w:val="444444"/>
                <w:sz w:val="20"/>
                <w:szCs w:val="20"/>
                <w:lang w:eastAsia="it-IT"/>
              </w:rPr>
            </w:pPr>
            <w:r w:rsidRPr="00807795">
              <w:rPr>
                <w:rFonts w:ascii="Calibri" w:eastAsia="Times New Roman" w:hAnsi="Calibri" w:cs="Calibri"/>
                <w:b/>
                <w:bCs/>
                <w:color w:val="444444"/>
                <w:sz w:val="20"/>
                <w:szCs w:val="20"/>
                <w:lang w:eastAsia="it-IT"/>
              </w:rPr>
              <w:t>Sau2</w:t>
            </w:r>
          </w:p>
        </w:tc>
        <w:tc>
          <w:tcPr>
            <w:tcW w:w="635" w:type="pct"/>
            <w:tcBorders>
              <w:top w:val="nil"/>
              <w:left w:val="nil"/>
              <w:bottom w:val="single" w:sz="4" w:space="0" w:color="auto"/>
              <w:right w:val="single" w:sz="4" w:space="0" w:color="auto"/>
            </w:tcBorders>
            <w:shd w:val="clear" w:color="auto" w:fill="C6D9F1" w:themeFill="text2" w:themeFillTint="33"/>
            <w:vAlign w:val="center"/>
            <w:hideMark/>
          </w:tcPr>
          <w:p w14:paraId="0AF3CCB5" w14:textId="77777777" w:rsidR="00807795" w:rsidRPr="00807795" w:rsidRDefault="00807795" w:rsidP="006561B9">
            <w:pPr>
              <w:spacing w:before="100" w:beforeAutospacing="1" w:after="100" w:afterAutospacing="1"/>
              <w:jc w:val="center"/>
              <w:rPr>
                <w:rFonts w:ascii="Calibri" w:eastAsia="Times New Roman" w:hAnsi="Calibri" w:cs="Calibri"/>
                <w:b/>
                <w:bCs/>
                <w:color w:val="444444"/>
                <w:sz w:val="20"/>
                <w:szCs w:val="20"/>
                <w:lang w:eastAsia="it-IT"/>
              </w:rPr>
            </w:pPr>
            <w:r w:rsidRPr="00807795">
              <w:rPr>
                <w:rFonts w:ascii="Calibri" w:eastAsia="Times New Roman" w:hAnsi="Calibri" w:cs="Calibri"/>
                <w:b/>
                <w:bCs/>
                <w:color w:val="444444"/>
                <w:sz w:val="20"/>
                <w:szCs w:val="20"/>
                <w:lang w:eastAsia="it-IT"/>
              </w:rPr>
              <w:t>Aziende</w:t>
            </w:r>
          </w:p>
        </w:tc>
        <w:tc>
          <w:tcPr>
            <w:tcW w:w="635" w:type="pct"/>
            <w:tcBorders>
              <w:top w:val="nil"/>
              <w:left w:val="nil"/>
              <w:bottom w:val="single" w:sz="4" w:space="0" w:color="auto"/>
              <w:right w:val="single" w:sz="4" w:space="0" w:color="auto"/>
            </w:tcBorders>
            <w:shd w:val="clear" w:color="auto" w:fill="C6D9F1" w:themeFill="text2" w:themeFillTint="33"/>
            <w:vAlign w:val="center"/>
            <w:hideMark/>
          </w:tcPr>
          <w:p w14:paraId="4601015D" w14:textId="77777777" w:rsidR="00807795" w:rsidRPr="00807795" w:rsidRDefault="00807795" w:rsidP="006561B9">
            <w:pPr>
              <w:spacing w:before="100" w:beforeAutospacing="1" w:after="100" w:afterAutospacing="1"/>
              <w:jc w:val="center"/>
              <w:rPr>
                <w:rFonts w:ascii="Calibri" w:eastAsia="Times New Roman" w:hAnsi="Calibri" w:cs="Calibri"/>
                <w:b/>
                <w:bCs/>
                <w:color w:val="444444"/>
                <w:sz w:val="20"/>
                <w:szCs w:val="20"/>
                <w:lang w:eastAsia="it-IT"/>
              </w:rPr>
            </w:pPr>
            <w:r w:rsidRPr="00807795">
              <w:rPr>
                <w:rFonts w:ascii="Calibri" w:eastAsia="Times New Roman" w:hAnsi="Calibri" w:cs="Calibri"/>
                <w:b/>
                <w:bCs/>
                <w:color w:val="444444"/>
                <w:sz w:val="20"/>
                <w:szCs w:val="20"/>
                <w:lang w:eastAsia="it-IT"/>
              </w:rPr>
              <w:t>Sau</w:t>
            </w:r>
          </w:p>
        </w:tc>
        <w:tc>
          <w:tcPr>
            <w:tcW w:w="635" w:type="pct"/>
            <w:tcBorders>
              <w:top w:val="nil"/>
              <w:left w:val="nil"/>
              <w:bottom w:val="single" w:sz="4" w:space="0" w:color="auto"/>
              <w:right w:val="single" w:sz="4" w:space="0" w:color="auto"/>
            </w:tcBorders>
            <w:shd w:val="clear" w:color="auto" w:fill="C6D9F1" w:themeFill="text2" w:themeFillTint="33"/>
            <w:vAlign w:val="center"/>
            <w:hideMark/>
          </w:tcPr>
          <w:p w14:paraId="2F9E1CCF" w14:textId="77777777" w:rsidR="00807795" w:rsidRPr="00807795" w:rsidRDefault="00807795" w:rsidP="006561B9">
            <w:pPr>
              <w:spacing w:before="100" w:beforeAutospacing="1" w:after="100" w:afterAutospacing="1"/>
              <w:jc w:val="center"/>
              <w:rPr>
                <w:rFonts w:ascii="Calibri" w:eastAsia="Times New Roman" w:hAnsi="Calibri" w:cs="Calibri"/>
                <w:b/>
                <w:bCs/>
                <w:color w:val="444444"/>
                <w:sz w:val="20"/>
                <w:szCs w:val="20"/>
                <w:lang w:eastAsia="it-IT"/>
              </w:rPr>
            </w:pPr>
            <w:r w:rsidRPr="00807795">
              <w:rPr>
                <w:rFonts w:ascii="Calibri" w:eastAsia="Times New Roman" w:hAnsi="Calibri" w:cs="Calibri"/>
                <w:b/>
                <w:bCs/>
                <w:color w:val="444444"/>
                <w:sz w:val="20"/>
                <w:szCs w:val="20"/>
                <w:lang w:eastAsia="it-IT"/>
              </w:rPr>
              <w:t>Aziende</w:t>
            </w:r>
          </w:p>
        </w:tc>
        <w:tc>
          <w:tcPr>
            <w:tcW w:w="634" w:type="pct"/>
            <w:tcBorders>
              <w:top w:val="nil"/>
              <w:left w:val="nil"/>
              <w:bottom w:val="single" w:sz="4" w:space="0" w:color="auto"/>
              <w:right w:val="single" w:sz="4" w:space="0" w:color="auto"/>
            </w:tcBorders>
            <w:shd w:val="clear" w:color="auto" w:fill="C6D9F1" w:themeFill="text2" w:themeFillTint="33"/>
            <w:vAlign w:val="center"/>
            <w:hideMark/>
          </w:tcPr>
          <w:p w14:paraId="5FC40ABD" w14:textId="77777777" w:rsidR="00807795" w:rsidRPr="00807795" w:rsidRDefault="00807795" w:rsidP="006561B9">
            <w:pPr>
              <w:spacing w:before="100" w:beforeAutospacing="1" w:after="100" w:afterAutospacing="1"/>
              <w:jc w:val="center"/>
              <w:rPr>
                <w:rFonts w:ascii="Calibri" w:eastAsia="Times New Roman" w:hAnsi="Calibri" w:cs="Calibri"/>
                <w:b/>
                <w:bCs/>
                <w:color w:val="444444"/>
                <w:sz w:val="20"/>
                <w:szCs w:val="20"/>
                <w:lang w:eastAsia="it-IT"/>
              </w:rPr>
            </w:pPr>
            <w:r w:rsidRPr="00807795">
              <w:rPr>
                <w:rFonts w:ascii="Calibri" w:eastAsia="Times New Roman" w:hAnsi="Calibri" w:cs="Calibri"/>
                <w:b/>
                <w:bCs/>
                <w:color w:val="444444"/>
                <w:sz w:val="20"/>
                <w:szCs w:val="20"/>
                <w:lang w:eastAsia="it-IT"/>
              </w:rPr>
              <w:t>Sau</w:t>
            </w:r>
          </w:p>
        </w:tc>
      </w:tr>
      <w:tr w:rsidR="00807795" w:rsidRPr="00807795" w14:paraId="065F79B9" w14:textId="77777777" w:rsidTr="00807795">
        <w:trPr>
          <w:trHeight w:val="364"/>
        </w:trPr>
        <w:tc>
          <w:tcPr>
            <w:tcW w:w="1182"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843F229" w14:textId="77777777" w:rsidR="00807795" w:rsidRPr="006561B9"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6561B9">
              <w:rPr>
                <w:rFonts w:ascii="Calibri" w:eastAsia="Times New Roman" w:hAnsi="Calibri" w:cs="Calibri"/>
                <w:color w:val="444444"/>
                <w:sz w:val="20"/>
                <w:szCs w:val="20"/>
                <w:lang w:eastAsia="it-IT"/>
              </w:rPr>
              <w:t>Solo in proprietà</w:t>
            </w:r>
          </w:p>
        </w:tc>
        <w:tc>
          <w:tcPr>
            <w:tcW w:w="635" w:type="pct"/>
            <w:vMerge w:val="restart"/>
            <w:tcBorders>
              <w:top w:val="nil"/>
              <w:left w:val="single" w:sz="4" w:space="0" w:color="auto"/>
              <w:bottom w:val="single" w:sz="4" w:space="0" w:color="auto"/>
              <w:right w:val="single" w:sz="4" w:space="0" w:color="auto"/>
            </w:tcBorders>
            <w:shd w:val="clear" w:color="000000" w:fill="FFFFFF"/>
            <w:vAlign w:val="center"/>
            <w:hideMark/>
          </w:tcPr>
          <w:p w14:paraId="61AE020F"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712.795</w:t>
            </w:r>
          </w:p>
        </w:tc>
        <w:tc>
          <w:tcPr>
            <w:tcW w:w="643" w:type="pct"/>
            <w:vMerge w:val="restart"/>
            <w:tcBorders>
              <w:top w:val="nil"/>
              <w:left w:val="single" w:sz="4" w:space="0" w:color="auto"/>
              <w:bottom w:val="single" w:sz="4" w:space="0" w:color="auto"/>
              <w:right w:val="single" w:sz="4" w:space="0" w:color="auto"/>
            </w:tcBorders>
            <w:shd w:val="clear" w:color="000000" w:fill="FFFFFF"/>
            <w:vAlign w:val="center"/>
            <w:hideMark/>
          </w:tcPr>
          <w:p w14:paraId="6B91DA54"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4.662.311</w:t>
            </w:r>
          </w:p>
        </w:tc>
        <w:tc>
          <w:tcPr>
            <w:tcW w:w="635" w:type="pct"/>
            <w:vMerge w:val="restart"/>
            <w:tcBorders>
              <w:top w:val="nil"/>
              <w:left w:val="single" w:sz="4" w:space="0" w:color="auto"/>
              <w:bottom w:val="single" w:sz="4" w:space="0" w:color="auto"/>
              <w:right w:val="single" w:sz="4" w:space="0" w:color="auto"/>
            </w:tcBorders>
            <w:shd w:val="clear" w:color="000000" w:fill="FFFFFF"/>
            <w:vAlign w:val="center"/>
            <w:hideMark/>
          </w:tcPr>
          <w:p w14:paraId="5571C366"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62,20%</w:t>
            </w:r>
          </w:p>
        </w:tc>
        <w:tc>
          <w:tcPr>
            <w:tcW w:w="635" w:type="pct"/>
            <w:vMerge w:val="restart"/>
            <w:tcBorders>
              <w:top w:val="nil"/>
              <w:left w:val="single" w:sz="4" w:space="0" w:color="auto"/>
              <w:bottom w:val="single" w:sz="4" w:space="0" w:color="auto"/>
              <w:right w:val="single" w:sz="4" w:space="0" w:color="auto"/>
            </w:tcBorders>
            <w:shd w:val="clear" w:color="000000" w:fill="FFFFFF"/>
            <w:vAlign w:val="center"/>
            <w:hideMark/>
          </w:tcPr>
          <w:p w14:paraId="0861F5B4"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37,00%</w:t>
            </w:r>
          </w:p>
        </w:tc>
        <w:tc>
          <w:tcPr>
            <w:tcW w:w="635" w:type="pct"/>
            <w:vMerge w:val="restart"/>
            <w:tcBorders>
              <w:top w:val="nil"/>
              <w:left w:val="single" w:sz="4" w:space="0" w:color="auto"/>
              <w:bottom w:val="single" w:sz="4" w:space="0" w:color="auto"/>
              <w:right w:val="single" w:sz="4" w:space="0" w:color="auto"/>
            </w:tcBorders>
            <w:shd w:val="clear" w:color="000000" w:fill="FFFFFF"/>
            <w:vAlign w:val="center"/>
            <w:hideMark/>
          </w:tcPr>
          <w:p w14:paraId="311B9F1B"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-40,00%</w:t>
            </w:r>
          </w:p>
        </w:tc>
        <w:tc>
          <w:tcPr>
            <w:tcW w:w="634" w:type="pct"/>
            <w:vMerge w:val="restart"/>
            <w:tcBorders>
              <w:top w:val="nil"/>
              <w:left w:val="single" w:sz="4" w:space="0" w:color="auto"/>
              <w:bottom w:val="single" w:sz="4" w:space="0" w:color="auto"/>
              <w:right w:val="single" w:sz="4" w:space="0" w:color="auto"/>
            </w:tcBorders>
            <w:shd w:val="clear" w:color="000000" w:fill="FFFFFF"/>
            <w:vAlign w:val="center"/>
            <w:hideMark/>
          </w:tcPr>
          <w:p w14:paraId="0BB3A8CD"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-20,00%</w:t>
            </w:r>
          </w:p>
        </w:tc>
      </w:tr>
      <w:tr w:rsidR="00807795" w:rsidRPr="00807795" w14:paraId="789A4092" w14:textId="77777777" w:rsidTr="006561B9">
        <w:trPr>
          <w:trHeight w:val="349"/>
        </w:trPr>
        <w:tc>
          <w:tcPr>
            <w:tcW w:w="1182" w:type="pct"/>
            <w:vMerge/>
            <w:tcBorders>
              <w:top w:val="nil"/>
              <w:left w:val="single" w:sz="4" w:space="0" w:color="auto"/>
              <w:bottom w:val="single" w:sz="4" w:space="0" w:color="000000"/>
              <w:right w:val="single" w:sz="4" w:space="0" w:color="auto"/>
            </w:tcBorders>
            <w:vAlign w:val="center"/>
            <w:hideMark/>
          </w:tcPr>
          <w:p w14:paraId="17CD58FE" w14:textId="77777777" w:rsidR="00807795" w:rsidRPr="006561B9" w:rsidRDefault="00807795" w:rsidP="006561B9">
            <w:pPr>
              <w:spacing w:before="100" w:beforeAutospacing="1" w:after="100" w:afterAutospacing="1"/>
              <w:jc w:val="center"/>
              <w:rPr>
                <w:rFonts w:ascii="Calibri" w:eastAsia="Times New Roman" w:hAnsi="Calibri" w:cs="Calibri"/>
                <w:color w:val="444444"/>
                <w:sz w:val="20"/>
                <w:szCs w:val="20"/>
                <w:lang w:eastAsia="it-IT"/>
              </w:rPr>
            </w:pPr>
          </w:p>
        </w:tc>
        <w:tc>
          <w:tcPr>
            <w:tcW w:w="635" w:type="pct"/>
            <w:vMerge/>
            <w:tcBorders>
              <w:top w:val="nil"/>
              <w:left w:val="single" w:sz="4" w:space="0" w:color="auto"/>
              <w:bottom w:val="single" w:sz="4" w:space="0" w:color="auto"/>
              <w:right w:val="single" w:sz="4" w:space="0" w:color="auto"/>
            </w:tcBorders>
            <w:vAlign w:val="center"/>
            <w:hideMark/>
          </w:tcPr>
          <w:p w14:paraId="3BDBD740"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p>
        </w:tc>
        <w:tc>
          <w:tcPr>
            <w:tcW w:w="643" w:type="pct"/>
            <w:vMerge/>
            <w:tcBorders>
              <w:top w:val="nil"/>
              <w:left w:val="single" w:sz="4" w:space="0" w:color="auto"/>
              <w:bottom w:val="single" w:sz="4" w:space="0" w:color="auto"/>
              <w:right w:val="single" w:sz="4" w:space="0" w:color="auto"/>
            </w:tcBorders>
            <w:vAlign w:val="center"/>
            <w:hideMark/>
          </w:tcPr>
          <w:p w14:paraId="7BDD76F5"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p>
        </w:tc>
        <w:tc>
          <w:tcPr>
            <w:tcW w:w="635" w:type="pct"/>
            <w:vMerge/>
            <w:tcBorders>
              <w:top w:val="nil"/>
              <w:left w:val="single" w:sz="4" w:space="0" w:color="auto"/>
              <w:bottom w:val="single" w:sz="4" w:space="0" w:color="auto"/>
              <w:right w:val="single" w:sz="4" w:space="0" w:color="auto"/>
            </w:tcBorders>
            <w:vAlign w:val="center"/>
            <w:hideMark/>
          </w:tcPr>
          <w:p w14:paraId="7A29847E"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p>
        </w:tc>
        <w:tc>
          <w:tcPr>
            <w:tcW w:w="635" w:type="pct"/>
            <w:vMerge/>
            <w:tcBorders>
              <w:top w:val="nil"/>
              <w:left w:val="single" w:sz="4" w:space="0" w:color="auto"/>
              <w:bottom w:val="single" w:sz="4" w:space="0" w:color="auto"/>
              <w:right w:val="single" w:sz="4" w:space="0" w:color="auto"/>
            </w:tcBorders>
            <w:vAlign w:val="center"/>
            <w:hideMark/>
          </w:tcPr>
          <w:p w14:paraId="25CCE0C4"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p>
        </w:tc>
        <w:tc>
          <w:tcPr>
            <w:tcW w:w="635" w:type="pct"/>
            <w:vMerge/>
            <w:tcBorders>
              <w:top w:val="nil"/>
              <w:left w:val="single" w:sz="4" w:space="0" w:color="auto"/>
              <w:bottom w:val="single" w:sz="4" w:space="0" w:color="auto"/>
              <w:right w:val="single" w:sz="4" w:space="0" w:color="auto"/>
            </w:tcBorders>
            <w:vAlign w:val="center"/>
            <w:hideMark/>
          </w:tcPr>
          <w:p w14:paraId="3FD796F2"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p>
        </w:tc>
        <w:tc>
          <w:tcPr>
            <w:tcW w:w="634" w:type="pct"/>
            <w:vMerge/>
            <w:tcBorders>
              <w:top w:val="nil"/>
              <w:left w:val="single" w:sz="4" w:space="0" w:color="auto"/>
              <w:bottom w:val="single" w:sz="4" w:space="0" w:color="auto"/>
              <w:right w:val="single" w:sz="4" w:space="0" w:color="auto"/>
            </w:tcBorders>
            <w:vAlign w:val="center"/>
            <w:hideMark/>
          </w:tcPr>
          <w:p w14:paraId="4CC6904A"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p>
        </w:tc>
      </w:tr>
      <w:tr w:rsidR="00807795" w:rsidRPr="00807795" w14:paraId="318273EA" w14:textId="77777777" w:rsidTr="00807795">
        <w:trPr>
          <w:trHeight w:val="349"/>
        </w:trPr>
        <w:tc>
          <w:tcPr>
            <w:tcW w:w="1182"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0AC0B23" w14:textId="77777777" w:rsidR="00807795" w:rsidRPr="006561B9"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6561B9">
              <w:rPr>
                <w:rFonts w:ascii="Calibri" w:eastAsia="Times New Roman" w:hAnsi="Calibri" w:cs="Calibri"/>
                <w:color w:val="444444"/>
                <w:sz w:val="20"/>
                <w:szCs w:val="20"/>
                <w:lang w:eastAsia="it-IT"/>
              </w:rPr>
              <w:t>Solo in affitto</w:t>
            </w:r>
          </w:p>
        </w:tc>
        <w:tc>
          <w:tcPr>
            <w:tcW w:w="635" w:type="pct"/>
            <w:vMerge w:val="restart"/>
            <w:tcBorders>
              <w:top w:val="nil"/>
              <w:left w:val="single" w:sz="4" w:space="0" w:color="auto"/>
              <w:bottom w:val="single" w:sz="4" w:space="0" w:color="auto"/>
              <w:right w:val="single" w:sz="4" w:space="0" w:color="auto"/>
            </w:tcBorders>
            <w:shd w:val="clear" w:color="000000" w:fill="FFFFFF"/>
            <w:vAlign w:val="center"/>
            <w:hideMark/>
          </w:tcPr>
          <w:p w14:paraId="73341F58"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150.375</w:t>
            </w:r>
          </w:p>
        </w:tc>
        <w:tc>
          <w:tcPr>
            <w:tcW w:w="643" w:type="pct"/>
            <w:vMerge w:val="restart"/>
            <w:tcBorders>
              <w:top w:val="nil"/>
              <w:left w:val="single" w:sz="4" w:space="0" w:color="auto"/>
              <w:bottom w:val="single" w:sz="4" w:space="0" w:color="auto"/>
              <w:right w:val="single" w:sz="4" w:space="0" w:color="auto"/>
            </w:tcBorders>
            <w:shd w:val="clear" w:color="000000" w:fill="FFFFFF"/>
            <w:vAlign w:val="center"/>
            <w:hideMark/>
          </w:tcPr>
          <w:p w14:paraId="31A366CF"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2.311.254</w:t>
            </w:r>
          </w:p>
        </w:tc>
        <w:tc>
          <w:tcPr>
            <w:tcW w:w="635" w:type="pct"/>
            <w:vMerge w:val="restart"/>
            <w:tcBorders>
              <w:top w:val="nil"/>
              <w:left w:val="single" w:sz="4" w:space="0" w:color="auto"/>
              <w:bottom w:val="single" w:sz="4" w:space="0" w:color="auto"/>
              <w:right w:val="single" w:sz="4" w:space="0" w:color="auto"/>
            </w:tcBorders>
            <w:shd w:val="clear" w:color="000000" w:fill="FFFFFF"/>
            <w:vAlign w:val="center"/>
            <w:hideMark/>
          </w:tcPr>
          <w:p w14:paraId="64ABE625"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13,10%</w:t>
            </w:r>
          </w:p>
        </w:tc>
        <w:tc>
          <w:tcPr>
            <w:tcW w:w="635" w:type="pct"/>
            <w:vMerge w:val="restart"/>
            <w:tcBorders>
              <w:top w:val="nil"/>
              <w:left w:val="single" w:sz="4" w:space="0" w:color="auto"/>
              <w:bottom w:val="single" w:sz="4" w:space="0" w:color="auto"/>
              <w:right w:val="single" w:sz="4" w:space="0" w:color="auto"/>
            </w:tcBorders>
            <w:shd w:val="clear" w:color="000000" w:fill="FFFFFF"/>
            <w:vAlign w:val="center"/>
            <w:hideMark/>
          </w:tcPr>
          <w:p w14:paraId="31A8F634"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18,30%</w:t>
            </w:r>
          </w:p>
        </w:tc>
        <w:tc>
          <w:tcPr>
            <w:tcW w:w="635" w:type="pct"/>
            <w:vMerge w:val="restart"/>
            <w:tcBorders>
              <w:top w:val="nil"/>
              <w:left w:val="single" w:sz="4" w:space="0" w:color="auto"/>
              <w:bottom w:val="single" w:sz="4" w:space="0" w:color="auto"/>
              <w:right w:val="single" w:sz="4" w:space="0" w:color="auto"/>
            </w:tcBorders>
            <w:shd w:val="clear" w:color="000000" w:fill="FFFFFF"/>
            <w:vAlign w:val="center"/>
            <w:hideMark/>
          </w:tcPr>
          <w:p w14:paraId="39F9FDC9"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4,30%</w:t>
            </w:r>
          </w:p>
        </w:tc>
        <w:tc>
          <w:tcPr>
            <w:tcW w:w="634" w:type="pct"/>
            <w:vMerge w:val="restart"/>
            <w:tcBorders>
              <w:top w:val="nil"/>
              <w:left w:val="single" w:sz="4" w:space="0" w:color="auto"/>
              <w:bottom w:val="single" w:sz="4" w:space="0" w:color="auto"/>
              <w:right w:val="single" w:sz="4" w:space="0" w:color="auto"/>
            </w:tcBorders>
            <w:shd w:val="clear" w:color="000000" w:fill="FFFFFF"/>
            <w:vAlign w:val="center"/>
            <w:hideMark/>
          </w:tcPr>
          <w:p w14:paraId="4689DA24"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14,90%</w:t>
            </w:r>
          </w:p>
        </w:tc>
      </w:tr>
      <w:tr w:rsidR="00807795" w:rsidRPr="00807795" w14:paraId="6DF73B09" w14:textId="77777777" w:rsidTr="006561B9">
        <w:trPr>
          <w:trHeight w:val="349"/>
        </w:trPr>
        <w:tc>
          <w:tcPr>
            <w:tcW w:w="1182" w:type="pct"/>
            <w:vMerge/>
            <w:tcBorders>
              <w:top w:val="nil"/>
              <w:left w:val="single" w:sz="4" w:space="0" w:color="auto"/>
              <w:bottom w:val="single" w:sz="4" w:space="0" w:color="000000"/>
              <w:right w:val="single" w:sz="4" w:space="0" w:color="auto"/>
            </w:tcBorders>
            <w:vAlign w:val="center"/>
            <w:hideMark/>
          </w:tcPr>
          <w:p w14:paraId="74A5B3DE" w14:textId="77777777" w:rsidR="00807795" w:rsidRPr="006561B9" w:rsidRDefault="00807795" w:rsidP="006561B9">
            <w:pPr>
              <w:spacing w:before="100" w:beforeAutospacing="1" w:after="100" w:afterAutospacing="1"/>
              <w:jc w:val="center"/>
              <w:rPr>
                <w:rFonts w:ascii="Calibri" w:eastAsia="Times New Roman" w:hAnsi="Calibri" w:cs="Calibri"/>
                <w:color w:val="444444"/>
                <w:sz w:val="20"/>
                <w:szCs w:val="20"/>
                <w:lang w:eastAsia="it-IT"/>
              </w:rPr>
            </w:pPr>
          </w:p>
        </w:tc>
        <w:tc>
          <w:tcPr>
            <w:tcW w:w="635" w:type="pct"/>
            <w:vMerge/>
            <w:tcBorders>
              <w:top w:val="nil"/>
              <w:left w:val="single" w:sz="4" w:space="0" w:color="auto"/>
              <w:bottom w:val="single" w:sz="4" w:space="0" w:color="auto"/>
              <w:right w:val="single" w:sz="4" w:space="0" w:color="auto"/>
            </w:tcBorders>
            <w:vAlign w:val="center"/>
            <w:hideMark/>
          </w:tcPr>
          <w:p w14:paraId="13F24004"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p>
        </w:tc>
        <w:tc>
          <w:tcPr>
            <w:tcW w:w="643" w:type="pct"/>
            <w:vMerge/>
            <w:tcBorders>
              <w:top w:val="nil"/>
              <w:left w:val="single" w:sz="4" w:space="0" w:color="auto"/>
              <w:bottom w:val="single" w:sz="4" w:space="0" w:color="auto"/>
              <w:right w:val="single" w:sz="4" w:space="0" w:color="auto"/>
            </w:tcBorders>
            <w:vAlign w:val="center"/>
            <w:hideMark/>
          </w:tcPr>
          <w:p w14:paraId="4F8E9060"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p>
        </w:tc>
        <w:tc>
          <w:tcPr>
            <w:tcW w:w="635" w:type="pct"/>
            <w:vMerge/>
            <w:tcBorders>
              <w:top w:val="nil"/>
              <w:left w:val="single" w:sz="4" w:space="0" w:color="auto"/>
              <w:bottom w:val="single" w:sz="4" w:space="0" w:color="auto"/>
              <w:right w:val="single" w:sz="4" w:space="0" w:color="auto"/>
            </w:tcBorders>
            <w:vAlign w:val="center"/>
            <w:hideMark/>
          </w:tcPr>
          <w:p w14:paraId="2B45922F"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p>
        </w:tc>
        <w:tc>
          <w:tcPr>
            <w:tcW w:w="635" w:type="pct"/>
            <w:vMerge/>
            <w:tcBorders>
              <w:top w:val="nil"/>
              <w:left w:val="single" w:sz="4" w:space="0" w:color="auto"/>
              <w:bottom w:val="single" w:sz="4" w:space="0" w:color="auto"/>
              <w:right w:val="single" w:sz="4" w:space="0" w:color="auto"/>
            </w:tcBorders>
            <w:vAlign w:val="center"/>
            <w:hideMark/>
          </w:tcPr>
          <w:p w14:paraId="2705F0B7"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p>
        </w:tc>
        <w:tc>
          <w:tcPr>
            <w:tcW w:w="635" w:type="pct"/>
            <w:vMerge/>
            <w:tcBorders>
              <w:top w:val="nil"/>
              <w:left w:val="single" w:sz="4" w:space="0" w:color="auto"/>
              <w:bottom w:val="single" w:sz="4" w:space="0" w:color="auto"/>
              <w:right w:val="single" w:sz="4" w:space="0" w:color="auto"/>
            </w:tcBorders>
            <w:vAlign w:val="center"/>
            <w:hideMark/>
          </w:tcPr>
          <w:p w14:paraId="29F05594"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p>
        </w:tc>
        <w:tc>
          <w:tcPr>
            <w:tcW w:w="634" w:type="pct"/>
            <w:vMerge/>
            <w:tcBorders>
              <w:top w:val="nil"/>
              <w:left w:val="single" w:sz="4" w:space="0" w:color="auto"/>
              <w:bottom w:val="single" w:sz="4" w:space="0" w:color="auto"/>
              <w:right w:val="single" w:sz="4" w:space="0" w:color="auto"/>
            </w:tcBorders>
            <w:vAlign w:val="center"/>
            <w:hideMark/>
          </w:tcPr>
          <w:p w14:paraId="040FD1FB"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p>
        </w:tc>
      </w:tr>
      <w:tr w:rsidR="00807795" w:rsidRPr="00807795" w14:paraId="503F77E1" w14:textId="77777777" w:rsidTr="00807795">
        <w:trPr>
          <w:trHeight w:val="349"/>
        </w:trPr>
        <w:tc>
          <w:tcPr>
            <w:tcW w:w="1182"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40A0B298" w14:textId="77777777" w:rsidR="00807795" w:rsidRPr="006561B9"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6561B9">
              <w:rPr>
                <w:rFonts w:ascii="Calibri" w:eastAsia="Times New Roman" w:hAnsi="Calibri" w:cs="Calibri"/>
                <w:color w:val="444444"/>
                <w:sz w:val="20"/>
                <w:szCs w:val="20"/>
                <w:lang w:eastAsia="it-IT"/>
              </w:rPr>
              <w:t>Proprietà e affitto</w:t>
            </w:r>
          </w:p>
        </w:tc>
        <w:tc>
          <w:tcPr>
            <w:tcW w:w="635" w:type="pct"/>
            <w:vMerge w:val="restart"/>
            <w:tcBorders>
              <w:top w:val="nil"/>
              <w:left w:val="single" w:sz="4" w:space="0" w:color="auto"/>
              <w:bottom w:val="single" w:sz="4" w:space="0" w:color="auto"/>
              <w:right w:val="single" w:sz="4" w:space="0" w:color="auto"/>
            </w:tcBorders>
            <w:shd w:val="clear" w:color="000000" w:fill="FFFFFF"/>
            <w:vAlign w:val="center"/>
            <w:hideMark/>
          </w:tcPr>
          <w:p w14:paraId="6FF04177"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280.789</w:t>
            </w:r>
          </w:p>
        </w:tc>
        <w:tc>
          <w:tcPr>
            <w:tcW w:w="643" w:type="pct"/>
            <w:vMerge w:val="restart"/>
            <w:tcBorders>
              <w:top w:val="nil"/>
              <w:left w:val="single" w:sz="4" w:space="0" w:color="auto"/>
              <w:bottom w:val="single" w:sz="4" w:space="0" w:color="auto"/>
              <w:right w:val="single" w:sz="4" w:space="0" w:color="auto"/>
            </w:tcBorders>
            <w:shd w:val="clear" w:color="000000" w:fill="FFFFFF"/>
            <w:vAlign w:val="center"/>
            <w:hideMark/>
          </w:tcPr>
          <w:p w14:paraId="6F0C60AC"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5.624.605</w:t>
            </w:r>
          </w:p>
        </w:tc>
        <w:tc>
          <w:tcPr>
            <w:tcW w:w="635" w:type="pct"/>
            <w:vMerge w:val="restart"/>
            <w:tcBorders>
              <w:top w:val="nil"/>
              <w:left w:val="single" w:sz="4" w:space="0" w:color="auto"/>
              <w:bottom w:val="single" w:sz="4" w:space="0" w:color="auto"/>
              <w:right w:val="single" w:sz="4" w:space="0" w:color="auto"/>
            </w:tcBorders>
            <w:shd w:val="clear" w:color="000000" w:fill="FFFFFF"/>
            <w:vAlign w:val="center"/>
            <w:hideMark/>
          </w:tcPr>
          <w:p w14:paraId="48E59CCC"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24,50%</w:t>
            </w:r>
          </w:p>
        </w:tc>
        <w:tc>
          <w:tcPr>
            <w:tcW w:w="635" w:type="pct"/>
            <w:vMerge w:val="restart"/>
            <w:tcBorders>
              <w:top w:val="nil"/>
              <w:left w:val="single" w:sz="4" w:space="0" w:color="auto"/>
              <w:bottom w:val="single" w:sz="4" w:space="0" w:color="auto"/>
              <w:right w:val="single" w:sz="4" w:space="0" w:color="auto"/>
            </w:tcBorders>
            <w:shd w:val="clear" w:color="000000" w:fill="FFFFFF"/>
            <w:vAlign w:val="center"/>
            <w:hideMark/>
          </w:tcPr>
          <w:p w14:paraId="2BBD10C2"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44,60%</w:t>
            </w:r>
          </w:p>
        </w:tc>
        <w:tc>
          <w:tcPr>
            <w:tcW w:w="635" w:type="pct"/>
            <w:vMerge w:val="restart"/>
            <w:tcBorders>
              <w:top w:val="nil"/>
              <w:left w:val="single" w:sz="4" w:space="0" w:color="auto"/>
              <w:bottom w:val="single" w:sz="4" w:space="0" w:color="auto"/>
              <w:right w:val="single" w:sz="4" w:space="0" w:color="auto"/>
            </w:tcBorders>
            <w:shd w:val="clear" w:color="000000" w:fill="FFFFFF"/>
            <w:vAlign w:val="center"/>
            <w:hideMark/>
          </w:tcPr>
          <w:p w14:paraId="0F38A35E"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-2,30%</w:t>
            </w:r>
          </w:p>
        </w:tc>
        <w:tc>
          <w:tcPr>
            <w:tcW w:w="634" w:type="pct"/>
            <w:vMerge w:val="restart"/>
            <w:tcBorders>
              <w:top w:val="nil"/>
              <w:left w:val="single" w:sz="4" w:space="0" w:color="auto"/>
              <w:bottom w:val="single" w:sz="4" w:space="0" w:color="auto"/>
              <w:right w:val="single" w:sz="4" w:space="0" w:color="auto"/>
            </w:tcBorders>
            <w:shd w:val="clear" w:color="000000" w:fill="FFFFFF"/>
            <w:vAlign w:val="center"/>
            <w:hideMark/>
          </w:tcPr>
          <w:p w14:paraId="0AE00C2B"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12,10%</w:t>
            </w:r>
          </w:p>
        </w:tc>
      </w:tr>
      <w:tr w:rsidR="00807795" w:rsidRPr="00807795" w14:paraId="5F9F2F4E" w14:textId="77777777" w:rsidTr="006561B9">
        <w:trPr>
          <w:trHeight w:val="349"/>
        </w:trPr>
        <w:tc>
          <w:tcPr>
            <w:tcW w:w="1182" w:type="pct"/>
            <w:vMerge/>
            <w:tcBorders>
              <w:top w:val="nil"/>
              <w:left w:val="single" w:sz="4" w:space="0" w:color="auto"/>
              <w:bottom w:val="single" w:sz="4" w:space="0" w:color="000000"/>
              <w:right w:val="single" w:sz="4" w:space="0" w:color="auto"/>
            </w:tcBorders>
            <w:vAlign w:val="center"/>
            <w:hideMark/>
          </w:tcPr>
          <w:p w14:paraId="2DE6DDAA" w14:textId="77777777" w:rsidR="00807795" w:rsidRPr="00807795" w:rsidRDefault="00807795" w:rsidP="006561B9">
            <w:pPr>
              <w:spacing w:before="100" w:beforeAutospacing="1" w:after="100" w:afterAutospacing="1"/>
              <w:jc w:val="left"/>
              <w:rPr>
                <w:rFonts w:ascii="Calibri" w:eastAsia="Times New Roman" w:hAnsi="Calibri" w:cs="Calibri"/>
                <w:b/>
                <w:bCs/>
                <w:color w:val="444444"/>
                <w:sz w:val="20"/>
                <w:szCs w:val="20"/>
                <w:lang w:eastAsia="it-IT"/>
              </w:rPr>
            </w:pPr>
          </w:p>
        </w:tc>
        <w:tc>
          <w:tcPr>
            <w:tcW w:w="635" w:type="pct"/>
            <w:vMerge/>
            <w:tcBorders>
              <w:top w:val="nil"/>
              <w:left w:val="single" w:sz="4" w:space="0" w:color="auto"/>
              <w:bottom w:val="single" w:sz="4" w:space="0" w:color="auto"/>
              <w:right w:val="single" w:sz="4" w:space="0" w:color="auto"/>
            </w:tcBorders>
            <w:vAlign w:val="center"/>
            <w:hideMark/>
          </w:tcPr>
          <w:p w14:paraId="0CD27DF4" w14:textId="77777777" w:rsidR="00807795" w:rsidRPr="00807795" w:rsidRDefault="00807795" w:rsidP="006561B9">
            <w:pPr>
              <w:spacing w:before="100" w:beforeAutospacing="1" w:after="100" w:afterAutospacing="1"/>
              <w:jc w:val="left"/>
              <w:rPr>
                <w:rFonts w:ascii="Calibri" w:eastAsia="Times New Roman" w:hAnsi="Calibri" w:cs="Calibri"/>
                <w:color w:val="444444"/>
                <w:sz w:val="20"/>
                <w:szCs w:val="20"/>
                <w:lang w:eastAsia="it-IT"/>
              </w:rPr>
            </w:pPr>
          </w:p>
        </w:tc>
        <w:tc>
          <w:tcPr>
            <w:tcW w:w="643" w:type="pct"/>
            <w:vMerge/>
            <w:tcBorders>
              <w:top w:val="nil"/>
              <w:left w:val="single" w:sz="4" w:space="0" w:color="auto"/>
              <w:bottom w:val="single" w:sz="4" w:space="0" w:color="auto"/>
              <w:right w:val="single" w:sz="4" w:space="0" w:color="auto"/>
            </w:tcBorders>
            <w:vAlign w:val="center"/>
            <w:hideMark/>
          </w:tcPr>
          <w:p w14:paraId="0236C027" w14:textId="77777777" w:rsidR="00807795" w:rsidRPr="00807795" w:rsidRDefault="00807795" w:rsidP="006561B9">
            <w:pPr>
              <w:spacing w:before="100" w:beforeAutospacing="1" w:after="100" w:afterAutospacing="1"/>
              <w:jc w:val="left"/>
              <w:rPr>
                <w:rFonts w:ascii="Calibri" w:eastAsia="Times New Roman" w:hAnsi="Calibri" w:cs="Calibri"/>
                <w:color w:val="444444"/>
                <w:sz w:val="20"/>
                <w:szCs w:val="20"/>
                <w:lang w:eastAsia="it-IT"/>
              </w:rPr>
            </w:pPr>
          </w:p>
        </w:tc>
        <w:tc>
          <w:tcPr>
            <w:tcW w:w="635" w:type="pct"/>
            <w:vMerge/>
            <w:tcBorders>
              <w:top w:val="nil"/>
              <w:left w:val="single" w:sz="4" w:space="0" w:color="auto"/>
              <w:bottom w:val="single" w:sz="4" w:space="0" w:color="auto"/>
              <w:right w:val="single" w:sz="4" w:space="0" w:color="auto"/>
            </w:tcBorders>
            <w:vAlign w:val="center"/>
            <w:hideMark/>
          </w:tcPr>
          <w:p w14:paraId="097648BA" w14:textId="77777777" w:rsidR="00807795" w:rsidRPr="00807795" w:rsidRDefault="00807795" w:rsidP="006561B9">
            <w:pPr>
              <w:spacing w:before="100" w:beforeAutospacing="1" w:after="100" w:afterAutospacing="1"/>
              <w:jc w:val="left"/>
              <w:rPr>
                <w:rFonts w:ascii="Calibri" w:eastAsia="Times New Roman" w:hAnsi="Calibri" w:cs="Calibri"/>
                <w:color w:val="444444"/>
                <w:sz w:val="20"/>
                <w:szCs w:val="20"/>
                <w:lang w:eastAsia="it-IT"/>
              </w:rPr>
            </w:pPr>
          </w:p>
        </w:tc>
        <w:tc>
          <w:tcPr>
            <w:tcW w:w="635" w:type="pct"/>
            <w:vMerge/>
            <w:tcBorders>
              <w:top w:val="nil"/>
              <w:left w:val="single" w:sz="4" w:space="0" w:color="auto"/>
              <w:bottom w:val="single" w:sz="4" w:space="0" w:color="auto"/>
              <w:right w:val="single" w:sz="4" w:space="0" w:color="auto"/>
            </w:tcBorders>
            <w:vAlign w:val="center"/>
            <w:hideMark/>
          </w:tcPr>
          <w:p w14:paraId="19D0AFA9" w14:textId="77777777" w:rsidR="00807795" w:rsidRPr="00807795" w:rsidRDefault="00807795" w:rsidP="006561B9">
            <w:pPr>
              <w:spacing w:before="100" w:beforeAutospacing="1" w:after="100" w:afterAutospacing="1"/>
              <w:jc w:val="left"/>
              <w:rPr>
                <w:rFonts w:ascii="Calibri" w:eastAsia="Times New Roman" w:hAnsi="Calibri" w:cs="Calibri"/>
                <w:color w:val="444444"/>
                <w:sz w:val="20"/>
                <w:szCs w:val="20"/>
                <w:lang w:eastAsia="it-IT"/>
              </w:rPr>
            </w:pPr>
          </w:p>
        </w:tc>
        <w:tc>
          <w:tcPr>
            <w:tcW w:w="635" w:type="pct"/>
            <w:vMerge/>
            <w:tcBorders>
              <w:top w:val="nil"/>
              <w:left w:val="single" w:sz="4" w:space="0" w:color="auto"/>
              <w:bottom w:val="single" w:sz="4" w:space="0" w:color="auto"/>
              <w:right w:val="single" w:sz="4" w:space="0" w:color="auto"/>
            </w:tcBorders>
            <w:vAlign w:val="center"/>
            <w:hideMark/>
          </w:tcPr>
          <w:p w14:paraId="75EFB7AE" w14:textId="77777777" w:rsidR="00807795" w:rsidRPr="00807795" w:rsidRDefault="00807795" w:rsidP="006561B9">
            <w:pPr>
              <w:spacing w:before="100" w:beforeAutospacing="1" w:after="100" w:afterAutospacing="1"/>
              <w:jc w:val="left"/>
              <w:rPr>
                <w:rFonts w:ascii="Calibri" w:eastAsia="Times New Roman" w:hAnsi="Calibri" w:cs="Calibri"/>
                <w:color w:val="444444"/>
                <w:sz w:val="20"/>
                <w:szCs w:val="20"/>
                <w:lang w:eastAsia="it-IT"/>
              </w:rPr>
            </w:pPr>
          </w:p>
        </w:tc>
        <w:tc>
          <w:tcPr>
            <w:tcW w:w="634" w:type="pct"/>
            <w:vMerge/>
            <w:tcBorders>
              <w:top w:val="nil"/>
              <w:left w:val="single" w:sz="4" w:space="0" w:color="auto"/>
              <w:bottom w:val="single" w:sz="4" w:space="0" w:color="auto"/>
              <w:right w:val="single" w:sz="4" w:space="0" w:color="auto"/>
            </w:tcBorders>
            <w:vAlign w:val="center"/>
            <w:hideMark/>
          </w:tcPr>
          <w:p w14:paraId="0866823E" w14:textId="77777777" w:rsidR="00807795" w:rsidRPr="00807795" w:rsidRDefault="00807795" w:rsidP="006561B9">
            <w:pPr>
              <w:spacing w:before="100" w:beforeAutospacing="1" w:after="100" w:afterAutospacing="1"/>
              <w:jc w:val="left"/>
              <w:rPr>
                <w:rFonts w:ascii="Calibri" w:eastAsia="Times New Roman" w:hAnsi="Calibri" w:cs="Calibri"/>
                <w:color w:val="444444"/>
                <w:sz w:val="20"/>
                <w:szCs w:val="20"/>
                <w:lang w:eastAsia="it-IT"/>
              </w:rPr>
            </w:pPr>
          </w:p>
        </w:tc>
      </w:tr>
      <w:tr w:rsidR="00807795" w:rsidRPr="00807795" w14:paraId="1EBB2A40" w14:textId="77777777" w:rsidTr="00807795">
        <w:trPr>
          <w:trHeight w:val="280"/>
        </w:trPr>
        <w:tc>
          <w:tcPr>
            <w:tcW w:w="1182" w:type="pct"/>
            <w:tcBorders>
              <w:top w:val="nil"/>
              <w:left w:val="single" w:sz="4" w:space="0" w:color="auto"/>
              <w:bottom w:val="single" w:sz="4" w:space="0" w:color="auto"/>
              <w:right w:val="single" w:sz="4" w:space="0" w:color="auto"/>
            </w:tcBorders>
            <w:shd w:val="clear" w:color="000000" w:fill="FFFFFF"/>
            <w:vAlign w:val="center"/>
            <w:hideMark/>
          </w:tcPr>
          <w:p w14:paraId="78E6B8AC" w14:textId="77777777" w:rsidR="00807795" w:rsidRPr="00807795" w:rsidRDefault="00807795" w:rsidP="006561B9">
            <w:pPr>
              <w:spacing w:before="100" w:beforeAutospacing="1" w:after="100" w:afterAutospacing="1"/>
              <w:jc w:val="center"/>
              <w:rPr>
                <w:rFonts w:ascii="Calibri" w:eastAsia="Times New Roman" w:hAnsi="Calibri" w:cs="Calibri"/>
                <w:b/>
                <w:bCs/>
                <w:color w:val="444444"/>
                <w:sz w:val="20"/>
                <w:szCs w:val="20"/>
                <w:lang w:eastAsia="it-IT"/>
              </w:rPr>
            </w:pPr>
            <w:r w:rsidRPr="00807795">
              <w:rPr>
                <w:rFonts w:ascii="Calibri" w:eastAsia="Times New Roman" w:hAnsi="Calibri" w:cs="Calibri"/>
                <w:b/>
                <w:bCs/>
                <w:color w:val="444444"/>
                <w:sz w:val="20"/>
                <w:szCs w:val="20"/>
                <w:lang w:eastAsia="it-IT"/>
              </w:rPr>
              <w:t>Totale1</w:t>
            </w:r>
          </w:p>
        </w:tc>
        <w:tc>
          <w:tcPr>
            <w:tcW w:w="635" w:type="pct"/>
            <w:tcBorders>
              <w:top w:val="nil"/>
              <w:left w:val="nil"/>
              <w:bottom w:val="single" w:sz="4" w:space="0" w:color="auto"/>
              <w:right w:val="single" w:sz="4" w:space="0" w:color="auto"/>
            </w:tcBorders>
            <w:shd w:val="clear" w:color="000000" w:fill="FFFFFF"/>
            <w:vAlign w:val="center"/>
            <w:hideMark/>
          </w:tcPr>
          <w:p w14:paraId="4647898F"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1.145.705</w:t>
            </w:r>
          </w:p>
        </w:tc>
        <w:tc>
          <w:tcPr>
            <w:tcW w:w="643" w:type="pct"/>
            <w:tcBorders>
              <w:top w:val="nil"/>
              <w:left w:val="nil"/>
              <w:bottom w:val="single" w:sz="4" w:space="0" w:color="auto"/>
              <w:right w:val="single" w:sz="4" w:space="0" w:color="auto"/>
            </w:tcBorders>
            <w:shd w:val="clear" w:color="000000" w:fill="FFFFFF"/>
            <w:vAlign w:val="center"/>
            <w:hideMark/>
          </w:tcPr>
          <w:p w14:paraId="4174FC28"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12.598.170</w:t>
            </w:r>
          </w:p>
        </w:tc>
        <w:tc>
          <w:tcPr>
            <w:tcW w:w="635" w:type="pct"/>
            <w:tcBorders>
              <w:top w:val="nil"/>
              <w:left w:val="nil"/>
              <w:bottom w:val="single" w:sz="4" w:space="0" w:color="auto"/>
              <w:right w:val="single" w:sz="4" w:space="0" w:color="auto"/>
            </w:tcBorders>
            <w:shd w:val="clear" w:color="000000" w:fill="FFFFFF"/>
            <w:vAlign w:val="center"/>
            <w:hideMark/>
          </w:tcPr>
          <w:p w14:paraId="3FFA4FC4"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100,00%</w:t>
            </w:r>
          </w:p>
        </w:tc>
        <w:tc>
          <w:tcPr>
            <w:tcW w:w="635" w:type="pct"/>
            <w:tcBorders>
              <w:top w:val="nil"/>
              <w:left w:val="nil"/>
              <w:bottom w:val="single" w:sz="4" w:space="0" w:color="auto"/>
              <w:right w:val="single" w:sz="4" w:space="0" w:color="auto"/>
            </w:tcBorders>
            <w:shd w:val="clear" w:color="000000" w:fill="FFFFFF"/>
            <w:vAlign w:val="center"/>
            <w:hideMark/>
          </w:tcPr>
          <w:p w14:paraId="00D2E5C1"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100,00%</w:t>
            </w:r>
          </w:p>
        </w:tc>
        <w:tc>
          <w:tcPr>
            <w:tcW w:w="635" w:type="pct"/>
            <w:tcBorders>
              <w:top w:val="nil"/>
              <w:left w:val="nil"/>
              <w:bottom w:val="single" w:sz="4" w:space="0" w:color="auto"/>
              <w:right w:val="single" w:sz="4" w:space="0" w:color="auto"/>
            </w:tcBorders>
            <w:shd w:val="clear" w:color="000000" w:fill="FFFFFF"/>
            <w:vAlign w:val="center"/>
            <w:hideMark/>
          </w:tcPr>
          <w:p w14:paraId="35C4BE88"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-29,30%</w:t>
            </w:r>
          </w:p>
        </w:tc>
        <w:tc>
          <w:tcPr>
            <w:tcW w:w="634" w:type="pct"/>
            <w:tcBorders>
              <w:top w:val="nil"/>
              <w:left w:val="nil"/>
              <w:bottom w:val="single" w:sz="4" w:space="0" w:color="auto"/>
              <w:right w:val="single" w:sz="4" w:space="0" w:color="auto"/>
            </w:tcBorders>
            <w:shd w:val="clear" w:color="000000" w:fill="FFFFFF"/>
            <w:vAlign w:val="center"/>
            <w:hideMark/>
          </w:tcPr>
          <w:p w14:paraId="57CE41B2" w14:textId="77777777" w:rsidR="00807795" w:rsidRPr="00807795" w:rsidRDefault="00807795" w:rsidP="006561B9">
            <w:pPr>
              <w:spacing w:before="100" w:beforeAutospacing="1" w:after="100" w:afterAutospacing="1"/>
              <w:jc w:val="center"/>
              <w:rPr>
                <w:rFonts w:ascii="Calibri" w:eastAsia="Times New Roman" w:hAnsi="Calibri" w:cs="Calibri"/>
                <w:color w:val="444444"/>
                <w:sz w:val="20"/>
                <w:szCs w:val="20"/>
                <w:lang w:eastAsia="it-IT"/>
              </w:rPr>
            </w:pPr>
            <w:r w:rsidRPr="00807795">
              <w:rPr>
                <w:rFonts w:ascii="Calibri" w:eastAsia="Times New Roman" w:hAnsi="Calibri" w:cs="Calibri"/>
                <w:color w:val="444444"/>
                <w:sz w:val="20"/>
                <w:szCs w:val="20"/>
                <w:lang w:eastAsia="it-IT"/>
              </w:rPr>
              <w:t>-2,00%</w:t>
            </w:r>
          </w:p>
        </w:tc>
      </w:tr>
    </w:tbl>
    <w:p w14:paraId="3C96A595" w14:textId="77777777" w:rsidR="00E87F04" w:rsidRPr="00E87F04" w:rsidRDefault="00E87F04" w:rsidP="00E87F04">
      <w:pPr>
        <w:pStyle w:val="Fontetabellagrafico"/>
        <w:spacing w:before="60"/>
        <w:rPr>
          <w:sz w:val="20"/>
          <w:szCs w:val="20"/>
        </w:rPr>
      </w:pPr>
      <w:r w:rsidRPr="00E87F04">
        <w:rPr>
          <w:sz w:val="20"/>
          <w:szCs w:val="20"/>
        </w:rPr>
        <w:t>Fonte: Istat, Censimento dell'agricoltura 2010 e Indagine Strutture 2016.</w:t>
      </w:r>
    </w:p>
    <w:p w14:paraId="2506254A" w14:textId="206BEF8D" w:rsidR="009D021B" w:rsidRDefault="00E87F04" w:rsidP="00E87F04">
      <w:pPr>
        <w:pStyle w:val="Fontetabellagrafico"/>
        <w:spacing w:before="60"/>
        <w:rPr>
          <w:sz w:val="20"/>
          <w:szCs w:val="20"/>
        </w:rPr>
      </w:pPr>
      <w:r w:rsidRPr="00E87F04">
        <w:rPr>
          <w:sz w:val="20"/>
          <w:szCs w:val="20"/>
        </w:rPr>
        <w:t>1 Il dato complessivo comprende le aziende senza Sau.</w:t>
      </w:r>
      <w:r>
        <w:rPr>
          <w:sz w:val="20"/>
          <w:szCs w:val="20"/>
        </w:rPr>
        <w:t xml:space="preserve"> </w:t>
      </w:r>
      <w:r w:rsidRPr="00E87F04">
        <w:rPr>
          <w:sz w:val="20"/>
          <w:szCs w:val="20"/>
        </w:rPr>
        <w:t>2 La superficie in affitto è comprensiva dell'uso gratuito</w:t>
      </w:r>
    </w:p>
    <w:p w14:paraId="0E1BF855" w14:textId="44C1E092" w:rsidR="009D021B" w:rsidRDefault="009D021B" w:rsidP="009D021B">
      <w:pPr>
        <w:pStyle w:val="Fontetabellagrafico"/>
        <w:spacing w:before="60"/>
      </w:pPr>
    </w:p>
    <w:p w14:paraId="5CD11F13" w14:textId="5DA1F42B" w:rsidR="00207119" w:rsidRDefault="00207119" w:rsidP="009D021B">
      <w:pPr>
        <w:pStyle w:val="Fontetabellagrafico"/>
        <w:spacing w:before="60"/>
      </w:pPr>
    </w:p>
    <w:p w14:paraId="2920EE6A" w14:textId="16FBB625" w:rsidR="00207119" w:rsidRDefault="00207119" w:rsidP="009D021B">
      <w:pPr>
        <w:pStyle w:val="Fontetabellagrafico"/>
        <w:spacing w:before="60"/>
      </w:pPr>
    </w:p>
    <w:p w14:paraId="518760BD" w14:textId="77777777" w:rsidR="00207119" w:rsidRDefault="00207119" w:rsidP="009D021B">
      <w:pPr>
        <w:pStyle w:val="Fontetabellagrafico"/>
        <w:spacing w:before="60"/>
      </w:pPr>
    </w:p>
    <w:p w14:paraId="189BE79C" w14:textId="77777777" w:rsidR="00975484" w:rsidRPr="00DC519D" w:rsidRDefault="00975484" w:rsidP="00FA3B08">
      <w:pPr>
        <w:pStyle w:val="Titolo2"/>
        <w:numPr>
          <w:ilvl w:val="0"/>
          <w:numId w:val="1"/>
        </w:numPr>
      </w:pPr>
      <w:bookmarkStart w:id="11" w:name="_Toc19550836"/>
      <w:bookmarkStart w:id="12" w:name="_Toc56585251"/>
      <w:r w:rsidRPr="00206BB1">
        <w:t>Il settore forestale</w:t>
      </w:r>
      <w:bookmarkEnd w:id="11"/>
      <w:bookmarkEnd w:id="12"/>
    </w:p>
    <w:p w14:paraId="30110598" w14:textId="77777777" w:rsidR="00975484" w:rsidRDefault="00975484" w:rsidP="00975484">
      <w:r>
        <w:t>In base ai dati dell’</w:t>
      </w:r>
      <w:r w:rsidRPr="003F04BA">
        <w:t>Inventario Nazionale delle foreste e dei serbatoi forestali di Carbonio</w:t>
      </w:r>
      <w:r>
        <w:t xml:space="preserve"> (</w:t>
      </w:r>
      <w:r w:rsidRPr="003F04BA">
        <w:t>INFC 2015</w:t>
      </w:r>
      <w:r>
        <w:t>), i</w:t>
      </w:r>
      <w:r w:rsidRPr="003F04BA">
        <w:t xml:space="preserve">l bosco italiano copre circa 11 milioni di ettari, il 36,4% della superficie nazionale con un aumento del 4,9% nei soli ultimi dieci anni. La superficie forestale complessiva negli ultimi 80 anni si è triplicata, grazie principalmente alla sua espansione naturale su aree marginali e degradate, in terreni agricoli e pascolivi abbandonati in montagna e collina. Diminuiscono solo sulle coste, nel fondovalle e nelle pianure, per far posto a infrastrutture o, al massimo, a nuovi impianti agricoli ad una media di 7.000 ettari l’anno (RAF, 2019). </w:t>
      </w:r>
    </w:p>
    <w:p w14:paraId="18105B5B" w14:textId="77777777" w:rsidR="00975484" w:rsidRDefault="00975484" w:rsidP="00975484">
      <w:r>
        <w:t xml:space="preserve">Il patrimonio forestale in alcune regioni rappresenta la forma di copertura più importante, occupando circa il 50% o più della superficie regionale (Trentino-Alto Adige, Liguria, Toscana, Umbria e Sardegna). Le formazioni di origine artificiale e in particolare gli impianti di arboricoltura rappresentano una piccola parte della superficie forestale nazionale, pari all’incirca a 100.000 ha, ma tra questi i pioppeti rivestono un ruolo importante per il valore e la qualità dei loro prodotti. </w:t>
      </w:r>
    </w:p>
    <w:p w14:paraId="468D824F" w14:textId="77777777" w:rsidR="00975484" w:rsidRPr="009F39A3" w:rsidRDefault="00975484" w:rsidP="00975484">
      <w:r w:rsidRPr="009F39A3">
        <w:t xml:space="preserve">Nonostante che più di un terzo della superficie nazionale sia ricoperta da boschi e che nell’ultimo secolo si sia assistito ad un aumento della superficie e della provvigione legnosa, non si è avuto un adeguato incremento della gestione, delle utilizzazioni e degli investimenti produttivi nei processi selvicolturali e di prima trasformazione e l’Italia rimane uno dei principali importatori mondiali di legname (oltre l’80% del nostro fabbisogno industriale importato da tutti i continenti). </w:t>
      </w:r>
    </w:p>
    <w:p w14:paraId="3DCCD8C8" w14:textId="77777777" w:rsidR="00975484" w:rsidRDefault="00975484" w:rsidP="00975484">
      <w:r>
        <w:t>Secondo quanto riportato nel Rapporto sullo stato delle foreste e del settore forestale in Italia 2017-2018 (RAF, 2019) dalle statistiche Istat ed Eurostat emerge:</w:t>
      </w:r>
    </w:p>
    <w:p w14:paraId="76A54074" w14:textId="77777777" w:rsidR="00975484" w:rsidRPr="003F04BA" w:rsidRDefault="00975484" w:rsidP="00975484">
      <w:pPr>
        <w:pStyle w:val="Paragrafoelenco"/>
        <w:numPr>
          <w:ilvl w:val="0"/>
          <w:numId w:val="10"/>
        </w:numPr>
      </w:pPr>
      <w:r>
        <w:t>La densità media dei boschi a livello nazionale è pari a 20,4 m²/ha</w:t>
      </w:r>
      <w:r w:rsidRPr="003F04BA">
        <w:t xml:space="preserve"> e in termini volumetrici i boschi italiani raggiungono un valore stimato di 1 miliardo e 269 milioni di metri cubi. L’incremento corrente si attesta sui 35,9 </w:t>
      </w:r>
      <w:r>
        <w:t xml:space="preserve">Mm³ </w:t>
      </w:r>
      <w:r w:rsidRPr="003F04BA">
        <w:t xml:space="preserve">ogni anno. </w:t>
      </w:r>
    </w:p>
    <w:p w14:paraId="3CA68D24" w14:textId="77777777" w:rsidR="00975484" w:rsidRPr="003F04BA" w:rsidRDefault="00975484" w:rsidP="00975484">
      <w:pPr>
        <w:pStyle w:val="Paragrafoelenco"/>
        <w:numPr>
          <w:ilvl w:val="0"/>
          <w:numId w:val="10"/>
        </w:numPr>
      </w:pPr>
      <w:r w:rsidRPr="003F04BA">
        <w:t xml:space="preserve">Si stima che la superficie annualmente sottoposta a utilizzazione sia inferiore al 2% e il prelievo legnoso nazionale nell’ultimo decennio, viene stimato in valori di poco superiore agli 9 milioni di m3 annui di cui il 66% risulta costituito da legna da ardere. Le diverse stime sul prelievo oscillano tra il 18 e il 37% dell’incremento annuo, contro una media dell’Europa continentale che raggiunge il 54% dell’incremento annuo. Dal punto di vista quantitativo, il livello di prelievo delle foreste italiane risulta comunque uno dei più bassi dell’UE, con un ammontare pari alla metà di quello di Francia, Spagna e Portogallo (4 m3 /ettaro/anno) e notevolmente inferiore rispetto a Germania e Gran Bretagna (5,6 e 5,4 m3 /ettaro/annui). Il basso tasso di prelievo è indice di una scarsa gestione forestale, come confermato anche dal dato sulla pianificazione forestale (piano di gestione o piano di assestamento) che rimane </w:t>
      </w:r>
      <w:r w:rsidRPr="003F04BA">
        <w:lastRenderedPageBreak/>
        <w:t xml:space="preserve">vigente sul 18% della superficie forestale nazionale. Inoltre, </w:t>
      </w:r>
      <w:proofErr w:type="gramStart"/>
      <w:r w:rsidRPr="003F04BA">
        <w:t>la mancanza di omogeneità quantitativa e qualitativa,</w:t>
      </w:r>
      <w:proofErr w:type="gramEnd"/>
      <w:r w:rsidRPr="003F04BA">
        <w:t xml:space="preserve"> non riesce a soddisfare le richieste del mercato che, nel corso degli ultimi 50 anni è profondamente cambiato, orientandosi verso una domanda costante di assortimenti pregiati. In Italia il prodotto legnoso prevalente rimane ancora la legna da ardere ma si registra una particolare attenzione e richiesta a tipologie di prodotti e assortimenti legnosi ad alto valore aggiunto e qualitativo, in particolare per l’edilizia, il design e prodotti tecnologici. Dal punto di vista della sostenibilità ambientale ciò rappresenta una importante occasione</w:t>
      </w:r>
      <w:r>
        <w:t>.</w:t>
      </w:r>
      <w:r w:rsidRPr="003F04BA">
        <w:t xml:space="preserve"> </w:t>
      </w:r>
    </w:p>
    <w:p w14:paraId="5C81603D" w14:textId="77777777" w:rsidR="00975484" w:rsidRPr="003F04BA" w:rsidRDefault="00975484" w:rsidP="00975484">
      <w:pPr>
        <w:pStyle w:val="Paragrafoelenco"/>
        <w:numPr>
          <w:ilvl w:val="0"/>
          <w:numId w:val="10"/>
        </w:numPr>
      </w:pPr>
      <w:r w:rsidRPr="003F04BA">
        <w:t xml:space="preserve">Nel corso degli ultimi 10 anni si è assistito ad un aumento nel numero delle imprese forestali e ad una diminuzione nel numero degli addetti. In generale la maggior parte delle imprese di utilizzazione che operano nel territorio nazionale, singole e associate (cooperative, consorzi, società o conduzione familiare), risultano di piccole dimensioni (1,8 addetti/impresa in media), spesso a conduzione familiare, insufficientemente dotate di macchinari e associano alla raccolta e commercializzazione di legname altre attività quali ad esempio la manutenzione delle aree verdi e della viabilità pubblica (sgombero neve), ingegneria naturalistica o lavori agricoli. Queste costituiscono in molti casi l’ultima realtà di presidio socioeconomico per i territori interni. Mediamente la capacità lavorativa di una impresa è di circa 30.000-40.000 q.li/anno di legname, con una produttività media inferiore ai 3-5 m3 /giorno/addetto e la dimensione delle superfici sottoposte a utilizzazione è in media di poco superiore ad un ettaro. </w:t>
      </w:r>
    </w:p>
    <w:p w14:paraId="6A55ECE8" w14:textId="77777777" w:rsidR="00975484" w:rsidRPr="003F04BA" w:rsidRDefault="00975484" w:rsidP="00975484">
      <w:pPr>
        <w:pStyle w:val="Paragrafoelenco"/>
        <w:numPr>
          <w:ilvl w:val="0"/>
          <w:numId w:val="10"/>
        </w:numPr>
      </w:pPr>
      <w:r w:rsidRPr="003F04BA">
        <w:t xml:space="preserve">Negli ultimi decenni si è registrata una progressiva riduzione del numero di aziende specializzate nel taglio e dimensionamento degli assortimenti legnosi e delle imprese di seconda trasformazione del legno, sempre più spesso delocalizzate nei paesi dell’Est europeo.  Nonostante ciò e la forte dipendenza dall’estero per l’approvvigionamento della materia prima, la filiera nazionale del legno-arredo nel suo complesso, grazie all’efficacia dell’industria del mobile, garantisce un saldo commerciale positivo. Con il 15% delle imprese è il secondo settore dell’industria manifatturiera italiana e il volume d’affari complessivo supera i 32 miliardi di €. </w:t>
      </w:r>
    </w:p>
    <w:p w14:paraId="7D6E7DEF" w14:textId="77777777" w:rsidR="00975484" w:rsidRPr="003F04BA" w:rsidRDefault="00975484" w:rsidP="00975484">
      <w:pPr>
        <w:pStyle w:val="Paragrafoelenco"/>
        <w:numPr>
          <w:ilvl w:val="0"/>
          <w:numId w:val="10"/>
        </w:numPr>
      </w:pPr>
      <w:r w:rsidRPr="003F04BA">
        <w:t>Negli ultimi anni gli aspetti turistico-ricreativi legati al patrimonio forestale rappresentano un importante volano di sviluppo locale che genera una filiera produttiva con un diffuso indotto occupazionale e imprenditoriale</w:t>
      </w:r>
      <w:r>
        <w:t>.</w:t>
      </w:r>
      <w:r w:rsidRPr="003F04BA">
        <w:t xml:space="preserve"> </w:t>
      </w:r>
    </w:p>
    <w:p w14:paraId="12E22B1E" w14:textId="77777777" w:rsidR="00975484" w:rsidRPr="003F04BA" w:rsidRDefault="00975484" w:rsidP="00975484">
      <w:pPr>
        <w:pStyle w:val="Paragrafoelenco"/>
        <w:numPr>
          <w:ilvl w:val="0"/>
          <w:numId w:val="10"/>
        </w:numPr>
      </w:pPr>
      <w:r w:rsidRPr="003F04BA">
        <w:t>Tra i proprietari forestali è in aumento la sensibilità verso la certificazione volontaria di parte terza sulla Gestione Forestale e Sostenibile (GFS). La superficie certificata raggiunge oggi il 9% della superficie forestale nazionale (RAF, 2019). Un importante settore della certificazione è dedicato alla gestione sostenibile delle piantagioni da legno, e in particolare della pioppicoltura: questo tipo di certificazione interessa, in particolare, tre Regioni (Friuli-Venezia Giulia, Lombardia, Piemonte), per un totale di oltre 4.000 ha, pari a circa il 10% di tutti i pioppeti specializzati nella pianura padano-veneta</w:t>
      </w:r>
      <w:r>
        <w:t>.</w:t>
      </w:r>
      <w:r w:rsidRPr="003F04BA">
        <w:t xml:space="preserve"> </w:t>
      </w:r>
    </w:p>
    <w:p w14:paraId="099CE9F4" w14:textId="77777777" w:rsidR="00975484" w:rsidRPr="00F24C87" w:rsidRDefault="00975484" w:rsidP="00975484">
      <w:r w:rsidRPr="003F04BA">
        <w:t xml:space="preserve">Il legno è solo uno dei prodotti ottenibili dai boschi, e la produzione e commercializzazione dei prodotti non legnosi come sughero, resine, funghi, tartufi, frutti a guscio, selvaggina e piccoli frutti costituiscono un importante realtà territoriale dalle elevate potenzialità per lo sviluppo socioeconomico per le aree rurali e interne del paese. </w:t>
      </w:r>
    </w:p>
    <w:p w14:paraId="63C7F720" w14:textId="77777777" w:rsidR="00975484" w:rsidRDefault="00975484" w:rsidP="00975484">
      <w:pPr>
        <w:pStyle w:val="Paragrafoelenco"/>
        <w:numPr>
          <w:ilvl w:val="0"/>
          <w:numId w:val="12"/>
        </w:numPr>
        <w:spacing w:after="80" w:line="240" w:lineRule="auto"/>
      </w:pPr>
      <w:r>
        <w:t>L’incremento annuo</w:t>
      </w:r>
      <w:r>
        <w:rPr>
          <w:rStyle w:val="Rimandonotaapidipagina"/>
        </w:rPr>
        <w:footnoteReference w:id="4"/>
      </w:r>
      <w:r>
        <w:t xml:space="preserve"> dello stock forestale è stimato in 37,8 milioni di m</w:t>
      </w:r>
      <w:r w:rsidRPr="009A4DF1">
        <w:rPr>
          <w:vertAlign w:val="superscript"/>
        </w:rPr>
        <w:t>3</w:t>
      </w:r>
      <w:r>
        <w:t xml:space="preserve"> pari ad un valore di </w:t>
      </w:r>
      <w:r w:rsidRPr="00A201D6">
        <w:rPr>
          <w:i/>
        </w:rPr>
        <w:t xml:space="preserve">standing </w:t>
      </w:r>
      <w:proofErr w:type="spellStart"/>
      <w:r w:rsidRPr="00A201D6">
        <w:rPr>
          <w:i/>
        </w:rPr>
        <w:t>timber</w:t>
      </w:r>
      <w:proofErr w:type="spellEnd"/>
      <w:r>
        <w:t xml:space="preserve"> di circa 999,9 milioni di euro per il 2015. </w:t>
      </w:r>
    </w:p>
    <w:p w14:paraId="09607D64" w14:textId="77777777" w:rsidR="00975484" w:rsidRDefault="00975484" w:rsidP="00975484">
      <w:pPr>
        <w:pStyle w:val="Paragrafoelenco"/>
        <w:numPr>
          <w:ilvl w:val="0"/>
          <w:numId w:val="12"/>
        </w:numPr>
        <w:spacing w:after="80" w:line="240" w:lineRule="auto"/>
      </w:pPr>
      <w:r>
        <w:t xml:space="preserve">Le tagliate (legname da lavoro, legna da ardere e altro) rappresentano solo il 13,9% della produzione totale, la restante parte è composta dallo standing </w:t>
      </w:r>
      <w:proofErr w:type="spellStart"/>
      <w:r>
        <w:t>timber</w:t>
      </w:r>
      <w:proofErr w:type="spellEnd"/>
      <w:r>
        <w:t xml:space="preserve"> (40,1%), seguito dall’attività di servizi inclusi quelli forniti dalle Amministrazioni Pubbliche (37%) e dalla raccolta dei prodotti spontanei non legnosi e fruttiferi dai boschi, funghi e tartufi in particolare (8,3%). </w:t>
      </w:r>
    </w:p>
    <w:p w14:paraId="55B714FB" w14:textId="77777777" w:rsidR="00975484" w:rsidRDefault="00975484" w:rsidP="00975484">
      <w:pPr>
        <w:pStyle w:val="Paragrafoelenco"/>
        <w:numPr>
          <w:ilvl w:val="0"/>
          <w:numId w:val="12"/>
        </w:numPr>
        <w:spacing w:after="80" w:line="240" w:lineRule="auto"/>
      </w:pPr>
      <w:r>
        <w:t xml:space="preserve">Il valore aggiunto lordo ai prezzi di base è pari a 1.977,8 milioni di euro e rappresenta poco meno dell’80% della produzione, mentre il reddito dei fattori di 1.544,6 milioni di euro è pari al 62,8% del totale della produzione. Per finire il risultato netto di gestione risulta pari al 31,2% del totale (pari a 776.6 milioni di euro). </w:t>
      </w:r>
    </w:p>
    <w:p w14:paraId="6BACCF1A" w14:textId="77777777" w:rsidR="00975484" w:rsidRDefault="00975484" w:rsidP="00975484">
      <w:pPr>
        <w:pStyle w:val="Paragrafoelenco"/>
        <w:numPr>
          <w:ilvl w:val="0"/>
          <w:numId w:val="12"/>
        </w:numPr>
        <w:spacing w:after="80" w:line="240" w:lineRule="auto"/>
      </w:pPr>
      <w:r>
        <w:lastRenderedPageBreak/>
        <w:t>L’incidenza del settore forestale</w:t>
      </w:r>
      <w:r>
        <w:rPr>
          <w:rStyle w:val="Rimandonotaapidipagina"/>
        </w:rPr>
        <w:footnoteReference w:id="5"/>
      </w:r>
      <w:r>
        <w:t xml:space="preserve"> registra un incremento della produzione totale tra il 2000 e il 2017 nell’ordine del +36,4% espresso a valori concatenati (costanti). Una situazione analoga si riscontra per i costi intermedi con una impennata sensibile negli anni post 2010, dovuti proprio all’inclusione dell’attività delle Amministrazioni Pubbliche negli aggregati dei Conti Nazionali. </w:t>
      </w:r>
    </w:p>
    <w:p w14:paraId="5F920431" w14:textId="77777777" w:rsidR="00975484" w:rsidRDefault="00975484" w:rsidP="00975484">
      <w:pPr>
        <w:pStyle w:val="Paragrafoelenco"/>
        <w:numPr>
          <w:ilvl w:val="0"/>
          <w:numId w:val="12"/>
        </w:numPr>
        <w:spacing w:after="80" w:line="240" w:lineRule="auto"/>
      </w:pPr>
      <w:r>
        <w:t xml:space="preserve">Il valore aggiunto a prezzi costanti è cresciuto del 30,2% nel periodo con un incremento più sostenuto proprio a partire dal 2010. </w:t>
      </w:r>
    </w:p>
    <w:p w14:paraId="7FB7AD6E" w14:textId="77777777" w:rsidR="00975484" w:rsidRDefault="00975484" w:rsidP="00975484">
      <w:pPr>
        <w:pStyle w:val="Paragrafoelenco"/>
        <w:numPr>
          <w:ilvl w:val="0"/>
          <w:numId w:val="12"/>
        </w:numPr>
        <w:spacing w:after="80" w:line="240" w:lineRule="auto"/>
      </w:pPr>
      <w:r>
        <w:t>Una crescita ulteriore si è registrata nell’arco di tempo tra il 2000 e il 2007 nell’occupazione totale misurata in unità di lavoro (</w:t>
      </w:r>
      <w:proofErr w:type="spellStart"/>
      <w:r>
        <w:t>Ula</w:t>
      </w:r>
      <w:proofErr w:type="spellEnd"/>
      <w:r>
        <w:t xml:space="preserve">): si è passati infatti da 29,6 a oltre 40 </w:t>
      </w:r>
      <w:r w:rsidRPr="009A4DF1">
        <w:t xml:space="preserve">mila </w:t>
      </w:r>
      <w:r>
        <w:t>unità di lavoro. Con i nuovi aggregati statistici l’incidenza delle foreste rispetto al totale di branca agricoltura, foreste e pesca passa da 2,6% al 4,2% in termini di produzione e dal 4,5% al 5,8% in termini di valore aggiunto ai prezzi di base.</w:t>
      </w:r>
    </w:p>
    <w:p w14:paraId="448548CD" w14:textId="35E9794C" w:rsidR="00975484" w:rsidRPr="00542C9B" w:rsidRDefault="00975484" w:rsidP="00975484">
      <w:pPr>
        <w:pStyle w:val="Titolofig"/>
      </w:pPr>
      <w:r w:rsidRPr="00542C9B">
        <w:t xml:space="preserve">Figura </w:t>
      </w:r>
      <w:r w:rsidR="00207119">
        <w:t>5.1</w:t>
      </w:r>
      <w:r>
        <w:t xml:space="preserve"> </w:t>
      </w:r>
      <w:r w:rsidRPr="00542C9B">
        <w:t>Produzione e valore aggiunto della branca silvicoltura in volume - Anni 2000-2017 (</w:t>
      </w:r>
      <w:r>
        <w:t>indice</w:t>
      </w:r>
      <w:r w:rsidRPr="00542C9B">
        <w:t xml:space="preserve"> 2000=100)</w:t>
      </w:r>
    </w:p>
    <w:p w14:paraId="4846B36B" w14:textId="77777777" w:rsidR="00975484" w:rsidRDefault="00975484" w:rsidP="00975484">
      <w:r>
        <w:rPr>
          <w:noProof/>
          <w:lang w:eastAsia="it-IT"/>
        </w:rPr>
        <w:drawing>
          <wp:inline distT="0" distB="0" distL="0" distR="0" wp14:anchorId="21A08C83" wp14:editId="273B3411">
            <wp:extent cx="6173470" cy="2480807"/>
            <wp:effectExtent l="0" t="0" r="0" b="0"/>
            <wp:docPr id="4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233146" cy="2504788"/>
                    </a:xfrm>
                    <a:prstGeom prst="rect">
                      <a:avLst/>
                    </a:prstGeom>
                    <a:noFill/>
                  </pic:spPr>
                </pic:pic>
              </a:graphicData>
            </a:graphic>
          </wp:inline>
        </w:drawing>
      </w:r>
    </w:p>
    <w:p w14:paraId="5B5DECA2" w14:textId="77777777" w:rsidR="00975484" w:rsidRDefault="00975484" w:rsidP="00975484">
      <w:pPr>
        <w:pStyle w:val="Fontetabellagrafico"/>
      </w:pPr>
      <w:r w:rsidRPr="009A4DF1">
        <w:t xml:space="preserve">Fonte: Istat Contabilità Nazionale (Paolo Panfili e Andrea Morreale). Rapporto sullo stato delle foreste e del settore forestale in Italia 2017-2018 </w:t>
      </w:r>
    </w:p>
    <w:p w14:paraId="3D4BD7BF" w14:textId="199A010C" w:rsidR="00975484" w:rsidRDefault="00975484" w:rsidP="00975484">
      <w:pPr>
        <w:pStyle w:val="Fontetabellagrafico"/>
      </w:pPr>
    </w:p>
    <w:p w14:paraId="4426DB57" w14:textId="21B96901" w:rsidR="00975484" w:rsidRDefault="00975484" w:rsidP="00975484">
      <w:pPr>
        <w:pStyle w:val="Fontetabellagrafico"/>
      </w:pPr>
    </w:p>
    <w:bookmarkEnd w:id="7"/>
    <w:bookmarkEnd w:id="8"/>
    <w:bookmarkEnd w:id="9"/>
    <w:p w14:paraId="6EE849C5" w14:textId="7D3A88F5" w:rsidR="003D2E8F" w:rsidRDefault="003D2E8F">
      <w:pPr>
        <w:jc w:val="left"/>
        <w:rPr>
          <w:i/>
          <w:sz w:val="18"/>
          <w:szCs w:val="18"/>
          <w:lang w:eastAsia="it-IT"/>
        </w:rPr>
      </w:pPr>
      <w:r>
        <w:br w:type="page"/>
      </w:r>
    </w:p>
    <w:p w14:paraId="49A51517" w14:textId="77777777" w:rsidR="003D2E8F" w:rsidRDefault="003D2E8F" w:rsidP="003D2E8F">
      <w:pPr>
        <w:pStyle w:val="Fontetab-grafReport"/>
      </w:pPr>
    </w:p>
    <w:p w14:paraId="772C6424" w14:textId="77777777" w:rsidR="00857081" w:rsidRDefault="00857081" w:rsidP="00857081">
      <w:pPr>
        <w:pStyle w:val="Titolo2"/>
      </w:pPr>
      <w:bookmarkStart w:id="13" w:name="_Toc56585252"/>
      <w:r>
        <w:t>Siti web e banche dati</w:t>
      </w:r>
      <w:bookmarkEnd w:id="13"/>
    </w:p>
    <w:p w14:paraId="7D0AA964" w14:textId="77777777" w:rsidR="00857081" w:rsidRPr="00AE062B" w:rsidRDefault="00857081" w:rsidP="00052C52">
      <w:pPr>
        <w:pStyle w:val="Paragrafoelenco"/>
        <w:numPr>
          <w:ilvl w:val="0"/>
          <w:numId w:val="4"/>
        </w:numPr>
        <w:spacing w:after="0"/>
        <w:ind w:left="360"/>
        <w:rPr>
          <w:rFonts w:cstheme="minorHAnsi"/>
        </w:rPr>
      </w:pPr>
      <w:r w:rsidRPr="00AE062B">
        <w:rPr>
          <w:rFonts w:cstheme="minorHAnsi"/>
        </w:rPr>
        <w:t xml:space="preserve">Rete Rurale, Indicatori di contesto post-2020, Area download </w:t>
      </w:r>
    </w:p>
    <w:p w14:paraId="1D116C53" w14:textId="77777777" w:rsidR="00857081" w:rsidRPr="00AE062B" w:rsidRDefault="00A32DB9" w:rsidP="00857081">
      <w:pPr>
        <w:pStyle w:val="Paragrafoelenco"/>
        <w:spacing w:after="0"/>
        <w:ind w:left="360"/>
        <w:rPr>
          <w:rStyle w:val="Collegamentoipertestuale"/>
          <w:rFonts w:cstheme="minorHAnsi"/>
        </w:rPr>
      </w:pPr>
      <w:hyperlink r:id="rId25" w:history="1">
        <w:r w:rsidR="00857081" w:rsidRPr="00AE062B">
          <w:rPr>
            <w:rStyle w:val="Collegamentoipertestuale"/>
            <w:rFonts w:cstheme="minorHAnsi"/>
          </w:rPr>
          <w:t>https://www.reterurale.it/flex/cm/pages/ServeBLOB.php/L/IT/IDPagina/19543</w:t>
        </w:r>
      </w:hyperlink>
    </w:p>
    <w:p w14:paraId="40755D88" w14:textId="77777777" w:rsidR="00857081" w:rsidRPr="00AE062B" w:rsidRDefault="00857081" w:rsidP="00052C52">
      <w:pPr>
        <w:pStyle w:val="Paragrafoelenco"/>
        <w:numPr>
          <w:ilvl w:val="0"/>
          <w:numId w:val="4"/>
        </w:numPr>
        <w:spacing w:after="0"/>
        <w:ind w:left="360"/>
        <w:rPr>
          <w:rFonts w:cstheme="minorHAnsi"/>
        </w:rPr>
      </w:pPr>
      <w:r w:rsidRPr="00AE062B">
        <w:rPr>
          <w:rFonts w:cstheme="minorHAnsi"/>
        </w:rPr>
        <w:t xml:space="preserve">Eurostat, </w:t>
      </w:r>
      <w:proofErr w:type="spellStart"/>
      <w:r w:rsidRPr="00AE062B">
        <w:rPr>
          <w:rFonts w:cstheme="minorHAnsi"/>
        </w:rPr>
        <w:t>Agriculture</w:t>
      </w:r>
      <w:proofErr w:type="spellEnd"/>
      <w:r w:rsidRPr="00AE062B">
        <w:rPr>
          <w:rFonts w:cstheme="minorHAnsi"/>
        </w:rPr>
        <w:t xml:space="preserve"> </w:t>
      </w:r>
    </w:p>
    <w:p w14:paraId="7191F8C7" w14:textId="77777777" w:rsidR="00857081" w:rsidRDefault="00A32DB9" w:rsidP="00857081">
      <w:pPr>
        <w:pStyle w:val="Paragrafoelenco"/>
        <w:spacing w:after="0"/>
        <w:ind w:left="360"/>
        <w:rPr>
          <w:rStyle w:val="Collegamentoipertestuale"/>
          <w:rFonts w:cstheme="minorHAnsi"/>
        </w:rPr>
      </w:pPr>
      <w:hyperlink r:id="rId26" w:history="1">
        <w:r w:rsidR="00857081" w:rsidRPr="00AE062B">
          <w:rPr>
            <w:rStyle w:val="Collegamentoipertestuale"/>
            <w:rFonts w:cstheme="minorHAnsi"/>
          </w:rPr>
          <w:t>https://ec.europa.eu/eurostat/web/agriculture/data/database</w:t>
        </w:r>
      </w:hyperlink>
    </w:p>
    <w:p w14:paraId="4C881C24" w14:textId="132C333C" w:rsidR="00857081" w:rsidRPr="00723867" w:rsidRDefault="00857081" w:rsidP="00052C52">
      <w:pPr>
        <w:pStyle w:val="Paragrafoelenco"/>
        <w:numPr>
          <w:ilvl w:val="0"/>
          <w:numId w:val="5"/>
        </w:numPr>
        <w:spacing w:after="120"/>
        <w:ind w:left="360"/>
        <w:contextualSpacing w:val="0"/>
        <w:jc w:val="left"/>
        <w:rPr>
          <w:rStyle w:val="Collegamentoipertestuale"/>
          <w:color w:val="auto"/>
          <w:u w:val="none"/>
        </w:rPr>
      </w:pPr>
      <w:r w:rsidRPr="009D567F">
        <w:rPr>
          <w:rFonts w:ascii="Calibri" w:hAnsi="Calibri" w:cs="Calibri"/>
        </w:rPr>
        <w:t>Rete Rurale Nazionale, Banca dati Indicatori di contesto post-2020</w:t>
      </w:r>
      <w:r>
        <w:br/>
      </w:r>
      <w:hyperlink r:id="rId27" w:history="1">
        <w:r w:rsidRPr="00CC3DC6">
          <w:rPr>
            <w:rStyle w:val="Collegamentoipertestuale"/>
            <w:rFonts w:cstheme="minorHAnsi"/>
          </w:rPr>
          <w:t>https://www.reterurale.it/indicatoricontesto_post2020</w:t>
        </w:r>
      </w:hyperlink>
    </w:p>
    <w:p w14:paraId="0A1D3F8F" w14:textId="77777777" w:rsidR="00723867" w:rsidRDefault="00723867" w:rsidP="00052C52">
      <w:pPr>
        <w:pStyle w:val="Paragrafoelenco"/>
        <w:numPr>
          <w:ilvl w:val="0"/>
          <w:numId w:val="5"/>
        </w:numPr>
        <w:spacing w:after="120"/>
        <w:ind w:left="357"/>
        <w:jc w:val="left"/>
      </w:pPr>
      <w:r>
        <w:t xml:space="preserve">Rete Rurale Nazionale, Banca dati Indicatori competitività </w:t>
      </w:r>
    </w:p>
    <w:p w14:paraId="1F1C0E78" w14:textId="77777777" w:rsidR="00723867" w:rsidRDefault="00A32DB9" w:rsidP="00723867">
      <w:pPr>
        <w:pStyle w:val="Paragrafoelenco"/>
        <w:spacing w:after="120"/>
        <w:ind w:left="357"/>
        <w:contextualSpacing w:val="0"/>
      </w:pPr>
      <w:hyperlink r:id="rId28" w:history="1">
        <w:r w:rsidR="00723867" w:rsidRPr="008B24C7">
          <w:rPr>
            <w:rStyle w:val="Collegamentoipertestuale"/>
          </w:rPr>
          <w:t>http://www.ismeamercati.it/osservatori-rrn/indicatori-competitivita</w:t>
        </w:r>
      </w:hyperlink>
    </w:p>
    <w:p w14:paraId="1CAC79AE" w14:textId="77777777" w:rsidR="00857081" w:rsidRDefault="00857081" w:rsidP="00052C52">
      <w:pPr>
        <w:pStyle w:val="Paragrafoelenco"/>
        <w:numPr>
          <w:ilvl w:val="0"/>
          <w:numId w:val="5"/>
        </w:numPr>
        <w:spacing w:after="120"/>
        <w:ind w:left="357"/>
        <w:jc w:val="left"/>
      </w:pPr>
      <w:r w:rsidRPr="00CC3DC6">
        <w:rPr>
          <w:rFonts w:cstheme="minorHAnsi"/>
        </w:rPr>
        <w:t>CE-DG Agri, Il Quadro di monitoraggio e valutazione 2014-20 (CMEF)</w:t>
      </w:r>
      <w:r>
        <w:br/>
      </w:r>
      <w:hyperlink r:id="rId29" w:history="1">
        <w:r w:rsidRPr="009D567F">
          <w:rPr>
            <w:rStyle w:val="Collegamentoipertestuale"/>
            <w:rFonts w:cstheme="minorHAnsi"/>
          </w:rPr>
          <w:t>https://ec.europa.eu/info/food-farming-fisheries/key-policies/common-agricultural-policy/cap-glance/cmef_en</w:t>
        </w:r>
      </w:hyperlink>
    </w:p>
    <w:p w14:paraId="1FC4D191" w14:textId="77777777" w:rsidR="00857081" w:rsidRPr="003F3EA6" w:rsidRDefault="00857081" w:rsidP="00052C52">
      <w:pPr>
        <w:pStyle w:val="Paragrafoelenco"/>
        <w:numPr>
          <w:ilvl w:val="0"/>
          <w:numId w:val="5"/>
        </w:numPr>
        <w:spacing w:after="120"/>
        <w:ind w:left="426"/>
        <w:contextualSpacing w:val="0"/>
        <w:jc w:val="left"/>
        <w:rPr>
          <w:lang w:val="en-GB"/>
        </w:rPr>
      </w:pPr>
      <w:r w:rsidRPr="0028569B">
        <w:rPr>
          <w:rFonts w:ascii="Calibri" w:hAnsi="Calibri" w:cs="Calibri"/>
          <w:lang w:val="en-GB"/>
        </w:rPr>
        <w:t xml:space="preserve">CE-DG Agri, Dashboard 2014-20 (CMEF) </w:t>
      </w:r>
      <w:hyperlink r:id="rId30" w:history="1">
        <w:r w:rsidRPr="008B24C7">
          <w:rPr>
            <w:rStyle w:val="Collegamentoipertestuale"/>
            <w:lang w:val="en-GB"/>
          </w:rPr>
          <w:t>https://agridata.ec.europa.eu/extensions/DataPortal/cmef_indicators.html</w:t>
        </w:r>
      </w:hyperlink>
      <w:r>
        <w:rPr>
          <w:lang w:val="en-GB"/>
        </w:rPr>
        <w:t xml:space="preserve"> </w:t>
      </w:r>
    </w:p>
    <w:p w14:paraId="5CA87AD8" w14:textId="77777777" w:rsidR="00857081" w:rsidRPr="003F3EA6" w:rsidRDefault="00857081" w:rsidP="00052C52">
      <w:pPr>
        <w:pStyle w:val="Paragrafoelenco"/>
        <w:numPr>
          <w:ilvl w:val="0"/>
          <w:numId w:val="5"/>
        </w:numPr>
        <w:spacing w:after="0"/>
        <w:ind w:left="425" w:hanging="357"/>
        <w:contextualSpacing w:val="0"/>
      </w:pPr>
      <w:r w:rsidRPr="009D567F">
        <w:rPr>
          <w:rFonts w:ascii="Calibri" w:hAnsi="Calibri" w:cs="Calibri"/>
        </w:rPr>
        <w:t>CE-DG Agri, Dashboard 2014-20 (CMEF), Dati Indicatori contesto 2014-20 (CMEF) - aggiornamento 2018</w:t>
      </w:r>
      <w:r>
        <w:t xml:space="preserve"> </w:t>
      </w:r>
      <w:r>
        <w:br/>
      </w:r>
      <w:hyperlink r:id="rId31" w:history="1">
        <w:r w:rsidRPr="009D567F">
          <w:rPr>
            <w:rStyle w:val="Collegamentoipertestuale"/>
            <w:rFonts w:cstheme="minorHAnsi"/>
          </w:rPr>
          <w:t>https://ec.europa.eu/agriculture/cap-indicators/context/2018_en</w:t>
        </w:r>
      </w:hyperlink>
    </w:p>
    <w:p w14:paraId="5CC1E13E" w14:textId="6D771669" w:rsidR="00857081" w:rsidRPr="003F5E0E" w:rsidRDefault="003F5E0E" w:rsidP="003F5E0E">
      <w:pPr>
        <w:pStyle w:val="Paragrafoelenco"/>
        <w:numPr>
          <w:ilvl w:val="0"/>
          <w:numId w:val="5"/>
        </w:numPr>
        <w:spacing w:after="0"/>
        <w:ind w:hanging="720"/>
        <w:rPr>
          <w:rFonts w:ascii="Calibri" w:hAnsi="Calibri" w:cs="Calibri"/>
        </w:rPr>
      </w:pPr>
      <w:r>
        <w:rPr>
          <w:rFonts w:ascii="Calibri" w:hAnsi="Calibri" w:cs="Calibri"/>
        </w:rPr>
        <w:t xml:space="preserve">CREA - </w:t>
      </w:r>
      <w:r w:rsidRPr="003F5E0E">
        <w:rPr>
          <w:rFonts w:ascii="Calibri" w:hAnsi="Calibri" w:cs="Calibri"/>
        </w:rPr>
        <w:t>Indagine sul Mercato Fondiario</w:t>
      </w:r>
    </w:p>
    <w:p w14:paraId="315BAF16" w14:textId="58A90A30" w:rsidR="003F5E0E" w:rsidRPr="00AE062B" w:rsidRDefault="003F5E0E" w:rsidP="00857081">
      <w:pPr>
        <w:pStyle w:val="Paragrafoelenco"/>
        <w:spacing w:after="0"/>
        <w:ind w:left="360"/>
        <w:rPr>
          <w:rStyle w:val="Collegamentoipertestuale"/>
          <w:rFonts w:cstheme="minorHAnsi"/>
        </w:rPr>
      </w:pPr>
      <w:r w:rsidRPr="003F5E0E">
        <w:rPr>
          <w:rStyle w:val="Collegamentoipertestuale"/>
          <w:rFonts w:cstheme="minorHAnsi"/>
        </w:rPr>
        <w:t>https://www.crea.gov.it/web/politiche-e-bioeconomia/-/indagine-mercato-fondiario</w:t>
      </w:r>
    </w:p>
    <w:p w14:paraId="14EB0123" w14:textId="77777777" w:rsidR="00857081" w:rsidRDefault="00857081" w:rsidP="00857081"/>
    <w:p w14:paraId="169747A0" w14:textId="77777777" w:rsidR="00857081" w:rsidRPr="00BC55B6" w:rsidRDefault="00857081" w:rsidP="00857081">
      <w:pPr>
        <w:pStyle w:val="Titolo2"/>
      </w:pPr>
      <w:bookmarkStart w:id="14" w:name="_Toc56585253"/>
      <w:r>
        <w:t>Pubblicazioni di riferimento</w:t>
      </w:r>
      <w:bookmarkEnd w:id="14"/>
    </w:p>
    <w:p w14:paraId="271E4F04" w14:textId="56F2023A" w:rsidR="009B672C" w:rsidRDefault="009B672C" w:rsidP="00DB1F2E">
      <w:pPr>
        <w:spacing w:after="0"/>
        <w:jc w:val="left"/>
        <w:rPr>
          <w:rFonts w:ascii="Calibri" w:hAnsi="Calibri" w:cs="Calibri"/>
        </w:rPr>
      </w:pPr>
      <w:r w:rsidRPr="009B672C">
        <w:rPr>
          <w:rFonts w:ascii="Calibri" w:hAnsi="Calibri" w:cs="Calibri"/>
        </w:rPr>
        <w:t xml:space="preserve">Arzeni </w:t>
      </w:r>
      <w:r>
        <w:rPr>
          <w:rFonts w:ascii="Calibri" w:hAnsi="Calibri" w:cs="Calibri"/>
        </w:rPr>
        <w:t>A.</w:t>
      </w:r>
      <w:r w:rsidRPr="009B672C">
        <w:rPr>
          <w:rFonts w:ascii="Calibri" w:hAnsi="Calibri" w:cs="Calibri"/>
        </w:rPr>
        <w:t xml:space="preserve">, </w:t>
      </w:r>
      <w:proofErr w:type="spellStart"/>
      <w:r w:rsidRPr="009B672C">
        <w:rPr>
          <w:rFonts w:ascii="Calibri" w:hAnsi="Calibri" w:cs="Calibri"/>
        </w:rPr>
        <w:t>Sotte</w:t>
      </w:r>
      <w:proofErr w:type="spellEnd"/>
      <w:r w:rsidRPr="009B672C">
        <w:rPr>
          <w:rFonts w:ascii="Calibri" w:hAnsi="Calibri" w:cs="Calibri"/>
        </w:rPr>
        <w:t xml:space="preserve"> </w:t>
      </w:r>
      <w:r w:rsidR="00E66280">
        <w:rPr>
          <w:rFonts w:ascii="Calibri" w:hAnsi="Calibri" w:cs="Calibri"/>
        </w:rPr>
        <w:t xml:space="preserve">F. (2013), </w:t>
      </w:r>
      <w:r w:rsidRPr="009B672C">
        <w:rPr>
          <w:rFonts w:ascii="Calibri" w:hAnsi="Calibri" w:cs="Calibri"/>
        </w:rPr>
        <w:t>Lo sviluppo imprenditoriale agricolo nelle aree montane</w:t>
      </w:r>
      <w:r w:rsidR="00E66280">
        <w:rPr>
          <w:rFonts w:ascii="Calibri" w:hAnsi="Calibri" w:cs="Calibri"/>
        </w:rPr>
        <w:t xml:space="preserve">, </w:t>
      </w:r>
      <w:proofErr w:type="spellStart"/>
      <w:r w:rsidR="00E66280" w:rsidRPr="009B672C">
        <w:rPr>
          <w:rFonts w:ascii="Calibri" w:hAnsi="Calibri" w:cs="Calibri"/>
        </w:rPr>
        <w:t>Agriregionieuropa</w:t>
      </w:r>
      <w:proofErr w:type="spellEnd"/>
      <w:r w:rsidR="00E66280" w:rsidRPr="009B672C">
        <w:rPr>
          <w:rFonts w:ascii="Calibri" w:hAnsi="Calibri" w:cs="Calibri"/>
        </w:rPr>
        <w:t xml:space="preserve"> anno 9 n°34, Set 2013</w:t>
      </w:r>
    </w:p>
    <w:p w14:paraId="1D4C4151" w14:textId="23AA384A" w:rsidR="00DB1F2E" w:rsidRDefault="00A32DB9" w:rsidP="009B672C">
      <w:pPr>
        <w:spacing w:after="120"/>
        <w:jc w:val="left"/>
        <w:rPr>
          <w:rFonts w:ascii="Calibri" w:hAnsi="Calibri" w:cs="Calibri"/>
        </w:rPr>
      </w:pPr>
      <w:hyperlink r:id="rId32" w:history="1">
        <w:r w:rsidR="00DB1F2E" w:rsidRPr="00245CDB">
          <w:rPr>
            <w:rStyle w:val="Collegamentoipertestuale"/>
            <w:rFonts w:ascii="Calibri" w:hAnsi="Calibri" w:cs="Calibri"/>
          </w:rPr>
          <w:t>https://agriregionieuropa.univpm.it/it/content/article/31/34/lo-sviluppo-imprenditoriale-agricolo-nelle-aree-montane</w:t>
        </w:r>
      </w:hyperlink>
    </w:p>
    <w:p w14:paraId="317404E1" w14:textId="68449E61" w:rsidR="00DB1F2E" w:rsidRDefault="00DB1F2E" w:rsidP="009D567F">
      <w:pPr>
        <w:spacing w:after="0"/>
        <w:rPr>
          <w:rFonts w:ascii="Calibri" w:hAnsi="Calibri" w:cs="Calibri"/>
        </w:rPr>
      </w:pPr>
      <w:r w:rsidRPr="009B672C">
        <w:rPr>
          <w:rFonts w:ascii="Calibri" w:hAnsi="Calibri" w:cs="Calibri"/>
        </w:rPr>
        <w:t>Barbe</w:t>
      </w:r>
      <w:r w:rsidR="00F74540">
        <w:rPr>
          <w:rFonts w:ascii="Calibri" w:hAnsi="Calibri" w:cs="Calibri"/>
        </w:rPr>
        <w:t>ris</w:t>
      </w:r>
      <w:r w:rsidRPr="009B672C">
        <w:rPr>
          <w:rFonts w:ascii="Calibri" w:hAnsi="Calibri" w:cs="Calibri"/>
        </w:rPr>
        <w:t xml:space="preserve"> C. (a</w:t>
      </w:r>
      <w:r w:rsidR="00F90020">
        <w:rPr>
          <w:rFonts w:ascii="Calibri" w:hAnsi="Calibri" w:cs="Calibri"/>
        </w:rPr>
        <w:t xml:space="preserve"> </w:t>
      </w:r>
      <w:r w:rsidRPr="009B672C">
        <w:rPr>
          <w:rFonts w:ascii="Calibri" w:hAnsi="Calibri" w:cs="Calibri"/>
        </w:rPr>
        <w:t xml:space="preserve">cura di) (2013), </w:t>
      </w:r>
      <w:r w:rsidR="00E02906">
        <w:rPr>
          <w:rFonts w:ascii="Calibri" w:hAnsi="Calibri" w:cs="Calibri"/>
        </w:rPr>
        <w:t>C</w:t>
      </w:r>
      <w:r w:rsidRPr="009B672C">
        <w:rPr>
          <w:rFonts w:ascii="Calibri" w:hAnsi="Calibri" w:cs="Calibri"/>
        </w:rPr>
        <w:t xml:space="preserve">apitale umano e stratificazione sociale </w:t>
      </w:r>
      <w:proofErr w:type="spellStart"/>
      <w:r w:rsidRPr="009B672C">
        <w:rPr>
          <w:rFonts w:ascii="Calibri" w:hAnsi="Calibri" w:cs="Calibri"/>
        </w:rPr>
        <w:t>nell’italia</w:t>
      </w:r>
      <w:proofErr w:type="spellEnd"/>
      <w:r w:rsidRPr="009B672C">
        <w:rPr>
          <w:rFonts w:ascii="Calibri" w:hAnsi="Calibri" w:cs="Calibri"/>
        </w:rPr>
        <w:t xml:space="preserve"> agricola secondo il 6° censimento generale dell’agricoltura 2010, ISTAT, Roma</w:t>
      </w:r>
    </w:p>
    <w:p w14:paraId="1386354D" w14:textId="08EEF6DB" w:rsidR="00E02906" w:rsidRDefault="00A32DB9" w:rsidP="000463C6">
      <w:pPr>
        <w:spacing w:after="120"/>
        <w:rPr>
          <w:rStyle w:val="Collegamentoipertestuale"/>
          <w:rFonts w:ascii="Calibri" w:hAnsi="Calibri" w:cs="Calibri"/>
        </w:rPr>
      </w:pPr>
      <w:hyperlink r:id="rId33" w:history="1">
        <w:r w:rsidR="00E02906" w:rsidRPr="00245CDB">
          <w:rPr>
            <w:rStyle w:val="Collegamentoipertestuale"/>
            <w:rFonts w:ascii="Calibri" w:hAnsi="Calibri" w:cs="Calibri"/>
          </w:rPr>
          <w:t>https://www4.istat.it/it/archivio/96916</w:t>
        </w:r>
      </w:hyperlink>
    </w:p>
    <w:p w14:paraId="46B42F2B" w14:textId="7E3EBED3" w:rsidR="000463C6" w:rsidRDefault="000463C6" w:rsidP="00861A4F">
      <w:pPr>
        <w:spacing w:after="0"/>
        <w:rPr>
          <w:rFonts w:ascii="Calibri" w:hAnsi="Calibri" w:cs="Calibri"/>
        </w:rPr>
      </w:pPr>
      <w:r w:rsidRPr="000463C6">
        <w:rPr>
          <w:rFonts w:ascii="Calibri" w:hAnsi="Calibri" w:cs="Calibri"/>
        </w:rPr>
        <w:t>Cagliero R., Iacono R., Licciardo F., Prandi T., Rossi N. (2019), La montagna e le zone svantaggiate nei Programmi di Sviluppo Rurale: una valutazione delle indennità compensative attraverso la RICA. Economia Agro-Alimentare/Food Economy 20(3)</w:t>
      </w:r>
      <w:r>
        <w:rPr>
          <w:rFonts w:ascii="Calibri" w:hAnsi="Calibri" w:cs="Calibri"/>
        </w:rPr>
        <w:t>.</w:t>
      </w:r>
    </w:p>
    <w:p w14:paraId="34988D32" w14:textId="14F818E5" w:rsidR="00861A4F" w:rsidRDefault="00861A4F" w:rsidP="00861A4F">
      <w:pPr>
        <w:spacing w:after="0"/>
        <w:rPr>
          <w:rFonts w:ascii="Calibri" w:hAnsi="Calibri" w:cs="Calibri"/>
        </w:rPr>
      </w:pPr>
      <w:r w:rsidRPr="00861A4F">
        <w:rPr>
          <w:rFonts w:ascii="Calibri" w:hAnsi="Calibri" w:cs="Calibri"/>
        </w:rPr>
        <w:t xml:space="preserve">Cesaro, L. &amp; </w:t>
      </w:r>
      <w:proofErr w:type="spellStart"/>
      <w:r w:rsidRPr="00861A4F">
        <w:rPr>
          <w:rFonts w:ascii="Calibri" w:hAnsi="Calibri" w:cs="Calibri"/>
        </w:rPr>
        <w:t>Morongiu</w:t>
      </w:r>
      <w:proofErr w:type="spellEnd"/>
      <w:r w:rsidRPr="00861A4F">
        <w:rPr>
          <w:rFonts w:ascii="Calibri" w:hAnsi="Calibri" w:cs="Calibri"/>
        </w:rPr>
        <w:t xml:space="preserve">, S. (2013). L’agricoltura di montagna svantaggio o </w:t>
      </w:r>
      <w:proofErr w:type="gramStart"/>
      <w:r w:rsidRPr="00861A4F">
        <w:rPr>
          <w:rFonts w:ascii="Calibri" w:hAnsi="Calibri" w:cs="Calibri"/>
        </w:rPr>
        <w:t>risorsa?.</w:t>
      </w:r>
      <w:proofErr w:type="gramEnd"/>
      <w:r w:rsidRPr="00861A4F">
        <w:rPr>
          <w:rFonts w:ascii="Calibri" w:hAnsi="Calibri" w:cs="Calibri"/>
        </w:rPr>
        <w:t xml:space="preserve"> RRN Magazine, Numero 6, aprile 2013, 6-9.</w:t>
      </w:r>
    </w:p>
    <w:p w14:paraId="44A38989" w14:textId="51BA5C0C" w:rsidR="00857081" w:rsidRPr="00AE062B" w:rsidRDefault="00857081" w:rsidP="00857081">
      <w:pPr>
        <w:autoSpaceDE w:val="0"/>
        <w:autoSpaceDN w:val="0"/>
        <w:adjustRightInd w:val="0"/>
        <w:spacing w:after="120"/>
        <w:rPr>
          <w:rFonts w:ascii="Calibri" w:hAnsi="Calibri" w:cs="Calibri"/>
          <w:color w:val="000000"/>
        </w:rPr>
      </w:pPr>
      <w:r w:rsidRPr="00AE062B">
        <w:rPr>
          <w:rFonts w:ascii="Calibri" w:hAnsi="Calibri" w:cs="Calibri"/>
          <w:color w:val="000000"/>
        </w:rPr>
        <w:t>Commissione Europea (2017), Il futuro dell’alimentazione e dell’agricoltura [</w:t>
      </w:r>
      <w:proofErr w:type="gramStart"/>
      <w:r w:rsidRPr="00AE062B">
        <w:rPr>
          <w:rFonts w:ascii="Calibri" w:hAnsi="Calibri" w:cs="Calibri"/>
          <w:color w:val="000000"/>
        </w:rPr>
        <w:t>COM(</w:t>
      </w:r>
      <w:proofErr w:type="gramEnd"/>
      <w:r w:rsidRPr="00AE062B">
        <w:rPr>
          <w:rFonts w:ascii="Calibri" w:hAnsi="Calibri" w:cs="Calibri"/>
          <w:color w:val="000000"/>
        </w:rPr>
        <w:t xml:space="preserve">2017)713] </w:t>
      </w:r>
      <w:hyperlink r:id="rId34" w:history="1">
        <w:r w:rsidR="00DB1F2E" w:rsidRPr="00245CDB">
          <w:rPr>
            <w:rStyle w:val="Collegamentoipertestuale"/>
            <w:rFonts w:ascii="Calibri" w:hAnsi="Calibri" w:cs="Calibri"/>
          </w:rPr>
          <w:t>https://ec.europa.eu/agriculture/sites/agriculture/files/future-of-cap/future_of_food_and_farming_communication_it.pdf</w:t>
        </w:r>
      </w:hyperlink>
      <w:r w:rsidRPr="00AE062B">
        <w:rPr>
          <w:rFonts w:ascii="Calibri" w:hAnsi="Calibri" w:cs="Calibri"/>
          <w:color w:val="000000"/>
        </w:rPr>
        <w:t xml:space="preserve">   </w:t>
      </w:r>
    </w:p>
    <w:p w14:paraId="0AECDA8A" w14:textId="77777777" w:rsidR="004F6191" w:rsidRDefault="004F6191" w:rsidP="004F6191">
      <w:pPr>
        <w:spacing w:after="0"/>
        <w:rPr>
          <w:rFonts w:ascii="Calibri" w:hAnsi="Calibri" w:cs="Calibri"/>
        </w:rPr>
      </w:pPr>
      <w:r w:rsidRPr="00AE062B">
        <w:rPr>
          <w:rFonts w:ascii="Calibri" w:hAnsi="Calibri" w:cs="Calibri"/>
        </w:rPr>
        <w:t xml:space="preserve">CREA </w:t>
      </w:r>
      <w:r>
        <w:rPr>
          <w:rFonts w:ascii="Calibri" w:hAnsi="Calibri" w:cs="Calibri"/>
        </w:rPr>
        <w:t>-</w:t>
      </w:r>
      <w:r w:rsidRPr="00AE062B">
        <w:rPr>
          <w:rFonts w:ascii="Calibri" w:hAnsi="Calibri" w:cs="Calibri"/>
        </w:rPr>
        <w:t xml:space="preserve"> RICA (2017), </w:t>
      </w:r>
      <w:r w:rsidRPr="004F6191">
        <w:rPr>
          <w:rFonts w:ascii="Calibri" w:hAnsi="Calibri" w:cs="Calibri"/>
        </w:rPr>
        <w:t>I</w:t>
      </w:r>
      <w:hyperlink r:id="rId35" w:history="1">
        <w:r w:rsidRPr="00AE062B">
          <w:rPr>
            <w:rFonts w:ascii="Calibri" w:hAnsi="Calibri" w:cs="Calibri"/>
          </w:rPr>
          <w:t>nfografica opuscolo focus Italia 2016</w:t>
        </w:r>
      </w:hyperlink>
      <w:r w:rsidRPr="00AE062B">
        <w:rPr>
          <w:rFonts w:ascii="Calibri" w:hAnsi="Calibri" w:cs="Calibri"/>
        </w:rPr>
        <w:t xml:space="preserve"> </w:t>
      </w:r>
    </w:p>
    <w:p w14:paraId="3B88A435" w14:textId="77777777" w:rsidR="004F6191" w:rsidRDefault="00A32DB9" w:rsidP="004F6191">
      <w:pPr>
        <w:spacing w:after="120"/>
        <w:rPr>
          <w:rStyle w:val="Collegamentoipertestuale"/>
          <w:rFonts w:ascii="Calibri" w:hAnsi="Calibri" w:cs="Calibri"/>
        </w:rPr>
      </w:pPr>
      <w:hyperlink r:id="rId36" w:history="1">
        <w:r w:rsidR="004F6191" w:rsidRPr="006A2F6C">
          <w:rPr>
            <w:rStyle w:val="Collegamentoipertestuale"/>
            <w:rFonts w:ascii="Calibri" w:hAnsi="Calibri" w:cs="Calibri"/>
          </w:rPr>
          <w:t>https://rica.crea.gov.it/new_site/download.php?id=1261</w:t>
        </w:r>
      </w:hyperlink>
    </w:p>
    <w:p w14:paraId="50E02064" w14:textId="3935A796" w:rsidR="00857081" w:rsidRPr="00AE062B" w:rsidRDefault="00857081" w:rsidP="00857081">
      <w:pPr>
        <w:autoSpaceDE w:val="0"/>
        <w:autoSpaceDN w:val="0"/>
        <w:adjustRightInd w:val="0"/>
        <w:spacing w:after="120"/>
        <w:rPr>
          <w:rFonts w:ascii="Calibri" w:hAnsi="Calibri" w:cs="Calibri"/>
          <w:color w:val="000000"/>
          <w:lang w:val="en-US"/>
        </w:rPr>
      </w:pPr>
      <w:r w:rsidRPr="00AE062B">
        <w:rPr>
          <w:rFonts w:ascii="Calibri" w:hAnsi="Calibri" w:cs="Calibri"/>
          <w:color w:val="000000"/>
          <w:lang w:val="en-US"/>
        </w:rPr>
        <w:t xml:space="preserve">European Commission (2017), </w:t>
      </w:r>
      <w:proofErr w:type="spellStart"/>
      <w:r w:rsidRPr="00AE062B">
        <w:rPr>
          <w:rFonts w:ascii="Calibri" w:hAnsi="Calibri" w:cs="Calibri"/>
          <w:color w:val="000000"/>
          <w:lang w:val="en-US"/>
        </w:rPr>
        <w:t>Modernising</w:t>
      </w:r>
      <w:proofErr w:type="spellEnd"/>
      <w:r w:rsidRPr="00AE062B">
        <w:rPr>
          <w:rFonts w:ascii="Calibri" w:hAnsi="Calibri" w:cs="Calibri"/>
          <w:color w:val="000000"/>
          <w:lang w:val="en-US"/>
        </w:rPr>
        <w:t xml:space="preserve"> and simplifying the CAP, Economic challenges facing EU agriculture</w:t>
      </w:r>
      <w:r w:rsidRPr="00AE062B">
        <w:rPr>
          <w:rFonts w:ascii="Calibri" w:hAnsi="Calibri" w:cs="Calibri"/>
          <w:color w:val="000000"/>
          <w:lang w:val="en-US"/>
        </w:rPr>
        <w:br/>
      </w:r>
      <w:hyperlink r:id="rId37" w:history="1">
        <w:r w:rsidR="004F6191" w:rsidRPr="00E45D88">
          <w:rPr>
            <w:rStyle w:val="Collegamentoipertestuale"/>
            <w:rFonts w:ascii="Calibri" w:hAnsi="Calibri" w:cs="Calibri"/>
            <w:lang w:val="en-US"/>
          </w:rPr>
          <w:t>https://ec.europa.eu/info/sites/info/files/food-farming-fisheries/key_policies/documents/eco_background_final_en.pdf</w:t>
        </w:r>
      </w:hyperlink>
      <w:r w:rsidRPr="00AE062B">
        <w:rPr>
          <w:rFonts w:ascii="Calibri" w:hAnsi="Calibri" w:cs="Calibri"/>
          <w:color w:val="000000"/>
          <w:lang w:val="en-US"/>
        </w:rPr>
        <w:t xml:space="preserve"> </w:t>
      </w:r>
    </w:p>
    <w:p w14:paraId="41476B14" w14:textId="77777777" w:rsidR="00857081" w:rsidRPr="00AE062B" w:rsidRDefault="00857081" w:rsidP="00857081">
      <w:pPr>
        <w:spacing w:after="120"/>
        <w:rPr>
          <w:rFonts w:ascii="Calibri" w:hAnsi="Calibri" w:cs="Calibri"/>
          <w:lang w:val="en-US"/>
        </w:rPr>
      </w:pPr>
      <w:r w:rsidRPr="00AE062B">
        <w:rPr>
          <w:rFonts w:ascii="Calibri" w:hAnsi="Calibri" w:cs="Calibri"/>
          <w:lang w:val="en-US"/>
        </w:rPr>
        <w:t xml:space="preserve">European Commission (2018), CAP specific objectives explained – Brief n.1, Ensuring viable farm income </w:t>
      </w:r>
      <w:hyperlink r:id="rId38" w:history="1">
        <w:r w:rsidRPr="00AE062B">
          <w:rPr>
            <w:rStyle w:val="Collegamentoipertestuale"/>
            <w:rFonts w:ascii="Calibri" w:hAnsi="Calibri" w:cs="Calibri"/>
            <w:lang w:val="en-US"/>
          </w:rPr>
          <w:t>https://ec.europa.eu/info/sites/info/files/food-farming-fisheries/key_policies/documents/cap_specific_objectives_-_brief_1_-_ensuring_viable_farm_income.pdf</w:t>
        </w:r>
      </w:hyperlink>
      <w:r w:rsidRPr="00AE062B">
        <w:rPr>
          <w:rFonts w:ascii="Calibri" w:hAnsi="Calibri" w:cs="Calibri"/>
          <w:lang w:val="en-US"/>
        </w:rPr>
        <w:t xml:space="preserve"> </w:t>
      </w:r>
    </w:p>
    <w:p w14:paraId="6BE3B46E" w14:textId="77777777" w:rsidR="00857081" w:rsidRPr="00AE062B" w:rsidRDefault="00857081" w:rsidP="00857081">
      <w:pPr>
        <w:spacing w:after="120"/>
        <w:rPr>
          <w:rFonts w:ascii="Calibri" w:hAnsi="Calibri" w:cs="Calibri"/>
        </w:rPr>
      </w:pPr>
      <w:r w:rsidRPr="00AE062B">
        <w:rPr>
          <w:rFonts w:ascii="Calibri" w:hAnsi="Calibri" w:cs="Calibri"/>
          <w:lang w:val="en-US"/>
        </w:rPr>
        <w:lastRenderedPageBreak/>
        <w:t xml:space="preserve">European Commission (2019), Analytical factsheet for Italy: Nine objectives for a future Common Agricultural Policy. </w:t>
      </w:r>
      <w:r w:rsidRPr="00AE062B">
        <w:rPr>
          <w:rFonts w:ascii="Calibri" w:hAnsi="Calibri" w:cs="Calibri"/>
        </w:rPr>
        <w:t xml:space="preserve">Scaricabile al link: </w:t>
      </w:r>
      <w:hyperlink r:id="rId39" w:history="1">
        <w:r w:rsidRPr="00AE062B">
          <w:rPr>
            <w:rStyle w:val="Collegamentoipertestuale"/>
            <w:rFonts w:ascii="Calibri" w:hAnsi="Calibri" w:cs="Calibri"/>
          </w:rPr>
          <w:t>https://www.reterurale.it/flex/cm/pages/ServeBLOB.php/L/IT/IDPagina/19522</w:t>
        </w:r>
      </w:hyperlink>
    </w:p>
    <w:p w14:paraId="655AF05F" w14:textId="240EAA61" w:rsidR="004F6191" w:rsidRDefault="004F6191" w:rsidP="004F6191">
      <w:pPr>
        <w:spacing w:after="120"/>
        <w:contextualSpacing/>
        <w:rPr>
          <w:rFonts w:ascii="Calibri" w:hAnsi="Calibri" w:cs="Calibri"/>
        </w:rPr>
      </w:pPr>
      <w:r>
        <w:rPr>
          <w:rFonts w:ascii="Calibri" w:hAnsi="Calibri" w:cs="Calibri"/>
        </w:rPr>
        <w:t xml:space="preserve">Ismea (2018), Rapporto sulla competitività dell’agroalimentare italiano, luglio. </w:t>
      </w:r>
      <w:hyperlink r:id="rId40" w:history="1">
        <w:r w:rsidRPr="008D352E">
          <w:rPr>
            <w:rStyle w:val="Collegamentoipertestuale"/>
            <w:rFonts w:ascii="Calibri" w:hAnsi="Calibri" w:cs="Calibri"/>
            <w:color w:val="auto"/>
          </w:rPr>
          <w:t>http://www.ismeamercati.it/flex/cm/pages/ServeBLOB.php/L/IT/IDPagina/8848</w:t>
        </w:r>
      </w:hyperlink>
    </w:p>
    <w:p w14:paraId="42D12517" w14:textId="61E3B759" w:rsidR="004F6191" w:rsidRDefault="004F6191" w:rsidP="004F6191">
      <w:pPr>
        <w:spacing w:after="120"/>
        <w:contextualSpacing/>
        <w:jc w:val="left"/>
      </w:pPr>
      <w:r>
        <w:rPr>
          <w:rFonts w:ascii="Calibri" w:hAnsi="Calibri" w:cs="Calibri"/>
        </w:rPr>
        <w:t>Ismea (2019)</w:t>
      </w:r>
      <w:r>
        <w:t xml:space="preserve">, </w:t>
      </w:r>
      <w:r w:rsidRPr="00387847">
        <w:t>Le Schede Ismea per i principali settori dell'agroalimentare</w:t>
      </w:r>
      <w:r>
        <w:t xml:space="preserve"> (aggiornamento annuale)</w:t>
      </w:r>
    </w:p>
    <w:p w14:paraId="6C88B001" w14:textId="77777777" w:rsidR="004F6191" w:rsidRDefault="00A32DB9" w:rsidP="004F6191">
      <w:pPr>
        <w:spacing w:after="120"/>
        <w:contextualSpacing/>
        <w:jc w:val="left"/>
        <w:rPr>
          <w:rStyle w:val="Collegamentoipertestuale"/>
        </w:rPr>
      </w:pPr>
      <w:hyperlink r:id="rId41" w:history="1">
        <w:r w:rsidR="004F6191">
          <w:rPr>
            <w:rStyle w:val="Collegamentoipertestuale"/>
          </w:rPr>
          <w:t>http://www.ismeamercati.it/report-analisi-agroalimentare/schede-settore</w:t>
        </w:r>
      </w:hyperlink>
    </w:p>
    <w:p w14:paraId="52C43686" w14:textId="158C7D42" w:rsidR="004F6191" w:rsidRDefault="004F6191" w:rsidP="004F6191">
      <w:pPr>
        <w:spacing w:after="120"/>
        <w:contextualSpacing/>
        <w:rPr>
          <w:rFonts w:ascii="Calibri" w:hAnsi="Calibri" w:cs="Calibri"/>
        </w:rPr>
      </w:pPr>
      <w:r>
        <w:rPr>
          <w:rFonts w:ascii="Calibri" w:hAnsi="Calibri" w:cs="Calibri"/>
        </w:rPr>
        <w:t>Ismea (2019), Rapporto sulla competitività dell’agroalimentare del Mezzogiorno.</w:t>
      </w:r>
    </w:p>
    <w:p w14:paraId="11125EF2" w14:textId="4178BEC6" w:rsidR="0033294D" w:rsidRDefault="0033294D" w:rsidP="007A256E">
      <w:pPr>
        <w:spacing w:after="0"/>
        <w:jc w:val="left"/>
        <w:rPr>
          <w:rStyle w:val="Collegamentoipertestuale"/>
        </w:rPr>
      </w:pPr>
    </w:p>
    <w:p w14:paraId="503B82ED" w14:textId="51E05ACB" w:rsidR="0033294D" w:rsidRPr="0033294D" w:rsidRDefault="0033294D" w:rsidP="007A256E">
      <w:pPr>
        <w:spacing w:after="0"/>
        <w:jc w:val="left"/>
      </w:pPr>
      <w:r w:rsidRPr="0033294D">
        <w:t xml:space="preserve">RRN-Crea (2019), </w:t>
      </w:r>
      <w:r>
        <w:t>Rapporto sullo stato delle foreste e del settore forestale in Italia 2017-2018</w:t>
      </w:r>
      <w:r w:rsidR="00354FC9">
        <w:t xml:space="preserve"> </w:t>
      </w:r>
      <w:hyperlink r:id="rId42" w:history="1">
        <w:r w:rsidR="00354FC9" w:rsidRPr="00E45D88">
          <w:rPr>
            <w:rStyle w:val="Collegamentoipertestuale"/>
          </w:rPr>
          <w:t>https://www.reterurale.it/foreste</w:t>
        </w:r>
      </w:hyperlink>
      <w:r w:rsidR="00354FC9">
        <w:t xml:space="preserve"> </w:t>
      </w:r>
    </w:p>
    <w:p w14:paraId="7C9A8B8C" w14:textId="77777777" w:rsidR="004F6191" w:rsidRDefault="004F6191" w:rsidP="00624A5B">
      <w:pPr>
        <w:spacing w:after="120"/>
        <w:contextualSpacing/>
        <w:rPr>
          <w:rFonts w:ascii="Calibri" w:hAnsi="Calibri" w:cs="Calibri"/>
        </w:rPr>
      </w:pPr>
    </w:p>
    <w:p w14:paraId="2E08808F" w14:textId="304482B9" w:rsidR="00417924" w:rsidRPr="00F40C58" w:rsidRDefault="004F539E" w:rsidP="00417924">
      <w:pPr>
        <w:pStyle w:val="Pidipagina"/>
      </w:pPr>
      <w:r w:rsidRPr="00F40C58">
        <w:t xml:space="preserve">Povellato A., Longhitano D. (2017), Una lettura dell’andamento del mercato fondiario negli ultimi decenni attraverso le statistiche dell'attività notarile, in </w:t>
      </w:r>
      <w:proofErr w:type="spellStart"/>
      <w:r w:rsidR="00417924" w:rsidRPr="00F40C58">
        <w:t>Agriregionieuropa</w:t>
      </w:r>
      <w:proofErr w:type="spellEnd"/>
      <w:r w:rsidR="00417924" w:rsidRPr="00F40C58">
        <w:t xml:space="preserve"> anno 13 n°49, </w:t>
      </w:r>
      <w:proofErr w:type="spellStart"/>
      <w:r w:rsidR="00417924" w:rsidRPr="00F40C58">
        <w:t>Giu</w:t>
      </w:r>
      <w:proofErr w:type="spellEnd"/>
      <w:r w:rsidR="00417924" w:rsidRPr="00F40C58">
        <w:t xml:space="preserve"> 2017</w:t>
      </w:r>
    </w:p>
    <w:p w14:paraId="4F57CAF3" w14:textId="76119AA6" w:rsidR="004F539E" w:rsidRPr="00F40C58" w:rsidRDefault="004F539E" w:rsidP="00417924">
      <w:pPr>
        <w:pStyle w:val="Pidipagina"/>
      </w:pPr>
    </w:p>
    <w:p w14:paraId="6D83D690" w14:textId="5686F487" w:rsidR="0091016D" w:rsidRPr="00F40C58" w:rsidRDefault="004F539E" w:rsidP="00417924">
      <w:pPr>
        <w:pStyle w:val="Pidipagina"/>
      </w:pPr>
      <w:r w:rsidRPr="00F40C58">
        <w:t xml:space="preserve">Povellato A., Longhitano D. (2017), Mobilità fondiaria e accesso alla terra, </w:t>
      </w:r>
      <w:proofErr w:type="spellStart"/>
      <w:r w:rsidRPr="00F40C58">
        <w:t>Agriregionieuropa</w:t>
      </w:r>
      <w:proofErr w:type="spellEnd"/>
      <w:r w:rsidRPr="00F40C58">
        <w:t xml:space="preserve"> anno 13 n°49, </w:t>
      </w:r>
      <w:proofErr w:type="spellStart"/>
      <w:r w:rsidRPr="00F40C58">
        <w:t>Giu</w:t>
      </w:r>
      <w:proofErr w:type="spellEnd"/>
      <w:r w:rsidRPr="00F40C58">
        <w:t xml:space="preserve"> 2017</w:t>
      </w:r>
      <w:r w:rsidR="00B54A1F" w:rsidRPr="00F40C58">
        <w:t>.</w:t>
      </w:r>
    </w:p>
    <w:p w14:paraId="125FBB8C" w14:textId="7DAA9337" w:rsidR="00B54A1F" w:rsidRPr="00F40C58" w:rsidRDefault="00B54A1F" w:rsidP="00417924">
      <w:pPr>
        <w:pStyle w:val="Pidipagina"/>
      </w:pPr>
    </w:p>
    <w:p w14:paraId="13DEAF60" w14:textId="0E84FAF2" w:rsidR="00B54A1F" w:rsidRPr="00F40C58" w:rsidRDefault="00B54A1F" w:rsidP="00417924">
      <w:pPr>
        <w:pStyle w:val="Pidipagina"/>
        <w:rPr>
          <w:b/>
          <w:sz w:val="20"/>
          <w:szCs w:val="18"/>
        </w:rPr>
      </w:pPr>
      <w:r w:rsidRPr="00F40C58">
        <w:t>CREA (2019</w:t>
      </w:r>
      <w:r w:rsidR="00F40C58" w:rsidRPr="00F40C58">
        <w:t xml:space="preserve">), l'andamento del mercato fondiario e degli affitti in </w:t>
      </w:r>
      <w:r w:rsidR="00F40C58">
        <w:t>I</w:t>
      </w:r>
      <w:r w:rsidR="00F40C58" w:rsidRPr="00F40C58">
        <w:t>talia nel 2018</w:t>
      </w:r>
    </w:p>
    <w:p w14:paraId="22F7F28B" w14:textId="44E1D76F" w:rsidR="00857081" w:rsidRPr="00F40C58" w:rsidRDefault="00857081" w:rsidP="006969C7">
      <w:pPr>
        <w:pStyle w:val="Pidipagina"/>
        <w:jc w:val="center"/>
        <w:rPr>
          <w:b/>
          <w:sz w:val="20"/>
          <w:szCs w:val="18"/>
        </w:rPr>
      </w:pPr>
    </w:p>
    <w:p w14:paraId="2712882E" w14:textId="687D6D0B" w:rsidR="00B54A1F" w:rsidRPr="00F40C58" w:rsidRDefault="00B54A1F" w:rsidP="00B54A1F">
      <w:pPr>
        <w:pStyle w:val="Pidipagina"/>
        <w:jc w:val="left"/>
      </w:pPr>
      <w:r w:rsidRPr="00F40C58">
        <w:t xml:space="preserve">Povellato A., Longhitano D. (2017), Mercato fondiario, prezzo della terra stabile, aumentano le compravendite e la domanda di terreni in affitto in </w:t>
      </w:r>
      <w:proofErr w:type="spellStart"/>
      <w:r w:rsidRPr="00F40C58">
        <w:t>PianetaPSR</w:t>
      </w:r>
      <w:proofErr w:type="spellEnd"/>
      <w:r w:rsidRPr="00F40C58">
        <w:t xml:space="preserve"> numero 67 dicembre 2017</w:t>
      </w:r>
    </w:p>
    <w:p w14:paraId="055BBA1C" w14:textId="77777777" w:rsidR="00857081" w:rsidRDefault="00857081" w:rsidP="006969C7">
      <w:pPr>
        <w:pStyle w:val="Pidipagina"/>
        <w:jc w:val="center"/>
        <w:rPr>
          <w:b/>
          <w:sz w:val="20"/>
          <w:szCs w:val="18"/>
        </w:rPr>
      </w:pPr>
    </w:p>
    <w:p w14:paraId="254D7099" w14:textId="77777777" w:rsidR="00857081" w:rsidRDefault="00857081" w:rsidP="006969C7">
      <w:pPr>
        <w:pStyle w:val="Pidipagina"/>
        <w:jc w:val="center"/>
        <w:rPr>
          <w:b/>
          <w:sz w:val="20"/>
          <w:szCs w:val="18"/>
        </w:rPr>
      </w:pPr>
    </w:p>
    <w:p w14:paraId="4C1D7C2A" w14:textId="77777777" w:rsidR="00857081" w:rsidRDefault="00857081" w:rsidP="006969C7">
      <w:pPr>
        <w:pStyle w:val="Pidipagina"/>
        <w:jc w:val="center"/>
        <w:rPr>
          <w:b/>
          <w:sz w:val="20"/>
          <w:szCs w:val="18"/>
        </w:rPr>
      </w:pPr>
    </w:p>
    <w:p w14:paraId="5560504E" w14:textId="77777777" w:rsidR="00857081" w:rsidRDefault="00857081" w:rsidP="006969C7">
      <w:pPr>
        <w:pStyle w:val="Pidipagina"/>
        <w:jc w:val="center"/>
        <w:rPr>
          <w:b/>
          <w:sz w:val="20"/>
          <w:szCs w:val="18"/>
        </w:rPr>
      </w:pPr>
    </w:p>
    <w:p w14:paraId="6A1A4E2D" w14:textId="4946A994" w:rsidR="00857081" w:rsidRDefault="00857081" w:rsidP="006969C7">
      <w:pPr>
        <w:pStyle w:val="Pidipagina"/>
        <w:jc w:val="center"/>
        <w:rPr>
          <w:b/>
          <w:sz w:val="20"/>
          <w:szCs w:val="18"/>
        </w:rPr>
      </w:pPr>
    </w:p>
    <w:p w14:paraId="36E46902" w14:textId="06EE68F9" w:rsidR="00F00F5B" w:rsidRDefault="00F00F5B" w:rsidP="006969C7">
      <w:pPr>
        <w:pStyle w:val="Pidipagina"/>
        <w:jc w:val="center"/>
        <w:rPr>
          <w:b/>
          <w:sz w:val="20"/>
          <w:szCs w:val="18"/>
        </w:rPr>
      </w:pPr>
    </w:p>
    <w:p w14:paraId="033DD47B" w14:textId="760D12C0" w:rsidR="00F00F5B" w:rsidRDefault="00F00F5B" w:rsidP="006969C7">
      <w:pPr>
        <w:pStyle w:val="Pidipagina"/>
        <w:jc w:val="center"/>
        <w:rPr>
          <w:b/>
          <w:sz w:val="20"/>
          <w:szCs w:val="18"/>
        </w:rPr>
      </w:pPr>
    </w:p>
    <w:p w14:paraId="6E954610" w14:textId="6FADBD62" w:rsidR="00F00F5B" w:rsidRDefault="00F00F5B" w:rsidP="006969C7">
      <w:pPr>
        <w:pStyle w:val="Pidipagina"/>
        <w:jc w:val="center"/>
        <w:rPr>
          <w:b/>
          <w:sz w:val="20"/>
          <w:szCs w:val="18"/>
        </w:rPr>
      </w:pPr>
    </w:p>
    <w:p w14:paraId="77475641" w14:textId="06C4ECFC" w:rsidR="00F00F5B" w:rsidRDefault="00F00F5B" w:rsidP="006969C7">
      <w:pPr>
        <w:pStyle w:val="Pidipagina"/>
        <w:jc w:val="center"/>
        <w:rPr>
          <w:b/>
          <w:sz w:val="20"/>
          <w:szCs w:val="18"/>
        </w:rPr>
      </w:pPr>
    </w:p>
    <w:p w14:paraId="4BC42C47" w14:textId="3FE38A7E" w:rsidR="00F00F5B" w:rsidRDefault="00F00F5B" w:rsidP="006969C7">
      <w:pPr>
        <w:pStyle w:val="Pidipagina"/>
        <w:jc w:val="center"/>
        <w:rPr>
          <w:b/>
          <w:sz w:val="20"/>
          <w:szCs w:val="18"/>
        </w:rPr>
      </w:pPr>
    </w:p>
    <w:p w14:paraId="1744D06E" w14:textId="45FCB878" w:rsidR="00F00F5B" w:rsidRDefault="00F00F5B" w:rsidP="006969C7">
      <w:pPr>
        <w:pStyle w:val="Pidipagina"/>
        <w:jc w:val="center"/>
        <w:rPr>
          <w:b/>
          <w:sz w:val="20"/>
          <w:szCs w:val="18"/>
        </w:rPr>
      </w:pPr>
    </w:p>
    <w:p w14:paraId="0B3DA964" w14:textId="579813FB" w:rsidR="00F00F5B" w:rsidRDefault="00F00F5B" w:rsidP="006969C7">
      <w:pPr>
        <w:pStyle w:val="Pidipagina"/>
        <w:jc w:val="center"/>
        <w:rPr>
          <w:b/>
          <w:sz w:val="20"/>
          <w:szCs w:val="18"/>
        </w:rPr>
      </w:pPr>
    </w:p>
    <w:p w14:paraId="004355EF" w14:textId="32446BD2" w:rsidR="00F00F5B" w:rsidRDefault="00F00F5B" w:rsidP="006969C7">
      <w:pPr>
        <w:pStyle w:val="Pidipagina"/>
        <w:jc w:val="center"/>
        <w:rPr>
          <w:b/>
          <w:sz w:val="20"/>
          <w:szCs w:val="18"/>
        </w:rPr>
      </w:pPr>
    </w:p>
    <w:p w14:paraId="05E92166" w14:textId="5BB2FA34" w:rsidR="00F00F5B" w:rsidRDefault="00F00F5B" w:rsidP="006969C7">
      <w:pPr>
        <w:pStyle w:val="Pidipagina"/>
        <w:jc w:val="center"/>
        <w:rPr>
          <w:b/>
          <w:sz w:val="20"/>
          <w:szCs w:val="18"/>
        </w:rPr>
      </w:pPr>
    </w:p>
    <w:p w14:paraId="5D2F2571" w14:textId="74BC3DEF" w:rsidR="00F00F5B" w:rsidRDefault="00F00F5B" w:rsidP="006969C7">
      <w:pPr>
        <w:pStyle w:val="Pidipagina"/>
        <w:jc w:val="center"/>
        <w:rPr>
          <w:b/>
          <w:sz w:val="20"/>
          <w:szCs w:val="18"/>
        </w:rPr>
      </w:pPr>
    </w:p>
    <w:p w14:paraId="74A0EA83" w14:textId="5C51AAFC" w:rsidR="00F00F5B" w:rsidRDefault="00F00F5B" w:rsidP="006969C7">
      <w:pPr>
        <w:pStyle w:val="Pidipagina"/>
        <w:jc w:val="center"/>
        <w:rPr>
          <w:b/>
          <w:sz w:val="20"/>
          <w:szCs w:val="18"/>
        </w:rPr>
      </w:pPr>
    </w:p>
    <w:p w14:paraId="44196814" w14:textId="1DBA9BA3" w:rsidR="00F00F5B" w:rsidRDefault="00F00F5B" w:rsidP="006969C7">
      <w:pPr>
        <w:pStyle w:val="Pidipagina"/>
        <w:jc w:val="center"/>
        <w:rPr>
          <w:b/>
          <w:sz w:val="20"/>
          <w:szCs w:val="18"/>
        </w:rPr>
      </w:pPr>
    </w:p>
    <w:p w14:paraId="1AF183EC" w14:textId="3E5EC80E" w:rsidR="00F00F5B" w:rsidRDefault="00F00F5B" w:rsidP="006969C7">
      <w:pPr>
        <w:pStyle w:val="Pidipagina"/>
        <w:jc w:val="center"/>
        <w:rPr>
          <w:b/>
          <w:sz w:val="20"/>
          <w:szCs w:val="18"/>
        </w:rPr>
      </w:pPr>
    </w:p>
    <w:p w14:paraId="552D9A53" w14:textId="518648CE" w:rsidR="00F00F5B" w:rsidRDefault="00F00F5B" w:rsidP="006969C7">
      <w:pPr>
        <w:pStyle w:val="Pidipagina"/>
        <w:jc w:val="center"/>
        <w:rPr>
          <w:b/>
          <w:sz w:val="20"/>
          <w:szCs w:val="18"/>
        </w:rPr>
      </w:pPr>
    </w:p>
    <w:p w14:paraId="27A3DAD5" w14:textId="540EE89B" w:rsidR="00F00F5B" w:rsidRDefault="00F00F5B" w:rsidP="006969C7">
      <w:pPr>
        <w:pStyle w:val="Pidipagina"/>
        <w:jc w:val="center"/>
        <w:rPr>
          <w:b/>
          <w:sz w:val="20"/>
          <w:szCs w:val="18"/>
        </w:rPr>
      </w:pPr>
    </w:p>
    <w:p w14:paraId="1A49FC7F" w14:textId="50A26EDD" w:rsidR="006969C7" w:rsidRPr="006969C7" w:rsidRDefault="005A6145" w:rsidP="006969C7">
      <w:pPr>
        <w:pStyle w:val="Pidipagina"/>
        <w:jc w:val="center"/>
        <w:rPr>
          <w:b/>
          <w:sz w:val="20"/>
          <w:szCs w:val="18"/>
        </w:rPr>
      </w:pPr>
      <w:r>
        <w:rPr>
          <w:b/>
          <w:sz w:val="20"/>
          <w:szCs w:val="18"/>
        </w:rPr>
        <w:t>P</w:t>
      </w:r>
      <w:r w:rsidR="006969C7" w:rsidRPr="006969C7">
        <w:rPr>
          <w:b/>
          <w:sz w:val="20"/>
          <w:szCs w:val="18"/>
        </w:rPr>
        <w:t xml:space="preserve">ubblicazione realizzata con il contributo del </w:t>
      </w:r>
      <w:proofErr w:type="spellStart"/>
      <w:r w:rsidR="006969C7" w:rsidRPr="006969C7">
        <w:rPr>
          <w:b/>
          <w:sz w:val="20"/>
          <w:szCs w:val="18"/>
        </w:rPr>
        <w:t>Feasr</w:t>
      </w:r>
      <w:proofErr w:type="spellEnd"/>
      <w:r w:rsidR="006969C7" w:rsidRPr="006969C7">
        <w:rPr>
          <w:b/>
          <w:sz w:val="20"/>
          <w:szCs w:val="18"/>
        </w:rPr>
        <w:t xml:space="preserve"> (Fondo europeo agricolo per lo sviluppo rurale)</w:t>
      </w:r>
    </w:p>
    <w:p w14:paraId="3E727BBF" w14:textId="72E0A015" w:rsidR="00102578" w:rsidRDefault="006969C7" w:rsidP="006969C7">
      <w:pPr>
        <w:pStyle w:val="Pidipagina"/>
        <w:jc w:val="center"/>
        <w:rPr>
          <w:b/>
          <w:sz w:val="20"/>
          <w:szCs w:val="18"/>
        </w:rPr>
      </w:pPr>
      <w:r w:rsidRPr="006969C7">
        <w:rPr>
          <w:b/>
          <w:sz w:val="20"/>
          <w:szCs w:val="18"/>
        </w:rPr>
        <w:t>nell’ambito delle attività previste dal Programma Rete Rurale Nazionale 2014-2020</w:t>
      </w:r>
    </w:p>
    <w:p w14:paraId="2E6A4515" w14:textId="77777777" w:rsidR="006969C7" w:rsidRPr="00F407EB" w:rsidRDefault="006969C7" w:rsidP="006969C7">
      <w:pPr>
        <w:pStyle w:val="Pidipagina"/>
        <w:jc w:val="center"/>
        <w:rPr>
          <w:sz w:val="20"/>
          <w:szCs w:val="18"/>
        </w:rPr>
      </w:pPr>
    </w:p>
    <w:p w14:paraId="62AF5086" w14:textId="0A55B341" w:rsidR="00102578" w:rsidRPr="007864E6" w:rsidRDefault="00102578" w:rsidP="000411BB">
      <w:pPr>
        <w:ind w:left="851" w:right="1416"/>
        <w:jc w:val="center"/>
        <w:rPr>
          <w:sz w:val="20"/>
          <w:szCs w:val="18"/>
        </w:rPr>
      </w:pPr>
      <w:r w:rsidRPr="007864E6">
        <w:rPr>
          <w:sz w:val="20"/>
          <w:szCs w:val="18"/>
        </w:rPr>
        <w:t xml:space="preserve">Autori: </w:t>
      </w:r>
      <w:r w:rsidR="00F407EB" w:rsidRPr="007864E6">
        <w:rPr>
          <w:sz w:val="20"/>
          <w:szCs w:val="18"/>
        </w:rPr>
        <w:t xml:space="preserve">Roberto Cagliero, Federica </w:t>
      </w:r>
      <w:proofErr w:type="spellStart"/>
      <w:r w:rsidR="00F407EB" w:rsidRPr="007864E6">
        <w:rPr>
          <w:sz w:val="20"/>
          <w:szCs w:val="18"/>
        </w:rPr>
        <w:t>Cisilino</w:t>
      </w:r>
      <w:proofErr w:type="spellEnd"/>
      <w:r w:rsidR="00F407EB" w:rsidRPr="007864E6">
        <w:rPr>
          <w:sz w:val="20"/>
          <w:szCs w:val="18"/>
        </w:rPr>
        <w:t xml:space="preserve">, Antonella Finizia, Francesco Licciardo, </w:t>
      </w:r>
      <w:r w:rsidR="007864E6">
        <w:rPr>
          <w:sz w:val="20"/>
          <w:szCs w:val="18"/>
        </w:rPr>
        <w:t xml:space="preserve">Maria Nucera, Fabio Pierangeli, </w:t>
      </w:r>
      <w:r w:rsidR="005A6145">
        <w:rPr>
          <w:sz w:val="20"/>
          <w:szCs w:val="18"/>
        </w:rPr>
        <w:t xml:space="preserve">Raul Romano, </w:t>
      </w:r>
      <w:r w:rsidR="007864E6">
        <w:rPr>
          <w:sz w:val="20"/>
          <w:szCs w:val="18"/>
        </w:rPr>
        <w:t>Genny Sangiovanni</w:t>
      </w:r>
    </w:p>
    <w:p w14:paraId="7A2D9B39" w14:textId="076409F9" w:rsidR="00102578" w:rsidRDefault="000E0DB0" w:rsidP="000E0DB0">
      <w:pPr>
        <w:pStyle w:val="Pidipagina"/>
        <w:tabs>
          <w:tab w:val="clear" w:pos="4819"/>
        </w:tabs>
        <w:jc w:val="center"/>
        <w:rPr>
          <w:b/>
          <w:sz w:val="18"/>
          <w:szCs w:val="18"/>
        </w:rPr>
      </w:pPr>
      <w:r>
        <w:rPr>
          <w:b/>
          <w:sz w:val="18"/>
          <w:szCs w:val="18"/>
        </w:rPr>
        <w:t xml:space="preserve">  </w:t>
      </w:r>
    </w:p>
    <w:p w14:paraId="6388A848" w14:textId="77777777" w:rsidR="00102578" w:rsidRDefault="00102578" w:rsidP="00102578">
      <w:pPr>
        <w:pStyle w:val="Pidipagina"/>
        <w:jc w:val="center"/>
        <w:rPr>
          <w:b/>
          <w:sz w:val="18"/>
          <w:szCs w:val="18"/>
        </w:rPr>
      </w:pPr>
    </w:p>
    <w:p w14:paraId="73B9C022" w14:textId="380CDF73" w:rsidR="00102578" w:rsidRDefault="00102578" w:rsidP="00102578">
      <w:pPr>
        <w:pStyle w:val="Pidipagina"/>
        <w:jc w:val="center"/>
        <w:rPr>
          <w:b/>
          <w:sz w:val="18"/>
          <w:szCs w:val="18"/>
        </w:rPr>
      </w:pPr>
    </w:p>
    <w:p w14:paraId="3A59A2EB" w14:textId="75EE732F" w:rsidR="00102578" w:rsidRDefault="00102578" w:rsidP="00102578">
      <w:pPr>
        <w:pStyle w:val="Pidipagina"/>
        <w:jc w:val="center"/>
        <w:rPr>
          <w:b/>
          <w:sz w:val="18"/>
          <w:szCs w:val="18"/>
        </w:rPr>
      </w:pPr>
    </w:p>
    <w:p w14:paraId="43173A9F" w14:textId="59655E29" w:rsidR="00FA3765" w:rsidRDefault="00FA3765" w:rsidP="00102578">
      <w:pPr>
        <w:pStyle w:val="Pidipagina"/>
        <w:jc w:val="center"/>
        <w:rPr>
          <w:b/>
          <w:sz w:val="18"/>
          <w:szCs w:val="18"/>
        </w:rPr>
      </w:pPr>
    </w:p>
    <w:p w14:paraId="33E92811" w14:textId="0979A01D" w:rsidR="00FA3765" w:rsidRDefault="00FA3765" w:rsidP="00102578">
      <w:pPr>
        <w:pStyle w:val="Pidipagina"/>
        <w:jc w:val="center"/>
        <w:rPr>
          <w:b/>
          <w:sz w:val="18"/>
          <w:szCs w:val="18"/>
        </w:rPr>
      </w:pPr>
    </w:p>
    <w:p w14:paraId="1A002D4A" w14:textId="77777777" w:rsidR="00FA3765" w:rsidRDefault="00FA3765" w:rsidP="00102578">
      <w:pPr>
        <w:pStyle w:val="Pidipagina"/>
        <w:jc w:val="center"/>
        <w:rPr>
          <w:b/>
          <w:sz w:val="18"/>
          <w:szCs w:val="18"/>
        </w:rPr>
      </w:pPr>
    </w:p>
    <w:p w14:paraId="4E455438" w14:textId="3DB52FBC" w:rsidR="00FA3765" w:rsidRDefault="00FA3765" w:rsidP="00102578">
      <w:pPr>
        <w:pStyle w:val="Pidipagina"/>
        <w:jc w:val="center"/>
        <w:rPr>
          <w:b/>
          <w:sz w:val="18"/>
          <w:szCs w:val="18"/>
        </w:rPr>
      </w:pPr>
    </w:p>
    <w:p w14:paraId="6AF50281" w14:textId="77777777" w:rsidR="00FA3765" w:rsidRDefault="00FA3765" w:rsidP="00102578">
      <w:pPr>
        <w:pStyle w:val="Pidipagina"/>
        <w:jc w:val="center"/>
        <w:rPr>
          <w:b/>
          <w:sz w:val="18"/>
          <w:szCs w:val="18"/>
        </w:rPr>
      </w:pPr>
    </w:p>
    <w:p w14:paraId="35A3FF4C" w14:textId="77777777" w:rsidR="00102578" w:rsidRDefault="00102578" w:rsidP="00102578">
      <w:pPr>
        <w:autoSpaceDE w:val="0"/>
        <w:autoSpaceDN w:val="0"/>
        <w:adjustRightInd w:val="0"/>
        <w:spacing w:after="0"/>
        <w:jc w:val="center"/>
        <w:rPr>
          <w:rFonts w:ascii="Lato-Heavy" w:hAnsi="Lato-Heavy" w:cs="Lato-Heavy"/>
        </w:rPr>
      </w:pPr>
      <w:r>
        <w:rPr>
          <w:rFonts w:ascii="Lato-Heavy" w:hAnsi="Lato-Heavy" w:cs="Lato-Heavy"/>
        </w:rPr>
        <w:t>RETE RURALE NAZIONALE</w:t>
      </w:r>
    </w:p>
    <w:p w14:paraId="6F85E7F0"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lastRenderedPageBreak/>
        <w:t>Autorità di gestione</w:t>
      </w:r>
    </w:p>
    <w:p w14:paraId="7F1FE083"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Ministero delle politiche agricole alimentari e forestali</w:t>
      </w:r>
    </w:p>
    <w:p w14:paraId="04F50B63"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Via XX Settembre, 20 Roma</w:t>
      </w:r>
    </w:p>
    <w:p w14:paraId="47C289F0"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www.reterurale.it</w:t>
      </w:r>
    </w:p>
    <w:p w14:paraId="0D32A624"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reterurale@politicheagricole.it</w:t>
      </w:r>
    </w:p>
    <w:p w14:paraId="6B1C6068"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@reterurale</w:t>
      </w:r>
    </w:p>
    <w:p w14:paraId="501B8307" w14:textId="728FE9F5" w:rsidR="000E0DB0" w:rsidRDefault="00102578" w:rsidP="00102578">
      <w:pPr>
        <w:ind w:left="2832" w:firstLine="708"/>
      </w:pPr>
      <w:r w:rsidRPr="000A6F30">
        <w:rPr>
          <w:rFonts w:ascii="Lato-Regular" w:hAnsi="Lato-Regular" w:cs="Lato-Regular"/>
        </w:rPr>
        <w:t>www.facebook</w:t>
      </w:r>
      <w:r>
        <w:rPr>
          <w:rFonts w:ascii="Lato-Regular" w:hAnsi="Lato-Regular" w:cs="Lato-Regular"/>
        </w:rPr>
        <w:t>/reterurale</w:t>
      </w:r>
    </w:p>
    <w:p w14:paraId="388A0304" w14:textId="77777777" w:rsidR="000E0DB0" w:rsidRPr="000E0DB0" w:rsidRDefault="000E0DB0" w:rsidP="000E0DB0"/>
    <w:p w14:paraId="708C945A" w14:textId="77777777" w:rsidR="000E0DB0" w:rsidRPr="000E0DB0" w:rsidRDefault="000E0DB0" w:rsidP="000E0DB0"/>
    <w:p w14:paraId="7287AF94" w14:textId="77777777" w:rsidR="000E0DB0" w:rsidRPr="000E0DB0" w:rsidRDefault="000E0DB0" w:rsidP="000E0DB0"/>
    <w:sectPr w:rsidR="000E0DB0" w:rsidRPr="000E0DB0" w:rsidSect="0020415F">
      <w:footerReference w:type="default" r:id="rId43"/>
      <w:headerReference w:type="first" r:id="rId44"/>
      <w:footerReference w:type="first" r:id="rId45"/>
      <w:pgSz w:w="11906" w:h="16838"/>
      <w:pgMar w:top="1417" w:right="1134" w:bottom="993" w:left="1134" w:header="708"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3E302" w14:textId="77777777" w:rsidR="00C548ED" w:rsidRDefault="00C548ED" w:rsidP="009241B9">
      <w:pPr>
        <w:spacing w:after="0"/>
      </w:pPr>
      <w:r>
        <w:separator/>
      </w:r>
    </w:p>
  </w:endnote>
  <w:endnote w:type="continuationSeparator" w:id="0">
    <w:p w14:paraId="1935084E" w14:textId="77777777" w:rsidR="00C548ED" w:rsidRDefault="00C548ED" w:rsidP="009241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o-Heavy">
    <w:altName w:val="Calibri"/>
    <w:charset w:val="00"/>
    <w:family w:val="swiss"/>
    <w:pitch w:val="default"/>
    <w:sig w:usb0="00000003" w:usb1="00000000" w:usb2="00000000" w:usb3="00000000" w:csb0="00000001" w:csb1="00000000"/>
  </w:font>
  <w:font w:name="Lato-Regular">
    <w:altName w:val="Calibri"/>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5166966"/>
      <w:docPartObj>
        <w:docPartGallery w:val="Page Numbers (Bottom of Page)"/>
        <w:docPartUnique/>
      </w:docPartObj>
    </w:sdtPr>
    <w:sdtEndPr/>
    <w:sdtContent>
      <w:p w14:paraId="5D35697B" w14:textId="3C0AC0B5" w:rsidR="00FE53A6" w:rsidRDefault="00FE53A6">
        <w:pPr>
          <w:pStyle w:val="Pidipagina"/>
          <w:jc w:val="center"/>
        </w:pPr>
        <w:r>
          <w:fldChar w:fldCharType="begin"/>
        </w:r>
        <w:r>
          <w:instrText>PAGE   \* MERGEFORMAT</w:instrText>
        </w:r>
        <w:r>
          <w:fldChar w:fldCharType="separate"/>
        </w:r>
        <w:r>
          <w:rPr>
            <w:noProof/>
          </w:rPr>
          <w:t>20</w:t>
        </w:r>
        <w:r>
          <w:fldChar w:fldCharType="end"/>
        </w:r>
      </w:p>
    </w:sdtContent>
  </w:sdt>
  <w:p w14:paraId="037CE2AE" w14:textId="4689C603" w:rsidR="00FE53A6" w:rsidRDefault="00FE53A6">
    <w:pPr>
      <w:pStyle w:val="Pidipagina"/>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5CDFF" w14:textId="791B9314" w:rsidR="00FE53A6" w:rsidRDefault="00FE53A6" w:rsidP="0070130A">
    <w:pPr>
      <w:pStyle w:val="Pidipagina"/>
      <w:tabs>
        <w:tab w:val="clear" w:pos="4819"/>
        <w:tab w:val="clear" w:pos="9638"/>
        <w:tab w:val="left" w:pos="7782"/>
      </w:tabs>
    </w:pPr>
    <w:r>
      <w:tab/>
    </w:r>
    <w:r>
      <w:rPr>
        <w:noProof/>
        <w:lang w:eastAsia="it-IT"/>
      </w:rPr>
      <w:drawing>
        <wp:inline distT="0" distB="0" distL="0" distR="0" wp14:anchorId="31E65071" wp14:editId="097E1F77">
          <wp:extent cx="6120130" cy="767715"/>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20130" cy="76771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114E2" w14:textId="77777777" w:rsidR="00C548ED" w:rsidRDefault="00C548ED" w:rsidP="009241B9">
      <w:pPr>
        <w:spacing w:after="0"/>
      </w:pPr>
      <w:r>
        <w:separator/>
      </w:r>
    </w:p>
  </w:footnote>
  <w:footnote w:type="continuationSeparator" w:id="0">
    <w:p w14:paraId="25566F3A" w14:textId="77777777" w:rsidR="00C548ED" w:rsidRDefault="00C548ED" w:rsidP="009241B9">
      <w:pPr>
        <w:spacing w:after="0"/>
      </w:pPr>
      <w:r>
        <w:continuationSeparator/>
      </w:r>
    </w:p>
  </w:footnote>
  <w:footnote w:id="1">
    <w:p w14:paraId="707C7642" w14:textId="3E220150" w:rsidR="00FE53A6" w:rsidRPr="0028569B" w:rsidRDefault="00FE53A6" w:rsidP="00251393">
      <w:pPr>
        <w:pStyle w:val="Testonotaapidipagina"/>
        <w:rPr>
          <w:lang w:val="en-GB"/>
        </w:rPr>
      </w:pPr>
      <w:r>
        <w:rPr>
          <w:rStyle w:val="Rimandonotaapidipagina"/>
        </w:rPr>
        <w:footnoteRef/>
      </w:r>
      <w:r w:rsidRPr="0028569B">
        <w:rPr>
          <w:lang w:val="en-GB"/>
        </w:rPr>
        <w:t xml:space="preserve"> Eurostat, Farm structure survey – survey coverage. Changes of survey coverage in each country between 2007 and 2013, Italy.</w:t>
      </w:r>
    </w:p>
  </w:footnote>
  <w:footnote w:id="2">
    <w:p w14:paraId="016B5977" w14:textId="2A4CD1C4" w:rsidR="00FE53A6" w:rsidRDefault="00FE53A6" w:rsidP="001E2C8C">
      <w:pPr>
        <w:pStyle w:val="Testonotaapidipagina"/>
      </w:pPr>
      <w:r>
        <w:rPr>
          <w:rStyle w:val="Rimandonotaapidipagina"/>
        </w:rPr>
        <w:footnoteRef/>
      </w:r>
      <w:r>
        <w:t xml:space="preserve"> </w:t>
      </w:r>
      <w:r>
        <w:rPr>
          <w:color w:val="000000" w:themeColor="text1"/>
          <w:shd w:val="clear" w:color="auto" w:fill="FFFFFF" w:themeFill="background1"/>
        </w:rPr>
        <w:t>L</w:t>
      </w:r>
      <w:r w:rsidRPr="00FB546D">
        <w:rPr>
          <w:color w:val="000000" w:themeColor="text1"/>
          <w:shd w:val="clear" w:color="auto" w:fill="FFFFFF" w:themeFill="background1"/>
        </w:rPr>
        <w:t>a SAU e la SAT sono state poco influenzate dalle differenze del campo d’indagine e mostrano lievi variazioni rispetto all’inizio del decennio (rispettivamente +1,4% e -0,9% nel 2016 rispetto al 2010), confermando quindi un aumento delle dimensioni medie aziendali</w:t>
      </w:r>
      <w:r w:rsidRPr="00FB546D">
        <w:rPr>
          <w:color w:val="000000" w:themeColor="text1"/>
        </w:rPr>
        <w:t>.</w:t>
      </w:r>
      <w:r>
        <w:rPr>
          <w:color w:val="000000" w:themeColor="text1"/>
        </w:rPr>
        <w:t xml:space="preserve"> </w:t>
      </w:r>
      <w:r w:rsidRPr="00AA227C">
        <w:t>Per approfondire tale aspetto a livello regionale e per le singole colture, occorrerebbe disporre dei dati relativi al 2010 confrontabili con quelli del 2013 (pubblicati sul sito Eurostat) e del 2016, con la stessa copertura del c.d. universo UE.</w:t>
      </w:r>
    </w:p>
  </w:footnote>
  <w:footnote w:id="3">
    <w:p w14:paraId="5E447A13" w14:textId="77777777" w:rsidR="00FE53A6" w:rsidRDefault="00FE53A6" w:rsidP="004F539E">
      <w:pPr>
        <w:pStyle w:val="Testonotaapidipagina"/>
      </w:pPr>
      <w:r>
        <w:rPr>
          <w:rStyle w:val="Rimandonotaapidipagina"/>
        </w:rPr>
        <w:footnoteRef/>
      </w:r>
      <w:r>
        <w:t xml:space="preserve"> </w:t>
      </w:r>
      <w:r w:rsidRPr="0027020E">
        <w:t>Fonte: Istat – Indagine annuale consistenze di bestiame</w:t>
      </w:r>
      <w:r>
        <w:t>.</w:t>
      </w:r>
    </w:p>
  </w:footnote>
  <w:footnote w:id="4">
    <w:p w14:paraId="254925AD" w14:textId="77777777" w:rsidR="00FE53A6" w:rsidRDefault="00FE53A6" w:rsidP="00975484">
      <w:pPr>
        <w:pStyle w:val="Testonotaapidipagina"/>
      </w:pPr>
      <w:r>
        <w:rPr>
          <w:rStyle w:val="Rimandonotaapidipagina"/>
        </w:rPr>
        <w:footnoteRef/>
      </w:r>
      <w:r>
        <w:t xml:space="preserve">  </w:t>
      </w:r>
      <w:r w:rsidRPr="009A4DF1">
        <w:rPr>
          <w:sz w:val="18"/>
          <w:szCs w:val="18"/>
        </w:rPr>
        <w:t>Conti Economici della Silvicoltura (CES) prodotti dall’Istat (Direzione Centrale della Contabilità Nazionale) nell’ambito dei Conti Nazionali nella branca “Agricoltura, silvicoltura e pesca” secondo lo schema dei Conti Economici dell’Agricoltura (CEA)</w:t>
      </w:r>
      <w:r>
        <w:rPr>
          <w:sz w:val="18"/>
          <w:szCs w:val="18"/>
        </w:rPr>
        <w:t>, anno 2015</w:t>
      </w:r>
      <w:r w:rsidRPr="009A4DF1">
        <w:rPr>
          <w:sz w:val="18"/>
          <w:szCs w:val="18"/>
        </w:rPr>
        <w:t>.</w:t>
      </w:r>
    </w:p>
  </w:footnote>
  <w:footnote w:id="5">
    <w:p w14:paraId="02372BDA" w14:textId="77777777" w:rsidR="00FE53A6" w:rsidRPr="009A4DF1" w:rsidRDefault="00FE53A6" w:rsidP="00975484">
      <w:pPr>
        <w:pStyle w:val="Testonotaapidipagina"/>
        <w:rPr>
          <w:sz w:val="18"/>
          <w:szCs w:val="18"/>
        </w:rPr>
      </w:pPr>
      <w:r>
        <w:rPr>
          <w:rStyle w:val="Rimandonotaapidipagina"/>
        </w:rPr>
        <w:footnoteRef/>
      </w:r>
      <w:r>
        <w:t xml:space="preserve"> Nei c</w:t>
      </w:r>
      <w:r w:rsidRPr="009A4DF1">
        <w:rPr>
          <w:sz w:val="18"/>
          <w:szCs w:val="18"/>
        </w:rPr>
        <w:t>onti Nazionali e nel PIL del Paese sulla base della nuova classificazione Ateco 2007 (Istat 2009) e dei nuovi Conti Forestali</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579D3" w14:textId="72194CE5" w:rsidR="00FE53A6" w:rsidRDefault="00FE53A6" w:rsidP="00C12C17">
    <w:pPr>
      <w:pStyle w:val="Intestazione"/>
      <w:jc w:val="center"/>
    </w:pPr>
    <w:r>
      <w:rPr>
        <w:noProof/>
        <w:lang w:eastAsia="it-IT"/>
      </w:rPr>
      <w:drawing>
        <wp:inline distT="0" distB="0" distL="0" distR="0" wp14:anchorId="035AAFF0" wp14:editId="491C4275">
          <wp:extent cx="1089660" cy="484927"/>
          <wp:effectExtent l="0" t="0" r="0" b="0"/>
          <wp:docPr id="13" name="Elemento grafico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153031" cy="5131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2FE4"/>
    <w:multiLevelType w:val="multilevel"/>
    <w:tmpl w:val="1E46B0EE"/>
    <w:lvl w:ilvl="0">
      <w:start w:val="1"/>
      <w:numFmt w:val="decimal"/>
      <w:lvlText w:val="%1."/>
      <w:lvlJc w:val="left"/>
      <w:pPr>
        <w:ind w:left="720" w:hanging="360"/>
      </w:pPr>
    </w:lvl>
    <w:lvl w:ilvl="1">
      <w:start w:val="1"/>
      <w:numFmt w:val="decimal"/>
      <w:isLgl/>
      <w:lvlText w:val="%1.%2"/>
      <w:lvlJc w:val="left"/>
      <w:pPr>
        <w:ind w:left="1535" w:hanging="400"/>
      </w:pPr>
      <w:rPr>
        <w:rFonts w:hint="default"/>
        <w:color w:val="365F91" w:themeColor="accent1" w:themeShade="BF"/>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F3D4B1E"/>
    <w:multiLevelType w:val="hybridMultilevel"/>
    <w:tmpl w:val="47921B9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B0C53BF"/>
    <w:multiLevelType w:val="hybridMultilevel"/>
    <w:tmpl w:val="D5B63598"/>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B842156"/>
    <w:multiLevelType w:val="hybridMultilevel"/>
    <w:tmpl w:val="2F1CBF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D91703"/>
    <w:multiLevelType w:val="multilevel"/>
    <w:tmpl w:val="44BA1EB2"/>
    <w:lvl w:ilvl="0">
      <w:start w:val="1"/>
      <w:numFmt w:val="decimal"/>
      <w:lvlText w:val="%1."/>
      <w:lvlJc w:val="left"/>
      <w:pPr>
        <w:ind w:left="720" w:hanging="360"/>
      </w:pPr>
      <w:rPr>
        <w:rFonts w:hint="default"/>
      </w:rPr>
    </w:lvl>
    <w:lvl w:ilvl="1">
      <w:start w:val="1"/>
      <w:numFmt w:val="decimal"/>
      <w:isLgl/>
      <w:lvlText w:val="%1.%2"/>
      <w:lvlJc w:val="left"/>
      <w:pPr>
        <w:ind w:left="1535" w:hanging="400"/>
      </w:pPr>
      <w:rPr>
        <w:rFonts w:hint="default"/>
        <w:color w:val="365F91" w:themeColor="accent1" w:themeShade="BF"/>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3D907933"/>
    <w:multiLevelType w:val="hybridMultilevel"/>
    <w:tmpl w:val="D75ED3F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3E295F2F"/>
    <w:multiLevelType w:val="hybridMultilevel"/>
    <w:tmpl w:val="8E84C2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20F7AA7"/>
    <w:multiLevelType w:val="hybridMultilevel"/>
    <w:tmpl w:val="4068540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0830706"/>
    <w:multiLevelType w:val="hybridMultilevel"/>
    <w:tmpl w:val="1F1E1A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8E41CE"/>
    <w:multiLevelType w:val="hybridMultilevel"/>
    <w:tmpl w:val="E21281CC"/>
    <w:lvl w:ilvl="0" w:tplc="04100001">
      <w:start w:val="1"/>
      <w:numFmt w:val="bullet"/>
      <w:lvlText w:val=""/>
      <w:lvlJc w:val="left"/>
      <w:pPr>
        <w:ind w:left="360" w:hanging="360"/>
      </w:pPr>
      <w:rPr>
        <w:rFonts w:ascii="Symbol" w:hAnsi="Symbol" w:hint="default"/>
        <w:sz w:val="22"/>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10" w15:restartNumberingAfterBreak="0">
    <w:nsid w:val="5D8B5F1A"/>
    <w:multiLevelType w:val="hybridMultilevel"/>
    <w:tmpl w:val="5E64A78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0921B26"/>
    <w:multiLevelType w:val="hybridMultilevel"/>
    <w:tmpl w:val="848ED2DC"/>
    <w:lvl w:ilvl="0" w:tplc="E640D488">
      <w:start w:val="1"/>
      <w:numFmt w:val="bullet"/>
      <w:lvlText w:val="‒"/>
      <w:lvlJc w:val="left"/>
      <w:pPr>
        <w:ind w:left="770" w:hanging="360"/>
      </w:pPr>
      <w:rPr>
        <w:rFonts w:ascii="Calibri" w:hAnsi="Calibri"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15:restartNumberingAfterBreak="0">
    <w:nsid w:val="678B7D61"/>
    <w:multiLevelType w:val="multilevel"/>
    <w:tmpl w:val="36DCFAE4"/>
    <w:lvl w:ilvl="0">
      <w:start w:val="1"/>
      <w:numFmt w:val="decimal"/>
      <w:pStyle w:val="Titolotab-grafReport"/>
      <w:suff w:val="space"/>
      <w:lvlText w:val="Tabella %1 - "/>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9496EFF"/>
    <w:multiLevelType w:val="hybridMultilevel"/>
    <w:tmpl w:val="EBF2312E"/>
    <w:lvl w:ilvl="0" w:tplc="AC9C6EA2">
      <w:start w:val="1"/>
      <w:numFmt w:val="bullet"/>
      <w:lvlText w:val=""/>
      <w:lvlJc w:val="left"/>
      <w:pPr>
        <w:ind w:left="720" w:hanging="360"/>
      </w:pPr>
      <w:rPr>
        <w:rFonts w:ascii="Wingdings" w:hAnsi="Wingdings" w:hint="default"/>
        <w:color w:val="84B03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99131E9"/>
    <w:multiLevelType w:val="hybridMultilevel"/>
    <w:tmpl w:val="C8F2692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12"/>
    <w:lvlOverride w:ilvl="0">
      <w:lvl w:ilvl="0">
        <w:start w:val="1"/>
        <w:numFmt w:val="decimal"/>
        <w:pStyle w:val="Titolotab-grafReport"/>
        <w:suff w:val="space"/>
        <w:lvlText w:val="Tabella %1 - "/>
        <w:lvlJc w:val="left"/>
        <w:pPr>
          <w:ind w:left="720" w:hanging="360"/>
        </w:pPr>
        <w:rPr>
          <w:rFonts w:hint="default"/>
          <w:sz w:val="20"/>
          <w:szCs w:val="20"/>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
    <w:abstractNumId w:val="6"/>
  </w:num>
  <w:num w:numId="5">
    <w:abstractNumId w:val="8"/>
  </w:num>
  <w:num w:numId="6">
    <w:abstractNumId w:val="13"/>
  </w:num>
  <w:num w:numId="7">
    <w:abstractNumId w:val="5"/>
  </w:num>
  <w:num w:numId="8">
    <w:abstractNumId w:val="9"/>
  </w:num>
  <w:num w:numId="9">
    <w:abstractNumId w:val="7"/>
  </w:num>
  <w:num w:numId="10">
    <w:abstractNumId w:val="14"/>
  </w:num>
  <w:num w:numId="11">
    <w:abstractNumId w:val="10"/>
  </w:num>
  <w:num w:numId="12">
    <w:abstractNumId w:val="2"/>
  </w:num>
  <w:num w:numId="13">
    <w:abstractNumId w:val="11"/>
  </w:num>
  <w:num w:numId="14">
    <w:abstractNumId w:val="3"/>
  </w:num>
  <w:num w:numId="15">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hideGrammaticalErrors/>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it-IT" w:vendorID="64" w:dllVersion="0" w:nlCheck="1" w:checkStyle="0"/>
  <w:activeWritingStyle w:appName="MSWord" w:lang="en-US" w:vendorID="64" w:dllVersion="0" w:nlCheck="1" w:checkStyle="0"/>
  <w:activeWritingStyle w:appName="MSWord" w:lang="en-GB"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Q0szQ3NzU2NjQzNzdR0lEKTi0uzszPAykwrgUABt9X3SwAAAA="/>
  </w:docVars>
  <w:rsids>
    <w:rsidRoot w:val="009241B9"/>
    <w:rsid w:val="0000010F"/>
    <w:rsid w:val="000008CC"/>
    <w:rsid w:val="000017F9"/>
    <w:rsid w:val="00003F74"/>
    <w:rsid w:val="0000418A"/>
    <w:rsid w:val="0000514C"/>
    <w:rsid w:val="000051EE"/>
    <w:rsid w:val="0000563F"/>
    <w:rsid w:val="00005B66"/>
    <w:rsid w:val="000070AB"/>
    <w:rsid w:val="0001063A"/>
    <w:rsid w:val="00012391"/>
    <w:rsid w:val="00012461"/>
    <w:rsid w:val="00014286"/>
    <w:rsid w:val="00016428"/>
    <w:rsid w:val="00017E72"/>
    <w:rsid w:val="00020C97"/>
    <w:rsid w:val="000225F4"/>
    <w:rsid w:val="00022E60"/>
    <w:rsid w:val="00025553"/>
    <w:rsid w:val="00026B47"/>
    <w:rsid w:val="00026D9E"/>
    <w:rsid w:val="00027E2B"/>
    <w:rsid w:val="000313C2"/>
    <w:rsid w:val="00035664"/>
    <w:rsid w:val="00036D12"/>
    <w:rsid w:val="00040B13"/>
    <w:rsid w:val="000411BB"/>
    <w:rsid w:val="000411D8"/>
    <w:rsid w:val="000423BF"/>
    <w:rsid w:val="00043C64"/>
    <w:rsid w:val="0004528B"/>
    <w:rsid w:val="00045294"/>
    <w:rsid w:val="00045700"/>
    <w:rsid w:val="000463C6"/>
    <w:rsid w:val="00052C52"/>
    <w:rsid w:val="0005392E"/>
    <w:rsid w:val="000549E0"/>
    <w:rsid w:val="00056422"/>
    <w:rsid w:val="00061269"/>
    <w:rsid w:val="00061C2B"/>
    <w:rsid w:val="00064B44"/>
    <w:rsid w:val="00064D1D"/>
    <w:rsid w:val="000656F5"/>
    <w:rsid w:val="00067C70"/>
    <w:rsid w:val="00076243"/>
    <w:rsid w:val="00076E75"/>
    <w:rsid w:val="000775A0"/>
    <w:rsid w:val="00080D9F"/>
    <w:rsid w:val="00085811"/>
    <w:rsid w:val="00085D80"/>
    <w:rsid w:val="0009484D"/>
    <w:rsid w:val="00095453"/>
    <w:rsid w:val="000960FF"/>
    <w:rsid w:val="000A28E6"/>
    <w:rsid w:val="000A35DB"/>
    <w:rsid w:val="000A3F02"/>
    <w:rsid w:val="000A6354"/>
    <w:rsid w:val="000B08C5"/>
    <w:rsid w:val="000B520D"/>
    <w:rsid w:val="000B5FE6"/>
    <w:rsid w:val="000C0787"/>
    <w:rsid w:val="000C23F3"/>
    <w:rsid w:val="000C47DD"/>
    <w:rsid w:val="000C4BC8"/>
    <w:rsid w:val="000D3530"/>
    <w:rsid w:val="000D44D4"/>
    <w:rsid w:val="000D54F0"/>
    <w:rsid w:val="000D557A"/>
    <w:rsid w:val="000D5F9C"/>
    <w:rsid w:val="000E0DB0"/>
    <w:rsid w:val="000E27A1"/>
    <w:rsid w:val="000E4C39"/>
    <w:rsid w:val="000E58B6"/>
    <w:rsid w:val="000E6A84"/>
    <w:rsid w:val="000E77B5"/>
    <w:rsid w:val="000F031C"/>
    <w:rsid w:val="000F08C4"/>
    <w:rsid w:val="000F29B9"/>
    <w:rsid w:val="000F2EEE"/>
    <w:rsid w:val="000F4080"/>
    <w:rsid w:val="000F5C57"/>
    <w:rsid w:val="000F68CF"/>
    <w:rsid w:val="00101EC6"/>
    <w:rsid w:val="00102578"/>
    <w:rsid w:val="00104FA2"/>
    <w:rsid w:val="0010514C"/>
    <w:rsid w:val="0010552F"/>
    <w:rsid w:val="00105969"/>
    <w:rsid w:val="001075B4"/>
    <w:rsid w:val="00107F31"/>
    <w:rsid w:val="00111516"/>
    <w:rsid w:val="00112264"/>
    <w:rsid w:val="0011504C"/>
    <w:rsid w:val="0011663F"/>
    <w:rsid w:val="001173D2"/>
    <w:rsid w:val="001208E0"/>
    <w:rsid w:val="0012351A"/>
    <w:rsid w:val="001242CB"/>
    <w:rsid w:val="0013239D"/>
    <w:rsid w:val="0013429C"/>
    <w:rsid w:val="00134542"/>
    <w:rsid w:val="00134EE7"/>
    <w:rsid w:val="00136C8F"/>
    <w:rsid w:val="001439BF"/>
    <w:rsid w:val="001440A5"/>
    <w:rsid w:val="00146B32"/>
    <w:rsid w:val="00151181"/>
    <w:rsid w:val="00151A89"/>
    <w:rsid w:val="001544C5"/>
    <w:rsid w:val="0015608D"/>
    <w:rsid w:val="00157274"/>
    <w:rsid w:val="00160202"/>
    <w:rsid w:val="00160A70"/>
    <w:rsid w:val="001614F2"/>
    <w:rsid w:val="00162654"/>
    <w:rsid w:val="0016540F"/>
    <w:rsid w:val="0016561F"/>
    <w:rsid w:val="001665D5"/>
    <w:rsid w:val="00170EC3"/>
    <w:rsid w:val="001711A9"/>
    <w:rsid w:val="00172E51"/>
    <w:rsid w:val="001747C4"/>
    <w:rsid w:val="00181332"/>
    <w:rsid w:val="0018173F"/>
    <w:rsid w:val="00182A87"/>
    <w:rsid w:val="001830D9"/>
    <w:rsid w:val="00192462"/>
    <w:rsid w:val="001934C1"/>
    <w:rsid w:val="00193E39"/>
    <w:rsid w:val="001940DF"/>
    <w:rsid w:val="001955ED"/>
    <w:rsid w:val="00196132"/>
    <w:rsid w:val="00196D58"/>
    <w:rsid w:val="00197B95"/>
    <w:rsid w:val="00197E3E"/>
    <w:rsid w:val="001A2140"/>
    <w:rsid w:val="001A3B87"/>
    <w:rsid w:val="001A6CA4"/>
    <w:rsid w:val="001A6D1C"/>
    <w:rsid w:val="001A7240"/>
    <w:rsid w:val="001B087D"/>
    <w:rsid w:val="001B1046"/>
    <w:rsid w:val="001B1638"/>
    <w:rsid w:val="001B1B77"/>
    <w:rsid w:val="001B3714"/>
    <w:rsid w:val="001B52A3"/>
    <w:rsid w:val="001B5E89"/>
    <w:rsid w:val="001C34AB"/>
    <w:rsid w:val="001C4797"/>
    <w:rsid w:val="001C50D5"/>
    <w:rsid w:val="001C51A5"/>
    <w:rsid w:val="001C6080"/>
    <w:rsid w:val="001C6554"/>
    <w:rsid w:val="001D0E82"/>
    <w:rsid w:val="001D3053"/>
    <w:rsid w:val="001D3673"/>
    <w:rsid w:val="001D42E3"/>
    <w:rsid w:val="001E0AE9"/>
    <w:rsid w:val="001E1502"/>
    <w:rsid w:val="001E19E7"/>
    <w:rsid w:val="001E2C8C"/>
    <w:rsid w:val="001E2CD3"/>
    <w:rsid w:val="001E3000"/>
    <w:rsid w:val="001E3715"/>
    <w:rsid w:val="001E37CB"/>
    <w:rsid w:val="001E56C7"/>
    <w:rsid w:val="001E6695"/>
    <w:rsid w:val="001F1314"/>
    <w:rsid w:val="001F3A3D"/>
    <w:rsid w:val="001F6E7E"/>
    <w:rsid w:val="002003B4"/>
    <w:rsid w:val="00202010"/>
    <w:rsid w:val="0020415F"/>
    <w:rsid w:val="00204A57"/>
    <w:rsid w:val="0020640E"/>
    <w:rsid w:val="00206BB1"/>
    <w:rsid w:val="00207119"/>
    <w:rsid w:val="00210AB5"/>
    <w:rsid w:val="00213621"/>
    <w:rsid w:val="00215767"/>
    <w:rsid w:val="00217564"/>
    <w:rsid w:val="00217601"/>
    <w:rsid w:val="00217F5E"/>
    <w:rsid w:val="00220C68"/>
    <w:rsid w:val="002219F4"/>
    <w:rsid w:val="00224C98"/>
    <w:rsid w:val="00224DBD"/>
    <w:rsid w:val="00225920"/>
    <w:rsid w:val="00225AB5"/>
    <w:rsid w:val="002262C3"/>
    <w:rsid w:val="00230572"/>
    <w:rsid w:val="00231868"/>
    <w:rsid w:val="002321D0"/>
    <w:rsid w:val="00232AB9"/>
    <w:rsid w:val="002343B2"/>
    <w:rsid w:val="00234BF6"/>
    <w:rsid w:val="00236689"/>
    <w:rsid w:val="00236777"/>
    <w:rsid w:val="00236BAF"/>
    <w:rsid w:val="00242F6C"/>
    <w:rsid w:val="00245E3E"/>
    <w:rsid w:val="00245EF3"/>
    <w:rsid w:val="00251006"/>
    <w:rsid w:val="00251393"/>
    <w:rsid w:val="00251CD9"/>
    <w:rsid w:val="0025394F"/>
    <w:rsid w:val="002567B6"/>
    <w:rsid w:val="002571C7"/>
    <w:rsid w:val="00260377"/>
    <w:rsid w:val="002636DA"/>
    <w:rsid w:val="00264738"/>
    <w:rsid w:val="00266B89"/>
    <w:rsid w:val="0027020E"/>
    <w:rsid w:val="00271530"/>
    <w:rsid w:val="0027738F"/>
    <w:rsid w:val="0028209B"/>
    <w:rsid w:val="002826F8"/>
    <w:rsid w:val="00284CAC"/>
    <w:rsid w:val="0028569B"/>
    <w:rsid w:val="0028692E"/>
    <w:rsid w:val="00290D11"/>
    <w:rsid w:val="002931FA"/>
    <w:rsid w:val="00296015"/>
    <w:rsid w:val="002A08C8"/>
    <w:rsid w:val="002A3EAD"/>
    <w:rsid w:val="002A51D8"/>
    <w:rsid w:val="002A6AC4"/>
    <w:rsid w:val="002B11A0"/>
    <w:rsid w:val="002B4A94"/>
    <w:rsid w:val="002B6F15"/>
    <w:rsid w:val="002B714C"/>
    <w:rsid w:val="002C1DFD"/>
    <w:rsid w:val="002C1FF7"/>
    <w:rsid w:val="002C44F0"/>
    <w:rsid w:val="002C533E"/>
    <w:rsid w:val="002C5B0B"/>
    <w:rsid w:val="002D11B5"/>
    <w:rsid w:val="002D12F1"/>
    <w:rsid w:val="002D2477"/>
    <w:rsid w:val="002D39A5"/>
    <w:rsid w:val="002D617F"/>
    <w:rsid w:val="002D75F0"/>
    <w:rsid w:val="002D77EF"/>
    <w:rsid w:val="002D7BBA"/>
    <w:rsid w:val="002E16F9"/>
    <w:rsid w:val="002E1A68"/>
    <w:rsid w:val="002E240D"/>
    <w:rsid w:val="002E4FED"/>
    <w:rsid w:val="002E5ED8"/>
    <w:rsid w:val="002E6010"/>
    <w:rsid w:val="002F35E4"/>
    <w:rsid w:val="002F618A"/>
    <w:rsid w:val="002F676B"/>
    <w:rsid w:val="002F77E9"/>
    <w:rsid w:val="00303956"/>
    <w:rsid w:val="00303AA8"/>
    <w:rsid w:val="00303EFE"/>
    <w:rsid w:val="00305982"/>
    <w:rsid w:val="0030678C"/>
    <w:rsid w:val="00310A2B"/>
    <w:rsid w:val="00311891"/>
    <w:rsid w:val="003131E9"/>
    <w:rsid w:val="00314265"/>
    <w:rsid w:val="00317670"/>
    <w:rsid w:val="0031775A"/>
    <w:rsid w:val="00320076"/>
    <w:rsid w:val="00321A97"/>
    <w:rsid w:val="003233BA"/>
    <w:rsid w:val="00327810"/>
    <w:rsid w:val="0033101A"/>
    <w:rsid w:val="003311EF"/>
    <w:rsid w:val="0033294D"/>
    <w:rsid w:val="00334C9B"/>
    <w:rsid w:val="00334E16"/>
    <w:rsid w:val="003350E3"/>
    <w:rsid w:val="00341560"/>
    <w:rsid w:val="003428EC"/>
    <w:rsid w:val="003460CC"/>
    <w:rsid w:val="00347A14"/>
    <w:rsid w:val="0035051C"/>
    <w:rsid w:val="003512AA"/>
    <w:rsid w:val="00351516"/>
    <w:rsid w:val="003520ED"/>
    <w:rsid w:val="00354802"/>
    <w:rsid w:val="00354FC9"/>
    <w:rsid w:val="0035747C"/>
    <w:rsid w:val="00360174"/>
    <w:rsid w:val="003605BC"/>
    <w:rsid w:val="0036065A"/>
    <w:rsid w:val="00361CCA"/>
    <w:rsid w:val="0036222F"/>
    <w:rsid w:val="003623DA"/>
    <w:rsid w:val="00364EBB"/>
    <w:rsid w:val="003665D7"/>
    <w:rsid w:val="003666AE"/>
    <w:rsid w:val="00366D38"/>
    <w:rsid w:val="0037019E"/>
    <w:rsid w:val="00372585"/>
    <w:rsid w:val="0037279C"/>
    <w:rsid w:val="0037298D"/>
    <w:rsid w:val="003742CA"/>
    <w:rsid w:val="003745B7"/>
    <w:rsid w:val="0037540D"/>
    <w:rsid w:val="00380545"/>
    <w:rsid w:val="00380573"/>
    <w:rsid w:val="003819E7"/>
    <w:rsid w:val="00381A15"/>
    <w:rsid w:val="00381C60"/>
    <w:rsid w:val="00381F3A"/>
    <w:rsid w:val="00382093"/>
    <w:rsid w:val="00382924"/>
    <w:rsid w:val="003848CF"/>
    <w:rsid w:val="003851D2"/>
    <w:rsid w:val="0038744D"/>
    <w:rsid w:val="00387B26"/>
    <w:rsid w:val="00387DB2"/>
    <w:rsid w:val="00391BCF"/>
    <w:rsid w:val="00392664"/>
    <w:rsid w:val="00393FD4"/>
    <w:rsid w:val="003944AC"/>
    <w:rsid w:val="0039546B"/>
    <w:rsid w:val="003962FC"/>
    <w:rsid w:val="003A37E9"/>
    <w:rsid w:val="003A5BD1"/>
    <w:rsid w:val="003A63CF"/>
    <w:rsid w:val="003A7ECE"/>
    <w:rsid w:val="003B0900"/>
    <w:rsid w:val="003B584A"/>
    <w:rsid w:val="003B637C"/>
    <w:rsid w:val="003B72DD"/>
    <w:rsid w:val="003C16A3"/>
    <w:rsid w:val="003C18C0"/>
    <w:rsid w:val="003C1CBE"/>
    <w:rsid w:val="003C2C54"/>
    <w:rsid w:val="003C52D9"/>
    <w:rsid w:val="003C56A3"/>
    <w:rsid w:val="003D0A7C"/>
    <w:rsid w:val="003D0C5D"/>
    <w:rsid w:val="003D29D6"/>
    <w:rsid w:val="003D2E8F"/>
    <w:rsid w:val="003D457C"/>
    <w:rsid w:val="003E1521"/>
    <w:rsid w:val="003E1751"/>
    <w:rsid w:val="003E308A"/>
    <w:rsid w:val="003E6DD0"/>
    <w:rsid w:val="003E704A"/>
    <w:rsid w:val="003F074F"/>
    <w:rsid w:val="003F1377"/>
    <w:rsid w:val="003F1CF1"/>
    <w:rsid w:val="003F26CB"/>
    <w:rsid w:val="003F3EA6"/>
    <w:rsid w:val="003F5E0E"/>
    <w:rsid w:val="003F64B0"/>
    <w:rsid w:val="003F7949"/>
    <w:rsid w:val="004033D3"/>
    <w:rsid w:val="00404ACF"/>
    <w:rsid w:val="00405955"/>
    <w:rsid w:val="00406349"/>
    <w:rsid w:val="004064D9"/>
    <w:rsid w:val="004129F5"/>
    <w:rsid w:val="00413DEA"/>
    <w:rsid w:val="0041478E"/>
    <w:rsid w:val="00414DFC"/>
    <w:rsid w:val="00416718"/>
    <w:rsid w:val="00417924"/>
    <w:rsid w:val="00420616"/>
    <w:rsid w:val="00420B89"/>
    <w:rsid w:val="00421C5C"/>
    <w:rsid w:val="00421DBB"/>
    <w:rsid w:val="0042364E"/>
    <w:rsid w:val="0042786B"/>
    <w:rsid w:val="004300C6"/>
    <w:rsid w:val="00430880"/>
    <w:rsid w:val="004309BF"/>
    <w:rsid w:val="004317FB"/>
    <w:rsid w:val="00431F3E"/>
    <w:rsid w:val="00432C51"/>
    <w:rsid w:val="00433548"/>
    <w:rsid w:val="00433896"/>
    <w:rsid w:val="00434BF0"/>
    <w:rsid w:val="00436401"/>
    <w:rsid w:val="00436A6C"/>
    <w:rsid w:val="00440843"/>
    <w:rsid w:val="00442347"/>
    <w:rsid w:val="00443D9C"/>
    <w:rsid w:val="004440A1"/>
    <w:rsid w:val="00445797"/>
    <w:rsid w:val="00445921"/>
    <w:rsid w:val="0044705E"/>
    <w:rsid w:val="00447506"/>
    <w:rsid w:val="004521B5"/>
    <w:rsid w:val="004535C0"/>
    <w:rsid w:val="00457A97"/>
    <w:rsid w:val="004600BA"/>
    <w:rsid w:val="00461397"/>
    <w:rsid w:val="004613EE"/>
    <w:rsid w:val="00461751"/>
    <w:rsid w:val="004637E1"/>
    <w:rsid w:val="00465470"/>
    <w:rsid w:val="00465D69"/>
    <w:rsid w:val="00465F3E"/>
    <w:rsid w:val="00470692"/>
    <w:rsid w:val="0047178C"/>
    <w:rsid w:val="00471D51"/>
    <w:rsid w:val="00472C07"/>
    <w:rsid w:val="00477553"/>
    <w:rsid w:val="004807AD"/>
    <w:rsid w:val="0048310A"/>
    <w:rsid w:val="004853BA"/>
    <w:rsid w:val="0048624A"/>
    <w:rsid w:val="00486F62"/>
    <w:rsid w:val="00491E52"/>
    <w:rsid w:val="00495035"/>
    <w:rsid w:val="00495FBE"/>
    <w:rsid w:val="004A49C0"/>
    <w:rsid w:val="004A5F14"/>
    <w:rsid w:val="004B1821"/>
    <w:rsid w:val="004B25C2"/>
    <w:rsid w:val="004B4485"/>
    <w:rsid w:val="004B50F9"/>
    <w:rsid w:val="004B5C15"/>
    <w:rsid w:val="004B726A"/>
    <w:rsid w:val="004C1379"/>
    <w:rsid w:val="004C2DE7"/>
    <w:rsid w:val="004C3268"/>
    <w:rsid w:val="004C7092"/>
    <w:rsid w:val="004D22A2"/>
    <w:rsid w:val="004D29C1"/>
    <w:rsid w:val="004D2FE7"/>
    <w:rsid w:val="004D3660"/>
    <w:rsid w:val="004E0649"/>
    <w:rsid w:val="004E08F6"/>
    <w:rsid w:val="004E09B5"/>
    <w:rsid w:val="004E0B75"/>
    <w:rsid w:val="004E113C"/>
    <w:rsid w:val="004E5157"/>
    <w:rsid w:val="004F0DA9"/>
    <w:rsid w:val="004F14E9"/>
    <w:rsid w:val="004F2ECE"/>
    <w:rsid w:val="004F3A38"/>
    <w:rsid w:val="004F5263"/>
    <w:rsid w:val="004F539E"/>
    <w:rsid w:val="004F5FC4"/>
    <w:rsid w:val="004F6191"/>
    <w:rsid w:val="004F712E"/>
    <w:rsid w:val="004F7597"/>
    <w:rsid w:val="004F79B4"/>
    <w:rsid w:val="004F7CC0"/>
    <w:rsid w:val="00502ACE"/>
    <w:rsid w:val="005064A5"/>
    <w:rsid w:val="0050792F"/>
    <w:rsid w:val="005104F4"/>
    <w:rsid w:val="005109C3"/>
    <w:rsid w:val="0051110D"/>
    <w:rsid w:val="00511E1B"/>
    <w:rsid w:val="00512A8D"/>
    <w:rsid w:val="00513761"/>
    <w:rsid w:val="005139A8"/>
    <w:rsid w:val="00517FA5"/>
    <w:rsid w:val="005200F2"/>
    <w:rsid w:val="005203B0"/>
    <w:rsid w:val="00522B47"/>
    <w:rsid w:val="00522DC4"/>
    <w:rsid w:val="00523040"/>
    <w:rsid w:val="00525B67"/>
    <w:rsid w:val="00527A98"/>
    <w:rsid w:val="0053012F"/>
    <w:rsid w:val="0053175A"/>
    <w:rsid w:val="00531D9D"/>
    <w:rsid w:val="00532619"/>
    <w:rsid w:val="00534891"/>
    <w:rsid w:val="0053776D"/>
    <w:rsid w:val="0054054A"/>
    <w:rsid w:val="00540F6E"/>
    <w:rsid w:val="0054155C"/>
    <w:rsid w:val="00541FAE"/>
    <w:rsid w:val="0054249D"/>
    <w:rsid w:val="00543B67"/>
    <w:rsid w:val="005447EF"/>
    <w:rsid w:val="0054764E"/>
    <w:rsid w:val="00551AAC"/>
    <w:rsid w:val="005544EF"/>
    <w:rsid w:val="00554929"/>
    <w:rsid w:val="00554B1A"/>
    <w:rsid w:val="00556197"/>
    <w:rsid w:val="00557C28"/>
    <w:rsid w:val="00561989"/>
    <w:rsid w:val="00562073"/>
    <w:rsid w:val="0056366E"/>
    <w:rsid w:val="005664FE"/>
    <w:rsid w:val="00567A35"/>
    <w:rsid w:val="00567FA1"/>
    <w:rsid w:val="00567FB2"/>
    <w:rsid w:val="005705B5"/>
    <w:rsid w:val="00570729"/>
    <w:rsid w:val="00571EF6"/>
    <w:rsid w:val="00572454"/>
    <w:rsid w:val="0057778F"/>
    <w:rsid w:val="00580CCA"/>
    <w:rsid w:val="00583A72"/>
    <w:rsid w:val="00583FB4"/>
    <w:rsid w:val="00584028"/>
    <w:rsid w:val="00585FE5"/>
    <w:rsid w:val="00590199"/>
    <w:rsid w:val="00590861"/>
    <w:rsid w:val="00592716"/>
    <w:rsid w:val="00593420"/>
    <w:rsid w:val="005A0043"/>
    <w:rsid w:val="005A0F6D"/>
    <w:rsid w:val="005A298B"/>
    <w:rsid w:val="005A6145"/>
    <w:rsid w:val="005A64B9"/>
    <w:rsid w:val="005B0F98"/>
    <w:rsid w:val="005B2DBA"/>
    <w:rsid w:val="005B563C"/>
    <w:rsid w:val="005B63CD"/>
    <w:rsid w:val="005B6D1C"/>
    <w:rsid w:val="005B7E62"/>
    <w:rsid w:val="005C0682"/>
    <w:rsid w:val="005C17D0"/>
    <w:rsid w:val="005C1ED4"/>
    <w:rsid w:val="005C44AC"/>
    <w:rsid w:val="005C52C7"/>
    <w:rsid w:val="005C5F94"/>
    <w:rsid w:val="005C738D"/>
    <w:rsid w:val="005C74DE"/>
    <w:rsid w:val="005D293E"/>
    <w:rsid w:val="005D2F94"/>
    <w:rsid w:val="005D4405"/>
    <w:rsid w:val="005D7728"/>
    <w:rsid w:val="005E07E3"/>
    <w:rsid w:val="005E33C8"/>
    <w:rsid w:val="005E43DD"/>
    <w:rsid w:val="005E4675"/>
    <w:rsid w:val="005E5FF5"/>
    <w:rsid w:val="005E60AC"/>
    <w:rsid w:val="005F1402"/>
    <w:rsid w:val="005F1D70"/>
    <w:rsid w:val="005F254B"/>
    <w:rsid w:val="005F730E"/>
    <w:rsid w:val="005F77A1"/>
    <w:rsid w:val="00601D0C"/>
    <w:rsid w:val="0060277B"/>
    <w:rsid w:val="00604374"/>
    <w:rsid w:val="0060768E"/>
    <w:rsid w:val="00607A67"/>
    <w:rsid w:val="00611673"/>
    <w:rsid w:val="006145AF"/>
    <w:rsid w:val="00614AA7"/>
    <w:rsid w:val="006165B1"/>
    <w:rsid w:val="006167D2"/>
    <w:rsid w:val="00616BED"/>
    <w:rsid w:val="00623939"/>
    <w:rsid w:val="00624A5B"/>
    <w:rsid w:val="00624E07"/>
    <w:rsid w:val="0062548A"/>
    <w:rsid w:val="006300FA"/>
    <w:rsid w:val="00635F4F"/>
    <w:rsid w:val="006373FE"/>
    <w:rsid w:val="00642630"/>
    <w:rsid w:val="00647CEF"/>
    <w:rsid w:val="00647DE7"/>
    <w:rsid w:val="0065150D"/>
    <w:rsid w:val="00653CAC"/>
    <w:rsid w:val="00654676"/>
    <w:rsid w:val="006561B9"/>
    <w:rsid w:val="00656A27"/>
    <w:rsid w:val="00656C8B"/>
    <w:rsid w:val="00660B4C"/>
    <w:rsid w:val="00661205"/>
    <w:rsid w:val="00661229"/>
    <w:rsid w:val="00664211"/>
    <w:rsid w:val="00667C15"/>
    <w:rsid w:val="006727F5"/>
    <w:rsid w:val="00672A83"/>
    <w:rsid w:val="006747A0"/>
    <w:rsid w:val="006750E2"/>
    <w:rsid w:val="00676943"/>
    <w:rsid w:val="00680F9C"/>
    <w:rsid w:val="00681044"/>
    <w:rsid w:val="00681AB3"/>
    <w:rsid w:val="006825E0"/>
    <w:rsid w:val="00684870"/>
    <w:rsid w:val="006861C9"/>
    <w:rsid w:val="00692610"/>
    <w:rsid w:val="006930B8"/>
    <w:rsid w:val="0069431A"/>
    <w:rsid w:val="006969C7"/>
    <w:rsid w:val="00697E82"/>
    <w:rsid w:val="006A4631"/>
    <w:rsid w:val="006A76C4"/>
    <w:rsid w:val="006A7AD3"/>
    <w:rsid w:val="006A7DFD"/>
    <w:rsid w:val="006B320E"/>
    <w:rsid w:val="006B6A5F"/>
    <w:rsid w:val="006C0337"/>
    <w:rsid w:val="006C2759"/>
    <w:rsid w:val="006C36CE"/>
    <w:rsid w:val="006C397E"/>
    <w:rsid w:val="006C4440"/>
    <w:rsid w:val="006C44FB"/>
    <w:rsid w:val="006C492A"/>
    <w:rsid w:val="006C7D37"/>
    <w:rsid w:val="006D0FBC"/>
    <w:rsid w:val="006D1486"/>
    <w:rsid w:val="006D37E5"/>
    <w:rsid w:val="006D4850"/>
    <w:rsid w:val="006D7A44"/>
    <w:rsid w:val="006E0150"/>
    <w:rsid w:val="006E0B6F"/>
    <w:rsid w:val="006E0EEB"/>
    <w:rsid w:val="006E1029"/>
    <w:rsid w:val="006E2D75"/>
    <w:rsid w:val="006E3B44"/>
    <w:rsid w:val="006E430B"/>
    <w:rsid w:val="006E77E0"/>
    <w:rsid w:val="006E782C"/>
    <w:rsid w:val="006E79FA"/>
    <w:rsid w:val="006F0A30"/>
    <w:rsid w:val="006F0AA9"/>
    <w:rsid w:val="006F36EB"/>
    <w:rsid w:val="006F6152"/>
    <w:rsid w:val="007012F0"/>
    <w:rsid w:val="0070130A"/>
    <w:rsid w:val="00702FE5"/>
    <w:rsid w:val="0070347C"/>
    <w:rsid w:val="00704E5C"/>
    <w:rsid w:val="00707CB7"/>
    <w:rsid w:val="00710537"/>
    <w:rsid w:val="00710FCB"/>
    <w:rsid w:val="00712E5B"/>
    <w:rsid w:val="007139D6"/>
    <w:rsid w:val="007141EE"/>
    <w:rsid w:val="00714694"/>
    <w:rsid w:val="00715A75"/>
    <w:rsid w:val="007166B8"/>
    <w:rsid w:val="00716B60"/>
    <w:rsid w:val="00722111"/>
    <w:rsid w:val="00723867"/>
    <w:rsid w:val="007246ED"/>
    <w:rsid w:val="00727E0B"/>
    <w:rsid w:val="00732047"/>
    <w:rsid w:val="0074053D"/>
    <w:rsid w:val="007434A4"/>
    <w:rsid w:val="00744078"/>
    <w:rsid w:val="00744619"/>
    <w:rsid w:val="00745838"/>
    <w:rsid w:val="00746330"/>
    <w:rsid w:val="00756E1C"/>
    <w:rsid w:val="00757B7D"/>
    <w:rsid w:val="0076256E"/>
    <w:rsid w:val="00762D6D"/>
    <w:rsid w:val="00763A94"/>
    <w:rsid w:val="007675EF"/>
    <w:rsid w:val="00771EE3"/>
    <w:rsid w:val="00780FC3"/>
    <w:rsid w:val="007822AE"/>
    <w:rsid w:val="00783F4E"/>
    <w:rsid w:val="0078550A"/>
    <w:rsid w:val="007864E6"/>
    <w:rsid w:val="007900F7"/>
    <w:rsid w:val="00790A93"/>
    <w:rsid w:val="0079350C"/>
    <w:rsid w:val="00793DA1"/>
    <w:rsid w:val="0079420D"/>
    <w:rsid w:val="00795478"/>
    <w:rsid w:val="007A0414"/>
    <w:rsid w:val="007A256E"/>
    <w:rsid w:val="007A2F18"/>
    <w:rsid w:val="007A3031"/>
    <w:rsid w:val="007A388E"/>
    <w:rsid w:val="007A7145"/>
    <w:rsid w:val="007A74E8"/>
    <w:rsid w:val="007B0D2B"/>
    <w:rsid w:val="007B10BE"/>
    <w:rsid w:val="007B1A55"/>
    <w:rsid w:val="007B2FFA"/>
    <w:rsid w:val="007B460C"/>
    <w:rsid w:val="007B58F2"/>
    <w:rsid w:val="007B613D"/>
    <w:rsid w:val="007C0733"/>
    <w:rsid w:val="007C3A4D"/>
    <w:rsid w:val="007C4964"/>
    <w:rsid w:val="007C547A"/>
    <w:rsid w:val="007C6AB3"/>
    <w:rsid w:val="007C7481"/>
    <w:rsid w:val="007C7EBD"/>
    <w:rsid w:val="007D14EC"/>
    <w:rsid w:val="007D5024"/>
    <w:rsid w:val="007D6069"/>
    <w:rsid w:val="007D6BCC"/>
    <w:rsid w:val="007D7692"/>
    <w:rsid w:val="007E028B"/>
    <w:rsid w:val="007E169F"/>
    <w:rsid w:val="007F226F"/>
    <w:rsid w:val="007F2791"/>
    <w:rsid w:val="007F28A3"/>
    <w:rsid w:val="007F4A9A"/>
    <w:rsid w:val="008002F1"/>
    <w:rsid w:val="00803247"/>
    <w:rsid w:val="00803337"/>
    <w:rsid w:val="00804381"/>
    <w:rsid w:val="00806C05"/>
    <w:rsid w:val="00807795"/>
    <w:rsid w:val="00810022"/>
    <w:rsid w:val="008100B9"/>
    <w:rsid w:val="00811B67"/>
    <w:rsid w:val="00816A04"/>
    <w:rsid w:val="00816E88"/>
    <w:rsid w:val="00817CA1"/>
    <w:rsid w:val="0082281F"/>
    <w:rsid w:val="00822B9C"/>
    <w:rsid w:val="00822C61"/>
    <w:rsid w:val="008258BF"/>
    <w:rsid w:val="00830713"/>
    <w:rsid w:val="008307E5"/>
    <w:rsid w:val="008307E6"/>
    <w:rsid w:val="00832068"/>
    <w:rsid w:val="00833020"/>
    <w:rsid w:val="00834981"/>
    <w:rsid w:val="00835F72"/>
    <w:rsid w:val="00837890"/>
    <w:rsid w:val="00842E17"/>
    <w:rsid w:val="00842F0B"/>
    <w:rsid w:val="00847D54"/>
    <w:rsid w:val="00853E73"/>
    <w:rsid w:val="00855D27"/>
    <w:rsid w:val="00857081"/>
    <w:rsid w:val="00857616"/>
    <w:rsid w:val="00857A65"/>
    <w:rsid w:val="008603D0"/>
    <w:rsid w:val="00860A86"/>
    <w:rsid w:val="00861A4F"/>
    <w:rsid w:val="00861CFF"/>
    <w:rsid w:val="00861D1B"/>
    <w:rsid w:val="008637D8"/>
    <w:rsid w:val="008670F5"/>
    <w:rsid w:val="0086752E"/>
    <w:rsid w:val="00870A87"/>
    <w:rsid w:val="00873715"/>
    <w:rsid w:val="008768B9"/>
    <w:rsid w:val="00881311"/>
    <w:rsid w:val="00881658"/>
    <w:rsid w:val="00881ADB"/>
    <w:rsid w:val="00883CA5"/>
    <w:rsid w:val="008846B0"/>
    <w:rsid w:val="0088721E"/>
    <w:rsid w:val="00890B83"/>
    <w:rsid w:val="00890BEF"/>
    <w:rsid w:val="0089138E"/>
    <w:rsid w:val="008927FA"/>
    <w:rsid w:val="00896D06"/>
    <w:rsid w:val="008A2804"/>
    <w:rsid w:val="008A3BBD"/>
    <w:rsid w:val="008A468B"/>
    <w:rsid w:val="008A60B5"/>
    <w:rsid w:val="008A65A8"/>
    <w:rsid w:val="008B079E"/>
    <w:rsid w:val="008B1A8E"/>
    <w:rsid w:val="008B1C1B"/>
    <w:rsid w:val="008B2C32"/>
    <w:rsid w:val="008B34E9"/>
    <w:rsid w:val="008B46DF"/>
    <w:rsid w:val="008B7E0F"/>
    <w:rsid w:val="008C09FF"/>
    <w:rsid w:val="008C0F0F"/>
    <w:rsid w:val="008C2EFB"/>
    <w:rsid w:val="008C30CB"/>
    <w:rsid w:val="008C3464"/>
    <w:rsid w:val="008C55CE"/>
    <w:rsid w:val="008D042F"/>
    <w:rsid w:val="008D352E"/>
    <w:rsid w:val="008D3C3A"/>
    <w:rsid w:val="008D46DF"/>
    <w:rsid w:val="008D59CA"/>
    <w:rsid w:val="008D5AAB"/>
    <w:rsid w:val="008D6393"/>
    <w:rsid w:val="008D6865"/>
    <w:rsid w:val="008D7434"/>
    <w:rsid w:val="008E0643"/>
    <w:rsid w:val="008E134F"/>
    <w:rsid w:val="008E32E9"/>
    <w:rsid w:val="008E471B"/>
    <w:rsid w:val="008E66CD"/>
    <w:rsid w:val="008F0FCA"/>
    <w:rsid w:val="008F3A24"/>
    <w:rsid w:val="008F538F"/>
    <w:rsid w:val="008F7597"/>
    <w:rsid w:val="00900F07"/>
    <w:rsid w:val="00904216"/>
    <w:rsid w:val="00906F09"/>
    <w:rsid w:val="0090748D"/>
    <w:rsid w:val="0091016D"/>
    <w:rsid w:val="00912332"/>
    <w:rsid w:val="00913BC6"/>
    <w:rsid w:val="009169B3"/>
    <w:rsid w:val="009240C6"/>
    <w:rsid w:val="009241B9"/>
    <w:rsid w:val="009257CF"/>
    <w:rsid w:val="009263BC"/>
    <w:rsid w:val="00927B22"/>
    <w:rsid w:val="00927F09"/>
    <w:rsid w:val="00931322"/>
    <w:rsid w:val="00932BAA"/>
    <w:rsid w:val="0093333B"/>
    <w:rsid w:val="00933CDE"/>
    <w:rsid w:val="0093636B"/>
    <w:rsid w:val="00936529"/>
    <w:rsid w:val="00937E7C"/>
    <w:rsid w:val="00942DF3"/>
    <w:rsid w:val="00943EF2"/>
    <w:rsid w:val="00946CEE"/>
    <w:rsid w:val="00951E21"/>
    <w:rsid w:val="00952B0A"/>
    <w:rsid w:val="00952B30"/>
    <w:rsid w:val="00955C5C"/>
    <w:rsid w:val="00957A79"/>
    <w:rsid w:val="00961E3A"/>
    <w:rsid w:val="009745D1"/>
    <w:rsid w:val="00975484"/>
    <w:rsid w:val="009760E3"/>
    <w:rsid w:val="00976C82"/>
    <w:rsid w:val="00983A8F"/>
    <w:rsid w:val="0098661A"/>
    <w:rsid w:val="00990DBD"/>
    <w:rsid w:val="00992D6F"/>
    <w:rsid w:val="009930B3"/>
    <w:rsid w:val="00993CB1"/>
    <w:rsid w:val="00997E23"/>
    <w:rsid w:val="009A1715"/>
    <w:rsid w:val="009A1AC4"/>
    <w:rsid w:val="009A4EAF"/>
    <w:rsid w:val="009A56A5"/>
    <w:rsid w:val="009A7F5F"/>
    <w:rsid w:val="009B0E62"/>
    <w:rsid w:val="009B3F26"/>
    <w:rsid w:val="009B672C"/>
    <w:rsid w:val="009C7F1F"/>
    <w:rsid w:val="009D021B"/>
    <w:rsid w:val="009D0846"/>
    <w:rsid w:val="009D47C2"/>
    <w:rsid w:val="009D5671"/>
    <w:rsid w:val="009D567F"/>
    <w:rsid w:val="009E07A1"/>
    <w:rsid w:val="009E1E26"/>
    <w:rsid w:val="009E439F"/>
    <w:rsid w:val="009E5A51"/>
    <w:rsid w:val="009F6327"/>
    <w:rsid w:val="009F6B5D"/>
    <w:rsid w:val="009F6EBE"/>
    <w:rsid w:val="009F7378"/>
    <w:rsid w:val="00A005B3"/>
    <w:rsid w:val="00A01F6E"/>
    <w:rsid w:val="00A024A7"/>
    <w:rsid w:val="00A0352D"/>
    <w:rsid w:val="00A039EC"/>
    <w:rsid w:val="00A0440B"/>
    <w:rsid w:val="00A05180"/>
    <w:rsid w:val="00A05E90"/>
    <w:rsid w:val="00A06203"/>
    <w:rsid w:val="00A065BF"/>
    <w:rsid w:val="00A07246"/>
    <w:rsid w:val="00A079C1"/>
    <w:rsid w:val="00A101AD"/>
    <w:rsid w:val="00A1734B"/>
    <w:rsid w:val="00A177FA"/>
    <w:rsid w:val="00A17BC5"/>
    <w:rsid w:val="00A21E32"/>
    <w:rsid w:val="00A2389F"/>
    <w:rsid w:val="00A25314"/>
    <w:rsid w:val="00A256AF"/>
    <w:rsid w:val="00A25B9A"/>
    <w:rsid w:val="00A32A24"/>
    <w:rsid w:val="00A32DB9"/>
    <w:rsid w:val="00A33A10"/>
    <w:rsid w:val="00A34505"/>
    <w:rsid w:val="00A37305"/>
    <w:rsid w:val="00A4158C"/>
    <w:rsid w:val="00A42AFD"/>
    <w:rsid w:val="00A44980"/>
    <w:rsid w:val="00A44DD1"/>
    <w:rsid w:val="00A454D2"/>
    <w:rsid w:val="00A46C5A"/>
    <w:rsid w:val="00A4750C"/>
    <w:rsid w:val="00A50878"/>
    <w:rsid w:val="00A51FB9"/>
    <w:rsid w:val="00A521BA"/>
    <w:rsid w:val="00A532FA"/>
    <w:rsid w:val="00A53352"/>
    <w:rsid w:val="00A563D8"/>
    <w:rsid w:val="00A61692"/>
    <w:rsid w:val="00A64904"/>
    <w:rsid w:val="00A6611B"/>
    <w:rsid w:val="00A67776"/>
    <w:rsid w:val="00A7360A"/>
    <w:rsid w:val="00A7512A"/>
    <w:rsid w:val="00A771CA"/>
    <w:rsid w:val="00A800CB"/>
    <w:rsid w:val="00A85BDC"/>
    <w:rsid w:val="00A86462"/>
    <w:rsid w:val="00A86525"/>
    <w:rsid w:val="00A8716A"/>
    <w:rsid w:val="00A9238C"/>
    <w:rsid w:val="00A934C4"/>
    <w:rsid w:val="00A94D52"/>
    <w:rsid w:val="00A95C32"/>
    <w:rsid w:val="00A966C4"/>
    <w:rsid w:val="00AA227C"/>
    <w:rsid w:val="00AA531F"/>
    <w:rsid w:val="00AA5B3D"/>
    <w:rsid w:val="00AB1172"/>
    <w:rsid w:val="00AB3518"/>
    <w:rsid w:val="00AB371A"/>
    <w:rsid w:val="00AB669C"/>
    <w:rsid w:val="00AC0C2E"/>
    <w:rsid w:val="00AC127A"/>
    <w:rsid w:val="00AC2BF5"/>
    <w:rsid w:val="00AC615E"/>
    <w:rsid w:val="00AD08C7"/>
    <w:rsid w:val="00AD09FF"/>
    <w:rsid w:val="00AD17F4"/>
    <w:rsid w:val="00AD3146"/>
    <w:rsid w:val="00AD6449"/>
    <w:rsid w:val="00AE062B"/>
    <w:rsid w:val="00AE1839"/>
    <w:rsid w:val="00AE38A3"/>
    <w:rsid w:val="00AE6C0B"/>
    <w:rsid w:val="00AF4C57"/>
    <w:rsid w:val="00AF63F9"/>
    <w:rsid w:val="00AF747A"/>
    <w:rsid w:val="00B0204B"/>
    <w:rsid w:val="00B03A87"/>
    <w:rsid w:val="00B07C36"/>
    <w:rsid w:val="00B11A22"/>
    <w:rsid w:val="00B168DB"/>
    <w:rsid w:val="00B205FC"/>
    <w:rsid w:val="00B25101"/>
    <w:rsid w:val="00B257BE"/>
    <w:rsid w:val="00B316AD"/>
    <w:rsid w:val="00B32358"/>
    <w:rsid w:val="00B33342"/>
    <w:rsid w:val="00B35774"/>
    <w:rsid w:val="00B36293"/>
    <w:rsid w:val="00B37D36"/>
    <w:rsid w:val="00B43DD7"/>
    <w:rsid w:val="00B478D1"/>
    <w:rsid w:val="00B5183D"/>
    <w:rsid w:val="00B548BF"/>
    <w:rsid w:val="00B54A1F"/>
    <w:rsid w:val="00B57877"/>
    <w:rsid w:val="00B57913"/>
    <w:rsid w:val="00B5796C"/>
    <w:rsid w:val="00B615F4"/>
    <w:rsid w:val="00B66550"/>
    <w:rsid w:val="00B673D5"/>
    <w:rsid w:val="00B67B73"/>
    <w:rsid w:val="00B7038B"/>
    <w:rsid w:val="00B71988"/>
    <w:rsid w:val="00B73AEA"/>
    <w:rsid w:val="00B75F74"/>
    <w:rsid w:val="00B77161"/>
    <w:rsid w:val="00B77D27"/>
    <w:rsid w:val="00B80318"/>
    <w:rsid w:val="00B86D5C"/>
    <w:rsid w:val="00B87364"/>
    <w:rsid w:val="00B91041"/>
    <w:rsid w:val="00B915BA"/>
    <w:rsid w:val="00B9198C"/>
    <w:rsid w:val="00B932DB"/>
    <w:rsid w:val="00B93510"/>
    <w:rsid w:val="00B936A9"/>
    <w:rsid w:val="00B95187"/>
    <w:rsid w:val="00B95F84"/>
    <w:rsid w:val="00B97ABD"/>
    <w:rsid w:val="00BA1525"/>
    <w:rsid w:val="00BA36EA"/>
    <w:rsid w:val="00BA5D43"/>
    <w:rsid w:val="00BA5FCF"/>
    <w:rsid w:val="00BB0E9E"/>
    <w:rsid w:val="00BB1F14"/>
    <w:rsid w:val="00BB200B"/>
    <w:rsid w:val="00BB21A3"/>
    <w:rsid w:val="00BB2741"/>
    <w:rsid w:val="00BB29D7"/>
    <w:rsid w:val="00BB371F"/>
    <w:rsid w:val="00BB3A5D"/>
    <w:rsid w:val="00BB6E70"/>
    <w:rsid w:val="00BB71C3"/>
    <w:rsid w:val="00BB724B"/>
    <w:rsid w:val="00BB7A5A"/>
    <w:rsid w:val="00BC2624"/>
    <w:rsid w:val="00BC262C"/>
    <w:rsid w:val="00BC2D2C"/>
    <w:rsid w:val="00BC55B6"/>
    <w:rsid w:val="00BC625B"/>
    <w:rsid w:val="00BC739D"/>
    <w:rsid w:val="00BD0E73"/>
    <w:rsid w:val="00BD207E"/>
    <w:rsid w:val="00BD270A"/>
    <w:rsid w:val="00BD34E5"/>
    <w:rsid w:val="00BE1383"/>
    <w:rsid w:val="00BE2057"/>
    <w:rsid w:val="00BE223D"/>
    <w:rsid w:val="00BE35EB"/>
    <w:rsid w:val="00BE4EB5"/>
    <w:rsid w:val="00BE7076"/>
    <w:rsid w:val="00BE77E8"/>
    <w:rsid w:val="00BF14BF"/>
    <w:rsid w:val="00BF1958"/>
    <w:rsid w:val="00BF33A8"/>
    <w:rsid w:val="00BF3929"/>
    <w:rsid w:val="00BF6F7C"/>
    <w:rsid w:val="00C0005C"/>
    <w:rsid w:val="00C01492"/>
    <w:rsid w:val="00C0366A"/>
    <w:rsid w:val="00C03B05"/>
    <w:rsid w:val="00C0432E"/>
    <w:rsid w:val="00C05025"/>
    <w:rsid w:val="00C05772"/>
    <w:rsid w:val="00C05C20"/>
    <w:rsid w:val="00C060EF"/>
    <w:rsid w:val="00C06E1F"/>
    <w:rsid w:val="00C1077F"/>
    <w:rsid w:val="00C11AE3"/>
    <w:rsid w:val="00C12C17"/>
    <w:rsid w:val="00C136D3"/>
    <w:rsid w:val="00C14FA5"/>
    <w:rsid w:val="00C23DE2"/>
    <w:rsid w:val="00C23E8C"/>
    <w:rsid w:val="00C25B75"/>
    <w:rsid w:val="00C307D6"/>
    <w:rsid w:val="00C31606"/>
    <w:rsid w:val="00C345A0"/>
    <w:rsid w:val="00C34648"/>
    <w:rsid w:val="00C35704"/>
    <w:rsid w:val="00C4140C"/>
    <w:rsid w:val="00C43A02"/>
    <w:rsid w:val="00C44C77"/>
    <w:rsid w:val="00C46238"/>
    <w:rsid w:val="00C464DC"/>
    <w:rsid w:val="00C47381"/>
    <w:rsid w:val="00C511B5"/>
    <w:rsid w:val="00C52BA8"/>
    <w:rsid w:val="00C538CB"/>
    <w:rsid w:val="00C546DC"/>
    <w:rsid w:val="00C54716"/>
    <w:rsid w:val="00C548ED"/>
    <w:rsid w:val="00C57B3A"/>
    <w:rsid w:val="00C60D1B"/>
    <w:rsid w:val="00C63E73"/>
    <w:rsid w:val="00C648B2"/>
    <w:rsid w:val="00C64B9B"/>
    <w:rsid w:val="00C668B6"/>
    <w:rsid w:val="00C72100"/>
    <w:rsid w:val="00C72724"/>
    <w:rsid w:val="00C758B8"/>
    <w:rsid w:val="00C7719D"/>
    <w:rsid w:val="00C81DE2"/>
    <w:rsid w:val="00C81E8B"/>
    <w:rsid w:val="00C82DBA"/>
    <w:rsid w:val="00C87D80"/>
    <w:rsid w:val="00C97CE1"/>
    <w:rsid w:val="00CA395D"/>
    <w:rsid w:val="00CA433E"/>
    <w:rsid w:val="00CA44D5"/>
    <w:rsid w:val="00CA547A"/>
    <w:rsid w:val="00CA5536"/>
    <w:rsid w:val="00CA7291"/>
    <w:rsid w:val="00CB1ABC"/>
    <w:rsid w:val="00CB48FA"/>
    <w:rsid w:val="00CC14F0"/>
    <w:rsid w:val="00CC1FF3"/>
    <w:rsid w:val="00CC3DC6"/>
    <w:rsid w:val="00CC5028"/>
    <w:rsid w:val="00CC79AD"/>
    <w:rsid w:val="00CD05C4"/>
    <w:rsid w:val="00CD318E"/>
    <w:rsid w:val="00CD3BE2"/>
    <w:rsid w:val="00CD42FA"/>
    <w:rsid w:val="00CD5CF8"/>
    <w:rsid w:val="00CD6A67"/>
    <w:rsid w:val="00CD7FB4"/>
    <w:rsid w:val="00CE302D"/>
    <w:rsid w:val="00CE3CDD"/>
    <w:rsid w:val="00CE4A09"/>
    <w:rsid w:val="00CE5A35"/>
    <w:rsid w:val="00CE5E95"/>
    <w:rsid w:val="00CE6043"/>
    <w:rsid w:val="00CF1013"/>
    <w:rsid w:val="00CF5B51"/>
    <w:rsid w:val="00CF5F47"/>
    <w:rsid w:val="00CF6D59"/>
    <w:rsid w:val="00D01D80"/>
    <w:rsid w:val="00D02D3D"/>
    <w:rsid w:val="00D056F9"/>
    <w:rsid w:val="00D0594F"/>
    <w:rsid w:val="00D05950"/>
    <w:rsid w:val="00D05FD6"/>
    <w:rsid w:val="00D13611"/>
    <w:rsid w:val="00D14B83"/>
    <w:rsid w:val="00D15CCE"/>
    <w:rsid w:val="00D16068"/>
    <w:rsid w:val="00D1674A"/>
    <w:rsid w:val="00D17486"/>
    <w:rsid w:val="00D201EC"/>
    <w:rsid w:val="00D20C01"/>
    <w:rsid w:val="00D2236B"/>
    <w:rsid w:val="00D25EE2"/>
    <w:rsid w:val="00D27582"/>
    <w:rsid w:val="00D27DFF"/>
    <w:rsid w:val="00D30692"/>
    <w:rsid w:val="00D30847"/>
    <w:rsid w:val="00D30E73"/>
    <w:rsid w:val="00D328AA"/>
    <w:rsid w:val="00D34310"/>
    <w:rsid w:val="00D40CEC"/>
    <w:rsid w:val="00D43996"/>
    <w:rsid w:val="00D47324"/>
    <w:rsid w:val="00D53F15"/>
    <w:rsid w:val="00D56195"/>
    <w:rsid w:val="00D624B4"/>
    <w:rsid w:val="00D640D3"/>
    <w:rsid w:val="00D658F6"/>
    <w:rsid w:val="00D666E2"/>
    <w:rsid w:val="00D670BC"/>
    <w:rsid w:val="00D67403"/>
    <w:rsid w:val="00D721AD"/>
    <w:rsid w:val="00D733B0"/>
    <w:rsid w:val="00D759E8"/>
    <w:rsid w:val="00D771A9"/>
    <w:rsid w:val="00D84338"/>
    <w:rsid w:val="00D87AEF"/>
    <w:rsid w:val="00D90F53"/>
    <w:rsid w:val="00D9145C"/>
    <w:rsid w:val="00D92551"/>
    <w:rsid w:val="00D94688"/>
    <w:rsid w:val="00D94CBA"/>
    <w:rsid w:val="00D962A1"/>
    <w:rsid w:val="00DA2004"/>
    <w:rsid w:val="00DA21BB"/>
    <w:rsid w:val="00DA5A55"/>
    <w:rsid w:val="00DB0447"/>
    <w:rsid w:val="00DB0451"/>
    <w:rsid w:val="00DB15FC"/>
    <w:rsid w:val="00DB17B9"/>
    <w:rsid w:val="00DB1F2E"/>
    <w:rsid w:val="00DB2E6A"/>
    <w:rsid w:val="00DB38DD"/>
    <w:rsid w:val="00DB5099"/>
    <w:rsid w:val="00DB75A5"/>
    <w:rsid w:val="00DB7FB2"/>
    <w:rsid w:val="00DB7FD7"/>
    <w:rsid w:val="00DC0D34"/>
    <w:rsid w:val="00DC23A9"/>
    <w:rsid w:val="00DC2F3E"/>
    <w:rsid w:val="00DC2FA1"/>
    <w:rsid w:val="00DC35CD"/>
    <w:rsid w:val="00DC3C92"/>
    <w:rsid w:val="00DC4337"/>
    <w:rsid w:val="00DC56F9"/>
    <w:rsid w:val="00DD10CC"/>
    <w:rsid w:val="00DD15AB"/>
    <w:rsid w:val="00DD2517"/>
    <w:rsid w:val="00DD4BAB"/>
    <w:rsid w:val="00DD69AE"/>
    <w:rsid w:val="00DD79D6"/>
    <w:rsid w:val="00DE1DFC"/>
    <w:rsid w:val="00DE3288"/>
    <w:rsid w:val="00DE36A4"/>
    <w:rsid w:val="00DF0919"/>
    <w:rsid w:val="00DF09FD"/>
    <w:rsid w:val="00DF0E4F"/>
    <w:rsid w:val="00DF3286"/>
    <w:rsid w:val="00DF3F49"/>
    <w:rsid w:val="00DF4229"/>
    <w:rsid w:val="00DF52F4"/>
    <w:rsid w:val="00DF64BB"/>
    <w:rsid w:val="00E01AC7"/>
    <w:rsid w:val="00E02077"/>
    <w:rsid w:val="00E02906"/>
    <w:rsid w:val="00E0308A"/>
    <w:rsid w:val="00E121A0"/>
    <w:rsid w:val="00E12360"/>
    <w:rsid w:val="00E12636"/>
    <w:rsid w:val="00E12DC7"/>
    <w:rsid w:val="00E206A0"/>
    <w:rsid w:val="00E20BB6"/>
    <w:rsid w:val="00E21113"/>
    <w:rsid w:val="00E230E9"/>
    <w:rsid w:val="00E266AD"/>
    <w:rsid w:val="00E27DFF"/>
    <w:rsid w:val="00E30186"/>
    <w:rsid w:val="00E30272"/>
    <w:rsid w:val="00E31992"/>
    <w:rsid w:val="00E3527B"/>
    <w:rsid w:val="00E35626"/>
    <w:rsid w:val="00E374CF"/>
    <w:rsid w:val="00E37520"/>
    <w:rsid w:val="00E40F12"/>
    <w:rsid w:val="00E417D4"/>
    <w:rsid w:val="00E41B78"/>
    <w:rsid w:val="00E426C4"/>
    <w:rsid w:val="00E44EAC"/>
    <w:rsid w:val="00E4548F"/>
    <w:rsid w:val="00E50504"/>
    <w:rsid w:val="00E52AC4"/>
    <w:rsid w:val="00E53782"/>
    <w:rsid w:val="00E5564E"/>
    <w:rsid w:val="00E55D26"/>
    <w:rsid w:val="00E56A1C"/>
    <w:rsid w:val="00E6286A"/>
    <w:rsid w:val="00E62C20"/>
    <w:rsid w:val="00E66280"/>
    <w:rsid w:val="00E66E1A"/>
    <w:rsid w:val="00E70786"/>
    <w:rsid w:val="00E71ADC"/>
    <w:rsid w:val="00E72895"/>
    <w:rsid w:val="00E751D2"/>
    <w:rsid w:val="00E751FE"/>
    <w:rsid w:val="00E75545"/>
    <w:rsid w:val="00E7691A"/>
    <w:rsid w:val="00E7717C"/>
    <w:rsid w:val="00E80C49"/>
    <w:rsid w:val="00E87015"/>
    <w:rsid w:val="00E8742A"/>
    <w:rsid w:val="00E87F04"/>
    <w:rsid w:val="00E92575"/>
    <w:rsid w:val="00E929B7"/>
    <w:rsid w:val="00E92C37"/>
    <w:rsid w:val="00E92EEE"/>
    <w:rsid w:val="00E951E6"/>
    <w:rsid w:val="00E97CA1"/>
    <w:rsid w:val="00E97D71"/>
    <w:rsid w:val="00EA4465"/>
    <w:rsid w:val="00EA59DF"/>
    <w:rsid w:val="00EB0A70"/>
    <w:rsid w:val="00EB14D9"/>
    <w:rsid w:val="00EB3118"/>
    <w:rsid w:val="00EB433F"/>
    <w:rsid w:val="00EB4678"/>
    <w:rsid w:val="00EB51D3"/>
    <w:rsid w:val="00EB788D"/>
    <w:rsid w:val="00EC2FC9"/>
    <w:rsid w:val="00EC38DD"/>
    <w:rsid w:val="00EC3F48"/>
    <w:rsid w:val="00EC42BB"/>
    <w:rsid w:val="00EC7B5D"/>
    <w:rsid w:val="00ED0E69"/>
    <w:rsid w:val="00ED12CA"/>
    <w:rsid w:val="00ED4A46"/>
    <w:rsid w:val="00ED6399"/>
    <w:rsid w:val="00EE08BC"/>
    <w:rsid w:val="00EE2F4B"/>
    <w:rsid w:val="00EE47AE"/>
    <w:rsid w:val="00EE65EA"/>
    <w:rsid w:val="00EE7448"/>
    <w:rsid w:val="00EF363F"/>
    <w:rsid w:val="00EF4F20"/>
    <w:rsid w:val="00F00F5B"/>
    <w:rsid w:val="00F01E7E"/>
    <w:rsid w:val="00F04631"/>
    <w:rsid w:val="00F04A32"/>
    <w:rsid w:val="00F04E65"/>
    <w:rsid w:val="00F05FFC"/>
    <w:rsid w:val="00F06518"/>
    <w:rsid w:val="00F07ABB"/>
    <w:rsid w:val="00F12602"/>
    <w:rsid w:val="00F13052"/>
    <w:rsid w:val="00F13320"/>
    <w:rsid w:val="00F15B1D"/>
    <w:rsid w:val="00F165C1"/>
    <w:rsid w:val="00F16F63"/>
    <w:rsid w:val="00F179C2"/>
    <w:rsid w:val="00F17D85"/>
    <w:rsid w:val="00F17E79"/>
    <w:rsid w:val="00F24877"/>
    <w:rsid w:val="00F268AB"/>
    <w:rsid w:val="00F268D4"/>
    <w:rsid w:val="00F27B1F"/>
    <w:rsid w:val="00F3107C"/>
    <w:rsid w:val="00F323E5"/>
    <w:rsid w:val="00F33A01"/>
    <w:rsid w:val="00F34868"/>
    <w:rsid w:val="00F357C4"/>
    <w:rsid w:val="00F3633B"/>
    <w:rsid w:val="00F373D2"/>
    <w:rsid w:val="00F37774"/>
    <w:rsid w:val="00F37833"/>
    <w:rsid w:val="00F407EB"/>
    <w:rsid w:val="00F40C58"/>
    <w:rsid w:val="00F41C06"/>
    <w:rsid w:val="00F429DA"/>
    <w:rsid w:val="00F42DC7"/>
    <w:rsid w:val="00F44D63"/>
    <w:rsid w:val="00F4542A"/>
    <w:rsid w:val="00F47FAA"/>
    <w:rsid w:val="00F5057A"/>
    <w:rsid w:val="00F52313"/>
    <w:rsid w:val="00F54693"/>
    <w:rsid w:val="00F56031"/>
    <w:rsid w:val="00F57275"/>
    <w:rsid w:val="00F57323"/>
    <w:rsid w:val="00F57D54"/>
    <w:rsid w:val="00F60F03"/>
    <w:rsid w:val="00F6117B"/>
    <w:rsid w:val="00F61EF5"/>
    <w:rsid w:val="00F63D26"/>
    <w:rsid w:val="00F66468"/>
    <w:rsid w:val="00F678EB"/>
    <w:rsid w:val="00F67C4B"/>
    <w:rsid w:val="00F7025F"/>
    <w:rsid w:val="00F73136"/>
    <w:rsid w:val="00F73287"/>
    <w:rsid w:val="00F73DC4"/>
    <w:rsid w:val="00F74540"/>
    <w:rsid w:val="00F74946"/>
    <w:rsid w:val="00F74FA4"/>
    <w:rsid w:val="00F765AA"/>
    <w:rsid w:val="00F774B5"/>
    <w:rsid w:val="00F77B97"/>
    <w:rsid w:val="00F80BA3"/>
    <w:rsid w:val="00F85BEE"/>
    <w:rsid w:val="00F86AEB"/>
    <w:rsid w:val="00F871CA"/>
    <w:rsid w:val="00F90020"/>
    <w:rsid w:val="00F90B6D"/>
    <w:rsid w:val="00F94B0C"/>
    <w:rsid w:val="00F94B6D"/>
    <w:rsid w:val="00F94B9A"/>
    <w:rsid w:val="00F9515E"/>
    <w:rsid w:val="00F969D5"/>
    <w:rsid w:val="00F973BD"/>
    <w:rsid w:val="00F97D2B"/>
    <w:rsid w:val="00FA0D31"/>
    <w:rsid w:val="00FA1D03"/>
    <w:rsid w:val="00FA3765"/>
    <w:rsid w:val="00FA3B08"/>
    <w:rsid w:val="00FA4D44"/>
    <w:rsid w:val="00FB1BF8"/>
    <w:rsid w:val="00FB2568"/>
    <w:rsid w:val="00FB2807"/>
    <w:rsid w:val="00FB2885"/>
    <w:rsid w:val="00FB4D27"/>
    <w:rsid w:val="00FB546D"/>
    <w:rsid w:val="00FB5E31"/>
    <w:rsid w:val="00FC010E"/>
    <w:rsid w:val="00FC22FD"/>
    <w:rsid w:val="00FC354A"/>
    <w:rsid w:val="00FC3E82"/>
    <w:rsid w:val="00FC4B37"/>
    <w:rsid w:val="00FD08A3"/>
    <w:rsid w:val="00FD1989"/>
    <w:rsid w:val="00FD1E11"/>
    <w:rsid w:val="00FD20AE"/>
    <w:rsid w:val="00FD3D7A"/>
    <w:rsid w:val="00FD7896"/>
    <w:rsid w:val="00FE4619"/>
    <w:rsid w:val="00FE53A6"/>
    <w:rsid w:val="00FE57C7"/>
    <w:rsid w:val="00FF1532"/>
    <w:rsid w:val="00FF158B"/>
    <w:rsid w:val="00FF1E95"/>
    <w:rsid w:val="00FF1EEE"/>
    <w:rsid w:val="00FF4C3A"/>
    <w:rsid w:val="00FF6114"/>
    <w:rsid w:val="00FF6386"/>
    <w:rsid w:val="00FF75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BCD6C9"/>
  <w15:docId w15:val="{1B4A5F96-E844-4719-BBA9-3B0F29B3F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C1DFD"/>
    <w:pPr>
      <w:jc w:val="both"/>
    </w:pPr>
  </w:style>
  <w:style w:type="paragraph" w:styleId="Titolo1">
    <w:name w:val="heading 1"/>
    <w:basedOn w:val="Normale"/>
    <w:next w:val="Normale"/>
    <w:link w:val="Titolo1Carattere"/>
    <w:uiPriority w:val="9"/>
    <w:qFormat/>
    <w:rsid w:val="004D29C1"/>
    <w:pPr>
      <w:keepNext/>
      <w:keepLines/>
      <w:spacing w:before="240" w:after="12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8B7E0F"/>
    <w:pPr>
      <w:keepNext/>
      <w:keepLines/>
      <w:spacing w:before="40" w:after="12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8320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88131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241B9"/>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9241B9"/>
  </w:style>
  <w:style w:type="paragraph" w:styleId="Pidipagina">
    <w:name w:val="footer"/>
    <w:basedOn w:val="Normale"/>
    <w:link w:val="PidipaginaCarattere"/>
    <w:uiPriority w:val="99"/>
    <w:unhideWhenUsed/>
    <w:rsid w:val="009241B9"/>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9241B9"/>
  </w:style>
  <w:style w:type="paragraph" w:styleId="Testofumetto">
    <w:name w:val="Balloon Text"/>
    <w:basedOn w:val="Normale"/>
    <w:link w:val="TestofumettoCarattere"/>
    <w:uiPriority w:val="99"/>
    <w:semiHidden/>
    <w:unhideWhenUsed/>
    <w:rsid w:val="009241B9"/>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241B9"/>
    <w:rPr>
      <w:rFonts w:ascii="Tahoma" w:hAnsi="Tahoma" w:cs="Tahoma"/>
      <w:sz w:val="16"/>
      <w:szCs w:val="16"/>
    </w:rPr>
  </w:style>
  <w:style w:type="paragraph" w:styleId="Titolo">
    <w:name w:val="Title"/>
    <w:basedOn w:val="Normale"/>
    <w:next w:val="Normale"/>
    <w:link w:val="TitoloCarattere"/>
    <w:uiPriority w:val="10"/>
    <w:qFormat/>
    <w:rsid w:val="001F3A3D"/>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F3A3D"/>
    <w:rPr>
      <w:rFonts w:asciiTheme="majorHAnsi" w:eastAsiaTheme="majorEastAsia" w:hAnsiTheme="majorHAnsi" w:cstheme="majorBidi"/>
      <w:spacing w:val="-10"/>
      <w:kern w:val="28"/>
      <w:sz w:val="56"/>
      <w:szCs w:val="56"/>
    </w:rPr>
  </w:style>
  <w:style w:type="paragraph" w:styleId="NormaleWeb">
    <w:name w:val="Normal (Web)"/>
    <w:basedOn w:val="Normale"/>
    <w:uiPriority w:val="99"/>
    <w:unhideWhenUsed/>
    <w:rsid w:val="001F3A3D"/>
    <w:pPr>
      <w:spacing w:before="100" w:beforeAutospacing="1" w:after="100" w:afterAutospacing="1"/>
    </w:pPr>
    <w:rPr>
      <w:rFonts w:ascii="Times New Roman" w:eastAsia="Times New Roman" w:hAnsi="Times New Roman" w:cs="Times New Roman"/>
      <w:sz w:val="24"/>
      <w:szCs w:val="24"/>
      <w:lang w:eastAsia="it-IT"/>
    </w:rPr>
  </w:style>
  <w:style w:type="table" w:styleId="Tabellagriglia4-colore3">
    <w:name w:val="Grid Table 4 Accent 3"/>
    <w:basedOn w:val="Tabellanormale"/>
    <w:uiPriority w:val="49"/>
    <w:rsid w:val="001F3A3D"/>
    <w:pPr>
      <w:spacing w:after="0"/>
    </w:pPr>
    <w:rPr>
      <w:sz w:val="24"/>
      <w:szCs w:val="24"/>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itolo1Carattere">
    <w:name w:val="Titolo 1 Carattere"/>
    <w:basedOn w:val="Carpredefinitoparagrafo"/>
    <w:link w:val="Titolo1"/>
    <w:uiPriority w:val="9"/>
    <w:rsid w:val="004D29C1"/>
    <w:rPr>
      <w:rFonts w:asciiTheme="majorHAnsi" w:eastAsiaTheme="majorEastAsia" w:hAnsiTheme="majorHAnsi" w:cstheme="majorBidi"/>
      <w:color w:val="365F91" w:themeColor="accent1" w:themeShade="BF"/>
      <w:sz w:val="32"/>
      <w:szCs w:val="32"/>
    </w:rPr>
  </w:style>
  <w:style w:type="paragraph" w:styleId="Paragrafoelenco">
    <w:name w:val="List Paragraph"/>
    <w:aliases w:val="Elenco puntato,Titolo Paragrafo"/>
    <w:basedOn w:val="Normale"/>
    <w:link w:val="ParagrafoelencoCarattere"/>
    <w:uiPriority w:val="34"/>
    <w:qFormat/>
    <w:rsid w:val="00C31606"/>
    <w:pPr>
      <w:spacing w:after="160" w:line="259" w:lineRule="auto"/>
      <w:ind w:left="720"/>
      <w:contextualSpacing/>
    </w:pPr>
  </w:style>
  <w:style w:type="character" w:customStyle="1" w:styleId="Titolo2Carattere">
    <w:name w:val="Titolo 2 Carattere"/>
    <w:basedOn w:val="Carpredefinitoparagrafo"/>
    <w:link w:val="Titolo2"/>
    <w:uiPriority w:val="9"/>
    <w:rsid w:val="008B7E0F"/>
    <w:rPr>
      <w:rFonts w:asciiTheme="majorHAnsi" w:eastAsiaTheme="majorEastAsia" w:hAnsiTheme="majorHAnsi" w:cstheme="majorBidi"/>
      <w:color w:val="365F91" w:themeColor="accent1" w:themeShade="BF"/>
      <w:sz w:val="26"/>
      <w:szCs w:val="26"/>
    </w:rPr>
  </w:style>
  <w:style w:type="paragraph" w:customStyle="1" w:styleId="Default">
    <w:name w:val="Default"/>
    <w:rsid w:val="00E62C20"/>
    <w:pPr>
      <w:autoSpaceDE w:val="0"/>
      <w:autoSpaceDN w:val="0"/>
      <w:adjustRightInd w:val="0"/>
      <w:spacing w:after="0"/>
    </w:pPr>
    <w:rPr>
      <w:rFonts w:ascii="Times New Roman" w:hAnsi="Times New Roman" w:cs="Times New Roman"/>
      <w:color w:val="000000"/>
      <w:sz w:val="24"/>
      <w:szCs w:val="24"/>
    </w:rPr>
  </w:style>
  <w:style w:type="character" w:customStyle="1" w:styleId="Titolo3Carattere">
    <w:name w:val="Titolo 3 Carattere"/>
    <w:basedOn w:val="Carpredefinitoparagrafo"/>
    <w:link w:val="Titolo3"/>
    <w:uiPriority w:val="9"/>
    <w:rsid w:val="00832068"/>
    <w:rPr>
      <w:rFonts w:asciiTheme="majorHAnsi" w:eastAsiaTheme="majorEastAsia" w:hAnsiTheme="majorHAnsi" w:cstheme="majorBidi"/>
      <w:color w:val="243F60" w:themeColor="accent1" w:themeShade="7F"/>
      <w:sz w:val="24"/>
      <w:szCs w:val="24"/>
    </w:rPr>
  </w:style>
  <w:style w:type="paragraph" w:styleId="Titolosommario">
    <w:name w:val="TOC Heading"/>
    <w:basedOn w:val="Titolo1"/>
    <w:next w:val="Normale"/>
    <w:uiPriority w:val="39"/>
    <w:unhideWhenUsed/>
    <w:qFormat/>
    <w:rsid w:val="00A86462"/>
    <w:pPr>
      <w:spacing w:line="259" w:lineRule="auto"/>
      <w:jc w:val="left"/>
      <w:outlineLvl w:val="9"/>
    </w:pPr>
    <w:rPr>
      <w:lang w:eastAsia="it-IT"/>
    </w:rPr>
  </w:style>
  <w:style w:type="paragraph" w:styleId="Sommario1">
    <w:name w:val="toc 1"/>
    <w:basedOn w:val="Normale"/>
    <w:next w:val="Normale"/>
    <w:autoRedefine/>
    <w:uiPriority w:val="39"/>
    <w:unhideWhenUsed/>
    <w:rsid w:val="00225920"/>
    <w:pPr>
      <w:tabs>
        <w:tab w:val="right" w:leader="dot" w:pos="9628"/>
      </w:tabs>
      <w:spacing w:after="100"/>
    </w:pPr>
  </w:style>
  <w:style w:type="paragraph" w:styleId="Sommario2">
    <w:name w:val="toc 2"/>
    <w:basedOn w:val="Normale"/>
    <w:next w:val="Normale"/>
    <w:autoRedefine/>
    <w:uiPriority w:val="39"/>
    <w:unhideWhenUsed/>
    <w:rsid w:val="00225920"/>
    <w:pPr>
      <w:tabs>
        <w:tab w:val="right" w:leader="dot" w:pos="9628"/>
      </w:tabs>
      <w:spacing w:after="100"/>
      <w:ind w:left="220"/>
    </w:pPr>
  </w:style>
  <w:style w:type="paragraph" w:styleId="Sommario3">
    <w:name w:val="toc 3"/>
    <w:basedOn w:val="Normale"/>
    <w:next w:val="Normale"/>
    <w:autoRedefine/>
    <w:uiPriority w:val="39"/>
    <w:unhideWhenUsed/>
    <w:rsid w:val="00A86462"/>
    <w:pPr>
      <w:spacing w:after="100"/>
      <w:ind w:left="440"/>
    </w:pPr>
  </w:style>
  <w:style w:type="character" w:styleId="Collegamentoipertestuale">
    <w:name w:val="Hyperlink"/>
    <w:basedOn w:val="Carpredefinitoparagrafo"/>
    <w:uiPriority w:val="99"/>
    <w:unhideWhenUsed/>
    <w:rsid w:val="00A86462"/>
    <w:rPr>
      <w:color w:val="0000FF" w:themeColor="hyperlink"/>
      <w:u w:val="single"/>
    </w:rPr>
  </w:style>
  <w:style w:type="table" w:styleId="Grigliatabellachiara">
    <w:name w:val="Grid Table Light"/>
    <w:basedOn w:val="Tabellanormale"/>
    <w:uiPriority w:val="40"/>
    <w:rsid w:val="00822C61"/>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aliases w:val="stile 1,Footnote1,Footnote2,Footnote3,Footnote4,Footnote5,Footnote6,Footnote7,Footnote8,Footnote9,Footnote10,Footnote11,Footnote21,Footnote31,Footnote41,Footnote51,Footnote61,Footnote71,Footnote81,Footnote91,stile 111,- Report"/>
    <w:basedOn w:val="Normale"/>
    <w:link w:val="TestonotaapidipaginaCarattere"/>
    <w:uiPriority w:val="99"/>
    <w:unhideWhenUsed/>
    <w:rsid w:val="00C0366A"/>
    <w:pPr>
      <w:spacing w:after="0"/>
    </w:pPr>
    <w:rPr>
      <w:sz w:val="20"/>
      <w:szCs w:val="20"/>
    </w:rPr>
  </w:style>
  <w:style w:type="character" w:customStyle="1" w:styleId="TestonotaapidipaginaCarattere">
    <w:name w:val="Testo nota a piè di pagina Carattere"/>
    <w:aliases w:val="stile 1 Carattere,Footnote1 Carattere,Footnote2 Carattere,Footnote3 Carattere,Footnote4 Carattere,Footnote5 Carattere,Footnote6 Carattere,Footnote7 Carattere,Footnote8 Carattere,Footnote9 Carattere,- Report Carattere"/>
    <w:basedOn w:val="Carpredefinitoparagrafo"/>
    <w:link w:val="Testonotaapidipagina"/>
    <w:uiPriority w:val="99"/>
    <w:rsid w:val="00C0366A"/>
    <w:rPr>
      <w:sz w:val="20"/>
      <w:szCs w:val="20"/>
    </w:rPr>
  </w:style>
  <w:style w:type="character" w:styleId="Rimandonotaapidipagina">
    <w:name w:val="footnote reference"/>
    <w:aliases w:val="Footnote symbol,Footnote,BVI fnr,(Footnote Reference),SUPERS,Times 10 Point,Exposant 3 Point,Voetnootverwijzing,Footnote reference number,note TESI,Footnote Reference Superscript,Footnote Reference Number,BVI fnr Car Car"/>
    <w:basedOn w:val="Carpredefinitoparagrafo"/>
    <w:link w:val="Nota"/>
    <w:uiPriority w:val="99"/>
    <w:unhideWhenUsed/>
    <w:rsid w:val="00C0366A"/>
    <w:rPr>
      <w:vertAlign w:val="superscript"/>
    </w:rPr>
  </w:style>
  <w:style w:type="character" w:customStyle="1" w:styleId="Titolo4Carattere">
    <w:name w:val="Titolo 4 Carattere"/>
    <w:basedOn w:val="Carpredefinitoparagrafo"/>
    <w:link w:val="Titolo4"/>
    <w:uiPriority w:val="9"/>
    <w:rsid w:val="00881311"/>
    <w:rPr>
      <w:rFonts w:asciiTheme="majorHAnsi" w:eastAsiaTheme="majorEastAsia" w:hAnsiTheme="majorHAnsi" w:cstheme="majorBidi"/>
      <w:i/>
      <w:iCs/>
      <w:color w:val="365F91" w:themeColor="accent1" w:themeShade="BF"/>
    </w:rPr>
  </w:style>
  <w:style w:type="table" w:styleId="Grigliatabella">
    <w:name w:val="Table Grid"/>
    <w:aliases w:val="valentina1"/>
    <w:basedOn w:val="Tabellanormale"/>
    <w:uiPriority w:val="39"/>
    <w:rsid w:val="003D0A7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A46C5A"/>
    <w:rPr>
      <w:sz w:val="16"/>
      <w:szCs w:val="16"/>
    </w:rPr>
  </w:style>
  <w:style w:type="paragraph" w:styleId="Testocommento">
    <w:name w:val="annotation text"/>
    <w:basedOn w:val="Normale"/>
    <w:link w:val="TestocommentoCarattere"/>
    <w:uiPriority w:val="99"/>
    <w:unhideWhenUsed/>
    <w:rsid w:val="00A46C5A"/>
    <w:rPr>
      <w:sz w:val="20"/>
      <w:szCs w:val="20"/>
    </w:rPr>
  </w:style>
  <w:style w:type="character" w:customStyle="1" w:styleId="TestocommentoCarattere">
    <w:name w:val="Testo commento Carattere"/>
    <w:basedOn w:val="Carpredefinitoparagrafo"/>
    <w:link w:val="Testocommento"/>
    <w:uiPriority w:val="99"/>
    <w:rsid w:val="00A46C5A"/>
    <w:rPr>
      <w:sz w:val="20"/>
      <w:szCs w:val="20"/>
    </w:rPr>
  </w:style>
  <w:style w:type="paragraph" w:styleId="Soggettocommento">
    <w:name w:val="annotation subject"/>
    <w:basedOn w:val="Testocommento"/>
    <w:next w:val="Testocommento"/>
    <w:link w:val="SoggettocommentoCarattere"/>
    <w:uiPriority w:val="99"/>
    <w:semiHidden/>
    <w:unhideWhenUsed/>
    <w:rsid w:val="00A46C5A"/>
    <w:rPr>
      <w:b/>
      <w:bCs/>
    </w:rPr>
  </w:style>
  <w:style w:type="character" w:customStyle="1" w:styleId="SoggettocommentoCarattere">
    <w:name w:val="Soggetto commento Carattere"/>
    <w:basedOn w:val="TestocommentoCarattere"/>
    <w:link w:val="Soggettocommento"/>
    <w:uiPriority w:val="99"/>
    <w:semiHidden/>
    <w:rsid w:val="00A46C5A"/>
    <w:rPr>
      <w:b/>
      <w:bCs/>
      <w:sz w:val="20"/>
      <w:szCs w:val="20"/>
    </w:rPr>
  </w:style>
  <w:style w:type="character" w:customStyle="1" w:styleId="ParagrafoelencoCarattere">
    <w:name w:val="Paragrafo elenco Carattere"/>
    <w:aliases w:val="Elenco puntato Carattere,Titolo Paragrafo Carattere"/>
    <w:link w:val="Paragrafoelenco"/>
    <w:uiPriority w:val="34"/>
    <w:rsid w:val="00D94CBA"/>
  </w:style>
  <w:style w:type="paragraph" w:styleId="Revisione">
    <w:name w:val="Revision"/>
    <w:hidden/>
    <w:uiPriority w:val="99"/>
    <w:semiHidden/>
    <w:rsid w:val="004A49C0"/>
    <w:pPr>
      <w:spacing w:after="0"/>
    </w:pPr>
  </w:style>
  <w:style w:type="paragraph" w:customStyle="1" w:styleId="Fontetabellagrafico">
    <w:name w:val="Fonte tabella/grafico"/>
    <w:basedOn w:val="Normale"/>
    <w:qFormat/>
    <w:rsid w:val="00FB2885"/>
    <w:pPr>
      <w:spacing w:after="60"/>
      <w:jc w:val="left"/>
    </w:pPr>
    <w:rPr>
      <w:i/>
      <w:sz w:val="17"/>
      <w:szCs w:val="17"/>
    </w:rPr>
  </w:style>
  <w:style w:type="paragraph" w:customStyle="1" w:styleId="Titolotab-grafReport">
    <w:name w:val="Titolo tab-graf Report"/>
    <w:basedOn w:val="Normale"/>
    <w:qFormat/>
    <w:rsid w:val="00A25B9A"/>
    <w:pPr>
      <w:keepNext/>
      <w:numPr>
        <w:numId w:val="3"/>
      </w:numPr>
      <w:tabs>
        <w:tab w:val="left" w:pos="993"/>
      </w:tabs>
      <w:spacing w:before="200" w:after="0"/>
    </w:pPr>
    <w:rPr>
      <w:rFonts w:ascii="Calibri" w:eastAsia="Calibri" w:hAnsi="Calibri" w:cs="Cambria"/>
      <w:b/>
      <w:bCs/>
    </w:rPr>
  </w:style>
  <w:style w:type="character" w:styleId="Collegamentovisitato">
    <w:name w:val="FollowedHyperlink"/>
    <w:basedOn w:val="Carpredefinitoparagrafo"/>
    <w:uiPriority w:val="99"/>
    <w:semiHidden/>
    <w:unhideWhenUsed/>
    <w:rsid w:val="006750E2"/>
    <w:rPr>
      <w:color w:val="800080" w:themeColor="followedHyperlink"/>
      <w:u w:val="single"/>
    </w:rPr>
  </w:style>
  <w:style w:type="character" w:styleId="Enfasigrassetto">
    <w:name w:val="Strong"/>
    <w:basedOn w:val="Carpredefinitoparagrafo"/>
    <w:uiPriority w:val="22"/>
    <w:qFormat/>
    <w:rsid w:val="00043C64"/>
    <w:rPr>
      <w:b/>
      <w:bCs/>
    </w:rPr>
  </w:style>
  <w:style w:type="character" w:customStyle="1" w:styleId="Menzionenonrisolta1">
    <w:name w:val="Menzione non risolta1"/>
    <w:basedOn w:val="Carpredefinitoparagrafo"/>
    <w:uiPriority w:val="99"/>
    <w:semiHidden/>
    <w:unhideWhenUsed/>
    <w:rsid w:val="00043C64"/>
    <w:rPr>
      <w:color w:val="605E5C"/>
      <w:shd w:val="clear" w:color="auto" w:fill="E1DFDD"/>
    </w:rPr>
  </w:style>
  <w:style w:type="paragraph" w:customStyle="1" w:styleId="Titolofig">
    <w:name w:val="Titolo fig"/>
    <w:basedOn w:val="Normale"/>
    <w:qFormat/>
    <w:rsid w:val="00245EF3"/>
    <w:pPr>
      <w:keepNext/>
      <w:spacing w:before="240" w:after="60"/>
    </w:pPr>
    <w:rPr>
      <w:rFonts w:ascii="Calibri" w:eastAsia="Calibri" w:hAnsi="Calibri" w:cs="Cambria"/>
      <w:b/>
      <w:bCs/>
    </w:rPr>
  </w:style>
  <w:style w:type="paragraph" w:styleId="Didascalia">
    <w:name w:val="caption"/>
    <w:basedOn w:val="Normale"/>
    <w:next w:val="Normale"/>
    <w:uiPriority w:val="35"/>
    <w:unhideWhenUsed/>
    <w:qFormat/>
    <w:rsid w:val="006C4440"/>
    <w:pPr>
      <w:spacing w:after="200"/>
    </w:pPr>
    <w:rPr>
      <w:i/>
      <w:iCs/>
      <w:color w:val="1F497D" w:themeColor="text2"/>
      <w:sz w:val="18"/>
      <w:szCs w:val="18"/>
    </w:rPr>
  </w:style>
  <w:style w:type="paragraph" w:customStyle="1" w:styleId="Fontetab-grafReport">
    <w:name w:val="Fonte tab-graf Report"/>
    <w:basedOn w:val="Normale"/>
    <w:link w:val="Fontetab-grafReportCarattere"/>
    <w:qFormat/>
    <w:rsid w:val="00554B1A"/>
    <w:pPr>
      <w:spacing w:before="60" w:after="120" w:line="264" w:lineRule="auto"/>
    </w:pPr>
    <w:rPr>
      <w:i/>
      <w:sz w:val="18"/>
      <w:szCs w:val="18"/>
      <w:lang w:eastAsia="it-IT"/>
    </w:rPr>
  </w:style>
  <w:style w:type="character" w:customStyle="1" w:styleId="Fontetab-grafReportCarattere">
    <w:name w:val="Fonte tab-graf Report Carattere"/>
    <w:basedOn w:val="Carpredefinitoparagrafo"/>
    <w:link w:val="Fontetab-grafReport"/>
    <w:rsid w:val="00554B1A"/>
    <w:rPr>
      <w:i/>
      <w:sz w:val="18"/>
      <w:szCs w:val="18"/>
      <w:lang w:eastAsia="it-IT"/>
    </w:rPr>
  </w:style>
  <w:style w:type="paragraph" w:customStyle="1" w:styleId="Nota">
    <w:name w:val="Nota"/>
    <w:aliases w:val="Footnote number,Char1,Char,Voetnootmarkering,fr,o,(NECG) Footnote Reference,FR"/>
    <w:basedOn w:val="Normale"/>
    <w:link w:val="Rimandonotaapidipagina"/>
    <w:rsid w:val="00554B1A"/>
    <w:pPr>
      <w:spacing w:after="160" w:line="240" w:lineRule="exact"/>
      <w:jc w:val="left"/>
    </w:pPr>
    <w:rPr>
      <w:vertAlign w:val="superscript"/>
    </w:rPr>
  </w:style>
  <w:style w:type="character" w:customStyle="1" w:styleId="Menzionenonrisolta2">
    <w:name w:val="Menzione non risolta2"/>
    <w:basedOn w:val="Carpredefinitoparagrafo"/>
    <w:uiPriority w:val="99"/>
    <w:semiHidden/>
    <w:unhideWhenUsed/>
    <w:rsid w:val="00FD1E11"/>
    <w:rPr>
      <w:color w:val="605E5C"/>
      <w:shd w:val="clear" w:color="auto" w:fill="E1DFDD"/>
    </w:rPr>
  </w:style>
  <w:style w:type="table" w:styleId="Tabellasemplice-1">
    <w:name w:val="Plain Table 1"/>
    <w:basedOn w:val="Tabellanormale"/>
    <w:uiPriority w:val="41"/>
    <w:rsid w:val="00F3107C"/>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reformattatoHTML">
    <w:name w:val="HTML Preformatted"/>
    <w:basedOn w:val="Normale"/>
    <w:link w:val="PreformattatoHTMLCarattere"/>
    <w:uiPriority w:val="99"/>
    <w:semiHidden/>
    <w:unhideWhenUsed/>
    <w:rsid w:val="00EE4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it-IT" w:bidi="gu-IN"/>
    </w:rPr>
  </w:style>
  <w:style w:type="character" w:customStyle="1" w:styleId="PreformattatoHTMLCarattere">
    <w:name w:val="Preformattato HTML Carattere"/>
    <w:basedOn w:val="Carpredefinitoparagrafo"/>
    <w:link w:val="PreformattatoHTML"/>
    <w:uiPriority w:val="99"/>
    <w:semiHidden/>
    <w:rsid w:val="00EE47AE"/>
    <w:rPr>
      <w:rFonts w:ascii="Courier New" w:eastAsia="Times New Roman" w:hAnsi="Courier New" w:cs="Courier New"/>
      <w:sz w:val="20"/>
      <w:szCs w:val="20"/>
      <w:lang w:eastAsia="it-IT" w:bidi="gu-IN"/>
    </w:rPr>
  </w:style>
  <w:style w:type="paragraph" w:styleId="Testonormale">
    <w:name w:val="Plain Text"/>
    <w:basedOn w:val="Normale"/>
    <w:link w:val="TestonormaleCarattere"/>
    <w:uiPriority w:val="99"/>
    <w:unhideWhenUsed/>
    <w:rsid w:val="008D352E"/>
    <w:pPr>
      <w:spacing w:after="0"/>
      <w:jc w:val="left"/>
    </w:pPr>
    <w:rPr>
      <w:rFonts w:ascii="Calibri" w:hAnsi="Calibri"/>
      <w:szCs w:val="21"/>
    </w:rPr>
  </w:style>
  <w:style w:type="character" w:customStyle="1" w:styleId="TestonormaleCarattere">
    <w:name w:val="Testo normale Carattere"/>
    <w:basedOn w:val="Carpredefinitoparagrafo"/>
    <w:link w:val="Testonormale"/>
    <w:uiPriority w:val="99"/>
    <w:rsid w:val="008D352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349731">
      <w:bodyDiv w:val="1"/>
      <w:marLeft w:val="0"/>
      <w:marRight w:val="0"/>
      <w:marTop w:val="0"/>
      <w:marBottom w:val="0"/>
      <w:divBdr>
        <w:top w:val="none" w:sz="0" w:space="0" w:color="auto"/>
        <w:left w:val="none" w:sz="0" w:space="0" w:color="auto"/>
        <w:bottom w:val="none" w:sz="0" w:space="0" w:color="auto"/>
        <w:right w:val="none" w:sz="0" w:space="0" w:color="auto"/>
      </w:divBdr>
    </w:div>
    <w:div w:id="247230107">
      <w:bodyDiv w:val="1"/>
      <w:marLeft w:val="0"/>
      <w:marRight w:val="0"/>
      <w:marTop w:val="0"/>
      <w:marBottom w:val="0"/>
      <w:divBdr>
        <w:top w:val="none" w:sz="0" w:space="0" w:color="auto"/>
        <w:left w:val="none" w:sz="0" w:space="0" w:color="auto"/>
        <w:bottom w:val="none" w:sz="0" w:space="0" w:color="auto"/>
        <w:right w:val="none" w:sz="0" w:space="0" w:color="auto"/>
      </w:divBdr>
    </w:div>
    <w:div w:id="315115191">
      <w:bodyDiv w:val="1"/>
      <w:marLeft w:val="0"/>
      <w:marRight w:val="0"/>
      <w:marTop w:val="0"/>
      <w:marBottom w:val="0"/>
      <w:divBdr>
        <w:top w:val="none" w:sz="0" w:space="0" w:color="auto"/>
        <w:left w:val="none" w:sz="0" w:space="0" w:color="auto"/>
        <w:bottom w:val="none" w:sz="0" w:space="0" w:color="auto"/>
        <w:right w:val="none" w:sz="0" w:space="0" w:color="auto"/>
      </w:divBdr>
    </w:div>
    <w:div w:id="347756141">
      <w:bodyDiv w:val="1"/>
      <w:marLeft w:val="0"/>
      <w:marRight w:val="0"/>
      <w:marTop w:val="0"/>
      <w:marBottom w:val="0"/>
      <w:divBdr>
        <w:top w:val="none" w:sz="0" w:space="0" w:color="auto"/>
        <w:left w:val="none" w:sz="0" w:space="0" w:color="auto"/>
        <w:bottom w:val="none" w:sz="0" w:space="0" w:color="auto"/>
        <w:right w:val="none" w:sz="0" w:space="0" w:color="auto"/>
      </w:divBdr>
    </w:div>
    <w:div w:id="421533322">
      <w:bodyDiv w:val="1"/>
      <w:marLeft w:val="0"/>
      <w:marRight w:val="0"/>
      <w:marTop w:val="0"/>
      <w:marBottom w:val="0"/>
      <w:divBdr>
        <w:top w:val="none" w:sz="0" w:space="0" w:color="auto"/>
        <w:left w:val="none" w:sz="0" w:space="0" w:color="auto"/>
        <w:bottom w:val="none" w:sz="0" w:space="0" w:color="auto"/>
        <w:right w:val="none" w:sz="0" w:space="0" w:color="auto"/>
      </w:divBdr>
    </w:div>
    <w:div w:id="455294920">
      <w:bodyDiv w:val="1"/>
      <w:marLeft w:val="0"/>
      <w:marRight w:val="0"/>
      <w:marTop w:val="0"/>
      <w:marBottom w:val="0"/>
      <w:divBdr>
        <w:top w:val="none" w:sz="0" w:space="0" w:color="auto"/>
        <w:left w:val="none" w:sz="0" w:space="0" w:color="auto"/>
        <w:bottom w:val="none" w:sz="0" w:space="0" w:color="auto"/>
        <w:right w:val="none" w:sz="0" w:space="0" w:color="auto"/>
      </w:divBdr>
    </w:div>
    <w:div w:id="465974211">
      <w:bodyDiv w:val="1"/>
      <w:marLeft w:val="0"/>
      <w:marRight w:val="0"/>
      <w:marTop w:val="0"/>
      <w:marBottom w:val="0"/>
      <w:divBdr>
        <w:top w:val="none" w:sz="0" w:space="0" w:color="auto"/>
        <w:left w:val="none" w:sz="0" w:space="0" w:color="auto"/>
        <w:bottom w:val="none" w:sz="0" w:space="0" w:color="auto"/>
        <w:right w:val="none" w:sz="0" w:space="0" w:color="auto"/>
      </w:divBdr>
    </w:div>
    <w:div w:id="511604715">
      <w:bodyDiv w:val="1"/>
      <w:marLeft w:val="0"/>
      <w:marRight w:val="0"/>
      <w:marTop w:val="0"/>
      <w:marBottom w:val="0"/>
      <w:divBdr>
        <w:top w:val="none" w:sz="0" w:space="0" w:color="auto"/>
        <w:left w:val="none" w:sz="0" w:space="0" w:color="auto"/>
        <w:bottom w:val="none" w:sz="0" w:space="0" w:color="auto"/>
        <w:right w:val="none" w:sz="0" w:space="0" w:color="auto"/>
      </w:divBdr>
    </w:div>
    <w:div w:id="522329908">
      <w:bodyDiv w:val="1"/>
      <w:marLeft w:val="0"/>
      <w:marRight w:val="0"/>
      <w:marTop w:val="0"/>
      <w:marBottom w:val="0"/>
      <w:divBdr>
        <w:top w:val="none" w:sz="0" w:space="0" w:color="auto"/>
        <w:left w:val="none" w:sz="0" w:space="0" w:color="auto"/>
        <w:bottom w:val="none" w:sz="0" w:space="0" w:color="auto"/>
        <w:right w:val="none" w:sz="0" w:space="0" w:color="auto"/>
      </w:divBdr>
    </w:div>
    <w:div w:id="524367019">
      <w:bodyDiv w:val="1"/>
      <w:marLeft w:val="0"/>
      <w:marRight w:val="0"/>
      <w:marTop w:val="0"/>
      <w:marBottom w:val="0"/>
      <w:divBdr>
        <w:top w:val="none" w:sz="0" w:space="0" w:color="auto"/>
        <w:left w:val="none" w:sz="0" w:space="0" w:color="auto"/>
        <w:bottom w:val="none" w:sz="0" w:space="0" w:color="auto"/>
        <w:right w:val="none" w:sz="0" w:space="0" w:color="auto"/>
      </w:divBdr>
    </w:div>
    <w:div w:id="669672386">
      <w:bodyDiv w:val="1"/>
      <w:marLeft w:val="0"/>
      <w:marRight w:val="0"/>
      <w:marTop w:val="0"/>
      <w:marBottom w:val="0"/>
      <w:divBdr>
        <w:top w:val="none" w:sz="0" w:space="0" w:color="auto"/>
        <w:left w:val="none" w:sz="0" w:space="0" w:color="auto"/>
        <w:bottom w:val="none" w:sz="0" w:space="0" w:color="auto"/>
        <w:right w:val="none" w:sz="0" w:space="0" w:color="auto"/>
      </w:divBdr>
    </w:div>
    <w:div w:id="722949764">
      <w:bodyDiv w:val="1"/>
      <w:marLeft w:val="0"/>
      <w:marRight w:val="0"/>
      <w:marTop w:val="0"/>
      <w:marBottom w:val="0"/>
      <w:divBdr>
        <w:top w:val="none" w:sz="0" w:space="0" w:color="auto"/>
        <w:left w:val="none" w:sz="0" w:space="0" w:color="auto"/>
        <w:bottom w:val="none" w:sz="0" w:space="0" w:color="auto"/>
        <w:right w:val="none" w:sz="0" w:space="0" w:color="auto"/>
      </w:divBdr>
    </w:div>
    <w:div w:id="741218248">
      <w:bodyDiv w:val="1"/>
      <w:marLeft w:val="0"/>
      <w:marRight w:val="0"/>
      <w:marTop w:val="0"/>
      <w:marBottom w:val="0"/>
      <w:divBdr>
        <w:top w:val="none" w:sz="0" w:space="0" w:color="auto"/>
        <w:left w:val="none" w:sz="0" w:space="0" w:color="auto"/>
        <w:bottom w:val="none" w:sz="0" w:space="0" w:color="auto"/>
        <w:right w:val="none" w:sz="0" w:space="0" w:color="auto"/>
      </w:divBdr>
    </w:div>
    <w:div w:id="774053285">
      <w:bodyDiv w:val="1"/>
      <w:marLeft w:val="0"/>
      <w:marRight w:val="0"/>
      <w:marTop w:val="0"/>
      <w:marBottom w:val="0"/>
      <w:divBdr>
        <w:top w:val="none" w:sz="0" w:space="0" w:color="auto"/>
        <w:left w:val="none" w:sz="0" w:space="0" w:color="auto"/>
        <w:bottom w:val="none" w:sz="0" w:space="0" w:color="auto"/>
        <w:right w:val="none" w:sz="0" w:space="0" w:color="auto"/>
      </w:divBdr>
    </w:div>
    <w:div w:id="830758658">
      <w:bodyDiv w:val="1"/>
      <w:marLeft w:val="0"/>
      <w:marRight w:val="0"/>
      <w:marTop w:val="0"/>
      <w:marBottom w:val="0"/>
      <w:divBdr>
        <w:top w:val="none" w:sz="0" w:space="0" w:color="auto"/>
        <w:left w:val="none" w:sz="0" w:space="0" w:color="auto"/>
        <w:bottom w:val="none" w:sz="0" w:space="0" w:color="auto"/>
        <w:right w:val="none" w:sz="0" w:space="0" w:color="auto"/>
      </w:divBdr>
    </w:div>
    <w:div w:id="850878265">
      <w:bodyDiv w:val="1"/>
      <w:marLeft w:val="0"/>
      <w:marRight w:val="0"/>
      <w:marTop w:val="0"/>
      <w:marBottom w:val="0"/>
      <w:divBdr>
        <w:top w:val="none" w:sz="0" w:space="0" w:color="auto"/>
        <w:left w:val="none" w:sz="0" w:space="0" w:color="auto"/>
        <w:bottom w:val="none" w:sz="0" w:space="0" w:color="auto"/>
        <w:right w:val="none" w:sz="0" w:space="0" w:color="auto"/>
      </w:divBdr>
    </w:div>
    <w:div w:id="858353382">
      <w:bodyDiv w:val="1"/>
      <w:marLeft w:val="0"/>
      <w:marRight w:val="0"/>
      <w:marTop w:val="0"/>
      <w:marBottom w:val="0"/>
      <w:divBdr>
        <w:top w:val="none" w:sz="0" w:space="0" w:color="auto"/>
        <w:left w:val="none" w:sz="0" w:space="0" w:color="auto"/>
        <w:bottom w:val="none" w:sz="0" w:space="0" w:color="auto"/>
        <w:right w:val="none" w:sz="0" w:space="0" w:color="auto"/>
      </w:divBdr>
    </w:div>
    <w:div w:id="875193158">
      <w:bodyDiv w:val="1"/>
      <w:marLeft w:val="0"/>
      <w:marRight w:val="0"/>
      <w:marTop w:val="0"/>
      <w:marBottom w:val="0"/>
      <w:divBdr>
        <w:top w:val="none" w:sz="0" w:space="0" w:color="auto"/>
        <w:left w:val="none" w:sz="0" w:space="0" w:color="auto"/>
        <w:bottom w:val="none" w:sz="0" w:space="0" w:color="auto"/>
        <w:right w:val="none" w:sz="0" w:space="0" w:color="auto"/>
      </w:divBdr>
    </w:div>
    <w:div w:id="899941725">
      <w:bodyDiv w:val="1"/>
      <w:marLeft w:val="0"/>
      <w:marRight w:val="0"/>
      <w:marTop w:val="0"/>
      <w:marBottom w:val="0"/>
      <w:divBdr>
        <w:top w:val="none" w:sz="0" w:space="0" w:color="auto"/>
        <w:left w:val="none" w:sz="0" w:space="0" w:color="auto"/>
        <w:bottom w:val="none" w:sz="0" w:space="0" w:color="auto"/>
        <w:right w:val="none" w:sz="0" w:space="0" w:color="auto"/>
      </w:divBdr>
    </w:div>
    <w:div w:id="908225784">
      <w:bodyDiv w:val="1"/>
      <w:marLeft w:val="0"/>
      <w:marRight w:val="0"/>
      <w:marTop w:val="0"/>
      <w:marBottom w:val="0"/>
      <w:divBdr>
        <w:top w:val="none" w:sz="0" w:space="0" w:color="auto"/>
        <w:left w:val="none" w:sz="0" w:space="0" w:color="auto"/>
        <w:bottom w:val="none" w:sz="0" w:space="0" w:color="auto"/>
        <w:right w:val="none" w:sz="0" w:space="0" w:color="auto"/>
      </w:divBdr>
    </w:div>
    <w:div w:id="932320327">
      <w:bodyDiv w:val="1"/>
      <w:marLeft w:val="0"/>
      <w:marRight w:val="0"/>
      <w:marTop w:val="0"/>
      <w:marBottom w:val="0"/>
      <w:divBdr>
        <w:top w:val="none" w:sz="0" w:space="0" w:color="auto"/>
        <w:left w:val="none" w:sz="0" w:space="0" w:color="auto"/>
        <w:bottom w:val="none" w:sz="0" w:space="0" w:color="auto"/>
        <w:right w:val="none" w:sz="0" w:space="0" w:color="auto"/>
      </w:divBdr>
    </w:div>
    <w:div w:id="934481142">
      <w:bodyDiv w:val="1"/>
      <w:marLeft w:val="0"/>
      <w:marRight w:val="0"/>
      <w:marTop w:val="0"/>
      <w:marBottom w:val="0"/>
      <w:divBdr>
        <w:top w:val="none" w:sz="0" w:space="0" w:color="auto"/>
        <w:left w:val="none" w:sz="0" w:space="0" w:color="auto"/>
        <w:bottom w:val="none" w:sz="0" w:space="0" w:color="auto"/>
        <w:right w:val="none" w:sz="0" w:space="0" w:color="auto"/>
      </w:divBdr>
    </w:div>
    <w:div w:id="984814005">
      <w:bodyDiv w:val="1"/>
      <w:marLeft w:val="0"/>
      <w:marRight w:val="0"/>
      <w:marTop w:val="0"/>
      <w:marBottom w:val="0"/>
      <w:divBdr>
        <w:top w:val="none" w:sz="0" w:space="0" w:color="auto"/>
        <w:left w:val="none" w:sz="0" w:space="0" w:color="auto"/>
        <w:bottom w:val="none" w:sz="0" w:space="0" w:color="auto"/>
        <w:right w:val="none" w:sz="0" w:space="0" w:color="auto"/>
      </w:divBdr>
    </w:div>
    <w:div w:id="1002705141">
      <w:bodyDiv w:val="1"/>
      <w:marLeft w:val="0"/>
      <w:marRight w:val="0"/>
      <w:marTop w:val="0"/>
      <w:marBottom w:val="0"/>
      <w:divBdr>
        <w:top w:val="none" w:sz="0" w:space="0" w:color="auto"/>
        <w:left w:val="none" w:sz="0" w:space="0" w:color="auto"/>
        <w:bottom w:val="none" w:sz="0" w:space="0" w:color="auto"/>
        <w:right w:val="none" w:sz="0" w:space="0" w:color="auto"/>
      </w:divBdr>
    </w:div>
    <w:div w:id="1023171477">
      <w:bodyDiv w:val="1"/>
      <w:marLeft w:val="0"/>
      <w:marRight w:val="0"/>
      <w:marTop w:val="0"/>
      <w:marBottom w:val="0"/>
      <w:divBdr>
        <w:top w:val="none" w:sz="0" w:space="0" w:color="auto"/>
        <w:left w:val="none" w:sz="0" w:space="0" w:color="auto"/>
        <w:bottom w:val="none" w:sz="0" w:space="0" w:color="auto"/>
        <w:right w:val="none" w:sz="0" w:space="0" w:color="auto"/>
      </w:divBdr>
    </w:div>
    <w:div w:id="1047610611">
      <w:bodyDiv w:val="1"/>
      <w:marLeft w:val="0"/>
      <w:marRight w:val="0"/>
      <w:marTop w:val="0"/>
      <w:marBottom w:val="0"/>
      <w:divBdr>
        <w:top w:val="none" w:sz="0" w:space="0" w:color="auto"/>
        <w:left w:val="none" w:sz="0" w:space="0" w:color="auto"/>
        <w:bottom w:val="none" w:sz="0" w:space="0" w:color="auto"/>
        <w:right w:val="none" w:sz="0" w:space="0" w:color="auto"/>
      </w:divBdr>
    </w:div>
    <w:div w:id="1074816988">
      <w:bodyDiv w:val="1"/>
      <w:marLeft w:val="0"/>
      <w:marRight w:val="0"/>
      <w:marTop w:val="0"/>
      <w:marBottom w:val="0"/>
      <w:divBdr>
        <w:top w:val="none" w:sz="0" w:space="0" w:color="auto"/>
        <w:left w:val="none" w:sz="0" w:space="0" w:color="auto"/>
        <w:bottom w:val="none" w:sz="0" w:space="0" w:color="auto"/>
        <w:right w:val="none" w:sz="0" w:space="0" w:color="auto"/>
      </w:divBdr>
    </w:div>
    <w:div w:id="1082331323">
      <w:bodyDiv w:val="1"/>
      <w:marLeft w:val="0"/>
      <w:marRight w:val="0"/>
      <w:marTop w:val="0"/>
      <w:marBottom w:val="0"/>
      <w:divBdr>
        <w:top w:val="none" w:sz="0" w:space="0" w:color="auto"/>
        <w:left w:val="none" w:sz="0" w:space="0" w:color="auto"/>
        <w:bottom w:val="none" w:sz="0" w:space="0" w:color="auto"/>
        <w:right w:val="none" w:sz="0" w:space="0" w:color="auto"/>
      </w:divBdr>
    </w:div>
    <w:div w:id="1180899308">
      <w:bodyDiv w:val="1"/>
      <w:marLeft w:val="0"/>
      <w:marRight w:val="0"/>
      <w:marTop w:val="0"/>
      <w:marBottom w:val="0"/>
      <w:divBdr>
        <w:top w:val="none" w:sz="0" w:space="0" w:color="auto"/>
        <w:left w:val="none" w:sz="0" w:space="0" w:color="auto"/>
        <w:bottom w:val="none" w:sz="0" w:space="0" w:color="auto"/>
        <w:right w:val="none" w:sz="0" w:space="0" w:color="auto"/>
      </w:divBdr>
    </w:div>
    <w:div w:id="1199662425">
      <w:bodyDiv w:val="1"/>
      <w:marLeft w:val="0"/>
      <w:marRight w:val="0"/>
      <w:marTop w:val="0"/>
      <w:marBottom w:val="0"/>
      <w:divBdr>
        <w:top w:val="none" w:sz="0" w:space="0" w:color="auto"/>
        <w:left w:val="none" w:sz="0" w:space="0" w:color="auto"/>
        <w:bottom w:val="none" w:sz="0" w:space="0" w:color="auto"/>
        <w:right w:val="none" w:sz="0" w:space="0" w:color="auto"/>
      </w:divBdr>
    </w:div>
    <w:div w:id="1229532436">
      <w:bodyDiv w:val="1"/>
      <w:marLeft w:val="0"/>
      <w:marRight w:val="0"/>
      <w:marTop w:val="0"/>
      <w:marBottom w:val="0"/>
      <w:divBdr>
        <w:top w:val="none" w:sz="0" w:space="0" w:color="auto"/>
        <w:left w:val="none" w:sz="0" w:space="0" w:color="auto"/>
        <w:bottom w:val="none" w:sz="0" w:space="0" w:color="auto"/>
        <w:right w:val="none" w:sz="0" w:space="0" w:color="auto"/>
      </w:divBdr>
    </w:div>
    <w:div w:id="1308821681">
      <w:bodyDiv w:val="1"/>
      <w:marLeft w:val="0"/>
      <w:marRight w:val="0"/>
      <w:marTop w:val="0"/>
      <w:marBottom w:val="0"/>
      <w:divBdr>
        <w:top w:val="none" w:sz="0" w:space="0" w:color="auto"/>
        <w:left w:val="none" w:sz="0" w:space="0" w:color="auto"/>
        <w:bottom w:val="none" w:sz="0" w:space="0" w:color="auto"/>
        <w:right w:val="none" w:sz="0" w:space="0" w:color="auto"/>
      </w:divBdr>
    </w:div>
    <w:div w:id="1363633940">
      <w:bodyDiv w:val="1"/>
      <w:marLeft w:val="0"/>
      <w:marRight w:val="0"/>
      <w:marTop w:val="0"/>
      <w:marBottom w:val="0"/>
      <w:divBdr>
        <w:top w:val="none" w:sz="0" w:space="0" w:color="auto"/>
        <w:left w:val="none" w:sz="0" w:space="0" w:color="auto"/>
        <w:bottom w:val="none" w:sz="0" w:space="0" w:color="auto"/>
        <w:right w:val="none" w:sz="0" w:space="0" w:color="auto"/>
      </w:divBdr>
    </w:div>
    <w:div w:id="1365523246">
      <w:bodyDiv w:val="1"/>
      <w:marLeft w:val="0"/>
      <w:marRight w:val="0"/>
      <w:marTop w:val="0"/>
      <w:marBottom w:val="0"/>
      <w:divBdr>
        <w:top w:val="none" w:sz="0" w:space="0" w:color="auto"/>
        <w:left w:val="none" w:sz="0" w:space="0" w:color="auto"/>
        <w:bottom w:val="none" w:sz="0" w:space="0" w:color="auto"/>
        <w:right w:val="none" w:sz="0" w:space="0" w:color="auto"/>
      </w:divBdr>
    </w:div>
    <w:div w:id="1386446690">
      <w:bodyDiv w:val="1"/>
      <w:marLeft w:val="0"/>
      <w:marRight w:val="0"/>
      <w:marTop w:val="0"/>
      <w:marBottom w:val="0"/>
      <w:divBdr>
        <w:top w:val="none" w:sz="0" w:space="0" w:color="auto"/>
        <w:left w:val="none" w:sz="0" w:space="0" w:color="auto"/>
        <w:bottom w:val="none" w:sz="0" w:space="0" w:color="auto"/>
        <w:right w:val="none" w:sz="0" w:space="0" w:color="auto"/>
      </w:divBdr>
    </w:div>
    <w:div w:id="1440758228">
      <w:bodyDiv w:val="1"/>
      <w:marLeft w:val="0"/>
      <w:marRight w:val="0"/>
      <w:marTop w:val="0"/>
      <w:marBottom w:val="0"/>
      <w:divBdr>
        <w:top w:val="none" w:sz="0" w:space="0" w:color="auto"/>
        <w:left w:val="none" w:sz="0" w:space="0" w:color="auto"/>
        <w:bottom w:val="none" w:sz="0" w:space="0" w:color="auto"/>
        <w:right w:val="none" w:sz="0" w:space="0" w:color="auto"/>
      </w:divBdr>
    </w:div>
    <w:div w:id="1530412248">
      <w:bodyDiv w:val="1"/>
      <w:marLeft w:val="0"/>
      <w:marRight w:val="0"/>
      <w:marTop w:val="0"/>
      <w:marBottom w:val="0"/>
      <w:divBdr>
        <w:top w:val="none" w:sz="0" w:space="0" w:color="auto"/>
        <w:left w:val="none" w:sz="0" w:space="0" w:color="auto"/>
        <w:bottom w:val="none" w:sz="0" w:space="0" w:color="auto"/>
        <w:right w:val="none" w:sz="0" w:space="0" w:color="auto"/>
      </w:divBdr>
    </w:div>
    <w:div w:id="1594586909">
      <w:bodyDiv w:val="1"/>
      <w:marLeft w:val="0"/>
      <w:marRight w:val="0"/>
      <w:marTop w:val="0"/>
      <w:marBottom w:val="0"/>
      <w:divBdr>
        <w:top w:val="none" w:sz="0" w:space="0" w:color="auto"/>
        <w:left w:val="none" w:sz="0" w:space="0" w:color="auto"/>
        <w:bottom w:val="none" w:sz="0" w:space="0" w:color="auto"/>
        <w:right w:val="none" w:sz="0" w:space="0" w:color="auto"/>
      </w:divBdr>
    </w:div>
    <w:div w:id="1624919385">
      <w:bodyDiv w:val="1"/>
      <w:marLeft w:val="0"/>
      <w:marRight w:val="0"/>
      <w:marTop w:val="0"/>
      <w:marBottom w:val="0"/>
      <w:divBdr>
        <w:top w:val="none" w:sz="0" w:space="0" w:color="auto"/>
        <w:left w:val="none" w:sz="0" w:space="0" w:color="auto"/>
        <w:bottom w:val="none" w:sz="0" w:space="0" w:color="auto"/>
        <w:right w:val="none" w:sz="0" w:space="0" w:color="auto"/>
      </w:divBdr>
    </w:div>
    <w:div w:id="1670252123">
      <w:bodyDiv w:val="1"/>
      <w:marLeft w:val="0"/>
      <w:marRight w:val="0"/>
      <w:marTop w:val="0"/>
      <w:marBottom w:val="0"/>
      <w:divBdr>
        <w:top w:val="none" w:sz="0" w:space="0" w:color="auto"/>
        <w:left w:val="none" w:sz="0" w:space="0" w:color="auto"/>
        <w:bottom w:val="none" w:sz="0" w:space="0" w:color="auto"/>
        <w:right w:val="none" w:sz="0" w:space="0" w:color="auto"/>
      </w:divBdr>
    </w:div>
    <w:div w:id="1691375919">
      <w:bodyDiv w:val="1"/>
      <w:marLeft w:val="0"/>
      <w:marRight w:val="0"/>
      <w:marTop w:val="0"/>
      <w:marBottom w:val="0"/>
      <w:divBdr>
        <w:top w:val="none" w:sz="0" w:space="0" w:color="auto"/>
        <w:left w:val="none" w:sz="0" w:space="0" w:color="auto"/>
        <w:bottom w:val="none" w:sz="0" w:space="0" w:color="auto"/>
        <w:right w:val="none" w:sz="0" w:space="0" w:color="auto"/>
      </w:divBdr>
    </w:div>
    <w:div w:id="1713073765">
      <w:bodyDiv w:val="1"/>
      <w:marLeft w:val="0"/>
      <w:marRight w:val="0"/>
      <w:marTop w:val="0"/>
      <w:marBottom w:val="0"/>
      <w:divBdr>
        <w:top w:val="none" w:sz="0" w:space="0" w:color="auto"/>
        <w:left w:val="none" w:sz="0" w:space="0" w:color="auto"/>
        <w:bottom w:val="none" w:sz="0" w:space="0" w:color="auto"/>
        <w:right w:val="none" w:sz="0" w:space="0" w:color="auto"/>
      </w:divBdr>
    </w:div>
    <w:div w:id="1748335491">
      <w:bodyDiv w:val="1"/>
      <w:marLeft w:val="0"/>
      <w:marRight w:val="0"/>
      <w:marTop w:val="0"/>
      <w:marBottom w:val="0"/>
      <w:divBdr>
        <w:top w:val="none" w:sz="0" w:space="0" w:color="auto"/>
        <w:left w:val="none" w:sz="0" w:space="0" w:color="auto"/>
        <w:bottom w:val="none" w:sz="0" w:space="0" w:color="auto"/>
        <w:right w:val="none" w:sz="0" w:space="0" w:color="auto"/>
      </w:divBdr>
    </w:div>
    <w:div w:id="1800149987">
      <w:bodyDiv w:val="1"/>
      <w:marLeft w:val="0"/>
      <w:marRight w:val="0"/>
      <w:marTop w:val="0"/>
      <w:marBottom w:val="0"/>
      <w:divBdr>
        <w:top w:val="none" w:sz="0" w:space="0" w:color="auto"/>
        <w:left w:val="none" w:sz="0" w:space="0" w:color="auto"/>
        <w:bottom w:val="none" w:sz="0" w:space="0" w:color="auto"/>
        <w:right w:val="none" w:sz="0" w:space="0" w:color="auto"/>
      </w:divBdr>
    </w:div>
    <w:div w:id="1934701347">
      <w:bodyDiv w:val="1"/>
      <w:marLeft w:val="0"/>
      <w:marRight w:val="0"/>
      <w:marTop w:val="0"/>
      <w:marBottom w:val="0"/>
      <w:divBdr>
        <w:top w:val="none" w:sz="0" w:space="0" w:color="auto"/>
        <w:left w:val="none" w:sz="0" w:space="0" w:color="auto"/>
        <w:bottom w:val="none" w:sz="0" w:space="0" w:color="auto"/>
        <w:right w:val="none" w:sz="0" w:space="0" w:color="auto"/>
      </w:divBdr>
    </w:div>
    <w:div w:id="1934894737">
      <w:bodyDiv w:val="1"/>
      <w:marLeft w:val="0"/>
      <w:marRight w:val="0"/>
      <w:marTop w:val="0"/>
      <w:marBottom w:val="0"/>
      <w:divBdr>
        <w:top w:val="none" w:sz="0" w:space="0" w:color="auto"/>
        <w:left w:val="none" w:sz="0" w:space="0" w:color="auto"/>
        <w:bottom w:val="none" w:sz="0" w:space="0" w:color="auto"/>
        <w:right w:val="none" w:sz="0" w:space="0" w:color="auto"/>
      </w:divBdr>
    </w:div>
    <w:div w:id="1965884423">
      <w:bodyDiv w:val="1"/>
      <w:marLeft w:val="0"/>
      <w:marRight w:val="0"/>
      <w:marTop w:val="0"/>
      <w:marBottom w:val="0"/>
      <w:divBdr>
        <w:top w:val="none" w:sz="0" w:space="0" w:color="auto"/>
        <w:left w:val="none" w:sz="0" w:space="0" w:color="auto"/>
        <w:bottom w:val="none" w:sz="0" w:space="0" w:color="auto"/>
        <w:right w:val="none" w:sz="0" w:space="0" w:color="auto"/>
      </w:divBdr>
    </w:div>
    <w:div w:id="1966231963">
      <w:bodyDiv w:val="1"/>
      <w:marLeft w:val="0"/>
      <w:marRight w:val="0"/>
      <w:marTop w:val="0"/>
      <w:marBottom w:val="0"/>
      <w:divBdr>
        <w:top w:val="none" w:sz="0" w:space="0" w:color="auto"/>
        <w:left w:val="none" w:sz="0" w:space="0" w:color="auto"/>
        <w:bottom w:val="none" w:sz="0" w:space="0" w:color="auto"/>
        <w:right w:val="none" w:sz="0" w:space="0" w:color="auto"/>
      </w:divBdr>
    </w:div>
    <w:div w:id="2039037489">
      <w:bodyDiv w:val="1"/>
      <w:marLeft w:val="0"/>
      <w:marRight w:val="0"/>
      <w:marTop w:val="0"/>
      <w:marBottom w:val="0"/>
      <w:divBdr>
        <w:top w:val="none" w:sz="0" w:space="0" w:color="auto"/>
        <w:left w:val="none" w:sz="0" w:space="0" w:color="auto"/>
        <w:bottom w:val="none" w:sz="0" w:space="0" w:color="auto"/>
        <w:right w:val="none" w:sz="0" w:space="0" w:color="auto"/>
      </w:divBdr>
    </w:div>
    <w:div w:id="2082631455">
      <w:bodyDiv w:val="1"/>
      <w:marLeft w:val="0"/>
      <w:marRight w:val="0"/>
      <w:marTop w:val="0"/>
      <w:marBottom w:val="0"/>
      <w:divBdr>
        <w:top w:val="none" w:sz="0" w:space="0" w:color="auto"/>
        <w:left w:val="none" w:sz="0" w:space="0" w:color="auto"/>
        <w:bottom w:val="none" w:sz="0" w:space="0" w:color="auto"/>
        <w:right w:val="none" w:sz="0" w:space="0" w:color="auto"/>
      </w:divBdr>
    </w:div>
    <w:div w:id="2115202728">
      <w:bodyDiv w:val="1"/>
      <w:marLeft w:val="0"/>
      <w:marRight w:val="0"/>
      <w:marTop w:val="0"/>
      <w:marBottom w:val="0"/>
      <w:divBdr>
        <w:top w:val="none" w:sz="0" w:space="0" w:color="auto"/>
        <w:left w:val="none" w:sz="0" w:space="0" w:color="auto"/>
        <w:bottom w:val="none" w:sz="0" w:space="0" w:color="auto"/>
        <w:right w:val="none" w:sz="0" w:space="0" w:color="auto"/>
      </w:divBdr>
    </w:div>
    <w:div w:id="2122920657">
      <w:bodyDiv w:val="1"/>
      <w:marLeft w:val="0"/>
      <w:marRight w:val="0"/>
      <w:marTop w:val="0"/>
      <w:marBottom w:val="0"/>
      <w:divBdr>
        <w:top w:val="none" w:sz="0" w:space="0" w:color="auto"/>
        <w:left w:val="none" w:sz="0" w:space="0" w:color="auto"/>
        <w:bottom w:val="none" w:sz="0" w:space="0" w:color="auto"/>
        <w:right w:val="none" w:sz="0" w:space="0" w:color="auto"/>
      </w:divBdr>
    </w:div>
    <w:div w:id="212507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6.emf"/><Relationship Id="rId26" Type="http://schemas.openxmlformats.org/officeDocument/2006/relationships/hyperlink" Target="https://ec.europa.eu/agriculture/cap-indicators/context/2018_en" TargetMode="External"/><Relationship Id="rId39" Type="http://schemas.openxmlformats.org/officeDocument/2006/relationships/hyperlink" Target="https://ec.europa.eu/agriculture/sites/agriculture/files/future-of-cap/future_of_food_and_farming_communication_it.pdf" TargetMode="External"/><Relationship Id="rId21" Type="http://schemas.openxmlformats.org/officeDocument/2006/relationships/image" Target="media/image9.emf"/><Relationship Id="rId34" Type="http://schemas.openxmlformats.org/officeDocument/2006/relationships/hyperlink" Target="https://ec.europa.eu/eurostat/web/agriculture/data/database" TargetMode="External"/><Relationship Id="rId42" Type="http://schemas.openxmlformats.org/officeDocument/2006/relationships/hyperlink" Target="https://ec.europa.eu/info/food-farming-fisheries/key-policies/common-agricultural-policy/cap-glance/cmef_en"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reterurale.it/flex/cm/pages/ServeBLOB.php/L/IT/IDPagina/19064" TargetMode="External"/><Relationship Id="rId29" Type="http://schemas.openxmlformats.org/officeDocument/2006/relationships/hyperlink" Target="http://www.ismeamercati.it/osservatori-rrn/indicatori-competitivita/agroalimentare/produzione-agricola-per-compart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12.png"/><Relationship Id="rId32" Type="http://schemas.openxmlformats.org/officeDocument/2006/relationships/hyperlink" Target="https://agriregionieuropa.univpm.it/it/content/article/31/34/lo-sviluppo-imprenditoriale-agricolo-nelle-aree-montane" TargetMode="External"/><Relationship Id="rId37" Type="http://schemas.openxmlformats.org/officeDocument/2006/relationships/hyperlink" Target="https://ec.europa.eu/info/sites/info/files/food-farming-fisheries/key_policies/documents/eco_background_final_en.pdf" TargetMode="External"/><Relationship Id="rId40" Type="http://schemas.openxmlformats.org/officeDocument/2006/relationships/hyperlink" Target="https://www.reterurale.it/flex/cm/pages/ServeBLOB.php/L/IT/IDPagina/19627" TargetMode="External"/><Relationship Id="rId45"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1.jpeg"/><Relationship Id="rId28" Type="http://schemas.openxmlformats.org/officeDocument/2006/relationships/hyperlink" Target="http://www.ismeamercati.it/report-analisi-agroalimentare/schede-settore" TargetMode="External"/><Relationship Id="rId36" Type="http://schemas.openxmlformats.org/officeDocument/2006/relationships/hyperlink" Target="http://www.ismeamercati.it/osservatori-rrn/indicatori-competitivita?id=1261" TargetMode="External"/><Relationship Id="rId10" Type="http://schemas.openxmlformats.org/officeDocument/2006/relationships/endnotes" Target="endnotes.xml"/><Relationship Id="rId19" Type="http://schemas.openxmlformats.org/officeDocument/2006/relationships/image" Target="media/image7.emf"/><Relationship Id="rId31" Type="http://schemas.openxmlformats.org/officeDocument/2006/relationships/hyperlink" Target="https://www.reterurale.it/flex/cm/pages/ServeBLOB.php/L/IT/IDPagina/19086"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image" Target="media/image10.emf"/><Relationship Id="rId27" Type="http://schemas.openxmlformats.org/officeDocument/2006/relationships/hyperlink" Target="https://www.reterurale.it/indicatoricontesto_post2020" TargetMode="External"/><Relationship Id="rId30" Type="http://schemas.openxmlformats.org/officeDocument/2006/relationships/hyperlink" Target="http://www.ismeamercati.it/osservatori-rrn/indicatori-competitivita/agroalimentare/produzione-agricola-per-comparto" TargetMode="External"/><Relationship Id="rId35" Type="http://schemas.openxmlformats.org/officeDocument/2006/relationships/hyperlink" Target="https://www.reterurale.it/flex/cm/pages/ServeBLOB.php/L/IT/IDPagina/19079"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5.emf"/><Relationship Id="rId25" Type="http://schemas.openxmlformats.org/officeDocument/2006/relationships/hyperlink" Target="https://www.reterurale.it/flex/cm/pages/ServeBLOB.php/L/IT/IDPagina/18731" TargetMode="External"/><Relationship Id="rId33" Type="http://schemas.openxmlformats.org/officeDocument/2006/relationships/hyperlink" Target="http://www.ismeamercati.it/osservatori-rrn/indicatori-competitivita/agroalimentare/consistenze-bestiame-numero-capi" TargetMode="External"/><Relationship Id="rId38" Type="http://schemas.openxmlformats.org/officeDocument/2006/relationships/hyperlink" Target="https://agridata.ec.europa.eu/extensions/DataPortal/cmef_indicators.html" TargetMode="External"/><Relationship Id="rId46" Type="http://schemas.openxmlformats.org/officeDocument/2006/relationships/fontTable" Target="fontTable.xml"/><Relationship Id="rId20" Type="http://schemas.openxmlformats.org/officeDocument/2006/relationships/image" Target="media/image8.emf"/><Relationship Id="rId41" Type="http://schemas.openxmlformats.org/officeDocument/2006/relationships/hyperlink" Target="https://www4.istat.it/it/archivio/96916"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5.png"/></Relationships>
</file>

<file path=word/_rels/header1.xml.rels><?xml version="1.0" encoding="UTF-8" standalone="yes"?>
<Relationships xmlns="http://schemas.openxmlformats.org/package/2006/relationships"><Relationship Id="rId2" Type="http://schemas.openxmlformats.org/officeDocument/2006/relationships/image" Target="media/image14.svg"/><Relationship Id="rId1" Type="http://schemas.openxmlformats.org/officeDocument/2006/relationships/image" Target="media/image13.png"/></Relationships>
</file>

<file path=word/charts/_rels/chart1.xml.rels><?xml version="1.0" encoding="UTF-8" standalone="yes"?>
<Relationships xmlns="http://schemas.openxmlformats.org/package/2006/relationships"><Relationship Id="rId1" Type="http://schemas.openxmlformats.org/officeDocument/2006/relationships/oleObject" Target="file:///\\SAN01\Shared_Folders\ReteRuraleIsmea\RRN%202014-20\TEMATICHE%20E%20PROGETTI\NUOVA%20PAC\avvio%20lavoro%20analisi%20di%20contesto%20e%20swot\INDICATORI%20PAC%20E%20BD\Calcolo%20Indicatori\3.%20Mercato%20lavoro\C.08_PMEF_Occupazione_settore_tipo_reg\Cubo%20N_Occupazione%20-Nace10%20(BD1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Foglio1!$A$58</c:f>
              <c:strCache>
                <c:ptCount val="1"/>
                <c:pt idx="0">
                  <c:v>Settore primario</c:v>
                </c:pt>
              </c:strCache>
            </c:strRef>
          </c:tx>
          <c:spPr>
            <a:ln w="28575" cap="rnd">
              <a:solidFill>
                <a:schemeClr val="accent6"/>
              </a:solidFill>
              <a:round/>
            </a:ln>
            <a:effectLst/>
          </c:spPr>
          <c:marker>
            <c:symbol val="none"/>
          </c:marker>
          <c:dLbls>
            <c:dLbl>
              <c:idx val="11"/>
              <c:layout>
                <c:manualLayout>
                  <c:x val="-3.5527690700104496E-2"/>
                  <c:y val="-6.30417651694247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04D-4A5F-8C77-83EF4554FCD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Foglio1!$B$57:$M$57</c:f>
              <c:strCach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strCache>
            </c:strRef>
          </c:cat>
          <c:val>
            <c:numRef>
              <c:f>Foglio1!$B$58:$M$58</c:f>
              <c:numCache>
                <c:formatCode>0.0</c:formatCode>
                <c:ptCount val="12"/>
                <c:pt idx="0">
                  <c:v>100</c:v>
                </c:pt>
                <c:pt idx="1">
                  <c:v>97.78725131952902</c:v>
                </c:pt>
                <c:pt idx="2">
                  <c:v>95.625253755582619</c:v>
                </c:pt>
                <c:pt idx="3">
                  <c:v>97.391392610637425</c:v>
                </c:pt>
                <c:pt idx="4">
                  <c:v>95.635403978887538</c:v>
                </c:pt>
                <c:pt idx="5">
                  <c:v>93.250101502233051</c:v>
                </c:pt>
                <c:pt idx="6">
                  <c:v>90.560292326431181</c:v>
                </c:pt>
                <c:pt idx="7">
                  <c:v>90.397888753552579</c:v>
                </c:pt>
                <c:pt idx="8">
                  <c:v>91.280958181079967</c:v>
                </c:pt>
                <c:pt idx="9">
                  <c:v>93.39220462850183</c:v>
                </c:pt>
                <c:pt idx="10">
                  <c:v>92.509135200974413</c:v>
                </c:pt>
                <c:pt idx="11">
                  <c:v>93.087697929354434</c:v>
                </c:pt>
              </c:numCache>
            </c:numRef>
          </c:val>
          <c:smooth val="0"/>
          <c:extLst>
            <c:ext xmlns:c16="http://schemas.microsoft.com/office/drawing/2014/chart" uri="{C3380CC4-5D6E-409C-BE32-E72D297353CC}">
              <c16:uniqueId val="{00000001-D04D-4A5F-8C77-83EF4554FCDB}"/>
            </c:ext>
          </c:extLst>
        </c:ser>
        <c:ser>
          <c:idx val="1"/>
          <c:order val="1"/>
          <c:tx>
            <c:strRef>
              <c:f>Foglio1!$A$59</c:f>
              <c:strCache>
                <c:ptCount val="1"/>
                <c:pt idx="0">
                  <c:v>Settore secondario</c:v>
                </c:pt>
              </c:strCache>
            </c:strRef>
          </c:tx>
          <c:spPr>
            <a:ln w="28575" cap="rnd">
              <a:solidFill>
                <a:schemeClr val="tx2"/>
              </a:solidFill>
              <a:round/>
            </a:ln>
            <a:effectLst/>
          </c:spPr>
          <c:marker>
            <c:symbol val="none"/>
          </c:marker>
          <c:dLbls>
            <c:dLbl>
              <c:idx val="11"/>
              <c:layout>
                <c:manualLayout>
                  <c:x val="-5.2246603970741899E-2"/>
                  <c:y val="8.93091673233516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04D-4A5F-8C77-83EF4554FCD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Foglio1!$B$57:$M$57</c:f>
              <c:strCach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strCache>
            </c:strRef>
          </c:cat>
          <c:val>
            <c:numRef>
              <c:f>Foglio1!$B$59:$M$59</c:f>
              <c:numCache>
                <c:formatCode>0.0</c:formatCode>
                <c:ptCount val="12"/>
                <c:pt idx="0">
                  <c:v>100</c:v>
                </c:pt>
                <c:pt idx="1">
                  <c:v>99.349022806046662</c:v>
                </c:pt>
                <c:pt idx="2">
                  <c:v>95.805784522179835</c:v>
                </c:pt>
                <c:pt idx="3">
                  <c:v>92.944106253458784</c:v>
                </c:pt>
                <c:pt idx="4">
                  <c:v>91.857687938717859</c:v>
                </c:pt>
                <c:pt idx="5">
                  <c:v>89.536306177729898</c:v>
                </c:pt>
                <c:pt idx="6">
                  <c:v>85.838697463082184</c:v>
                </c:pt>
                <c:pt idx="7">
                  <c:v>83.843532461480208</c:v>
                </c:pt>
                <c:pt idx="8">
                  <c:v>83.106632103224314</c:v>
                </c:pt>
                <c:pt idx="9">
                  <c:v>83.625083738677077</c:v>
                </c:pt>
                <c:pt idx="10">
                  <c:v>84.09547665511316</c:v>
                </c:pt>
                <c:pt idx="11">
                  <c:v>84.861503509742832</c:v>
                </c:pt>
              </c:numCache>
            </c:numRef>
          </c:val>
          <c:smooth val="0"/>
          <c:extLst>
            <c:ext xmlns:c16="http://schemas.microsoft.com/office/drawing/2014/chart" uri="{C3380CC4-5D6E-409C-BE32-E72D297353CC}">
              <c16:uniqueId val="{00000003-D04D-4A5F-8C77-83EF4554FCDB}"/>
            </c:ext>
          </c:extLst>
        </c:ser>
        <c:ser>
          <c:idx val="2"/>
          <c:order val="2"/>
          <c:tx>
            <c:strRef>
              <c:f>Foglio1!$A$60</c:f>
              <c:strCache>
                <c:ptCount val="1"/>
                <c:pt idx="0">
                  <c:v>Settore terziario</c:v>
                </c:pt>
              </c:strCache>
            </c:strRef>
          </c:tx>
          <c:spPr>
            <a:ln w="28575" cap="rnd">
              <a:solidFill>
                <a:srgbClr val="C00000"/>
              </a:solidFill>
              <a:round/>
            </a:ln>
            <a:effectLst/>
          </c:spPr>
          <c:marker>
            <c:symbol val="none"/>
          </c:marker>
          <c:dLbls>
            <c:dLbl>
              <c:idx val="11"/>
              <c:layout>
                <c:manualLayout>
                  <c:x val="-2.7168234064785787E-2"/>
                  <c:y val="-8.930916732335172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04D-4A5F-8C77-83EF4554FCD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Foglio1!$B$57:$M$57</c:f>
              <c:strCache>
                <c:ptCount val="12"/>
                <c:pt idx="0">
                  <c:v>2007</c:v>
                </c:pt>
                <c:pt idx="1">
                  <c:v>2008</c:v>
                </c:pt>
                <c:pt idx="2">
                  <c:v>2009</c:v>
                </c:pt>
                <c:pt idx="3">
                  <c:v>2010</c:v>
                </c:pt>
                <c:pt idx="4">
                  <c:v>2011</c:v>
                </c:pt>
                <c:pt idx="5">
                  <c:v>2012</c:v>
                </c:pt>
                <c:pt idx="6">
                  <c:v>2013</c:v>
                </c:pt>
                <c:pt idx="7">
                  <c:v>2014</c:v>
                </c:pt>
                <c:pt idx="8">
                  <c:v>2015</c:v>
                </c:pt>
                <c:pt idx="9">
                  <c:v>2016</c:v>
                </c:pt>
                <c:pt idx="10">
                  <c:v>2017</c:v>
                </c:pt>
                <c:pt idx="11">
                  <c:v>2018</c:v>
                </c:pt>
              </c:strCache>
            </c:strRef>
          </c:cat>
          <c:val>
            <c:numRef>
              <c:f>Foglio1!$B$60:$M$60</c:f>
              <c:numCache>
                <c:formatCode>0.0</c:formatCode>
                <c:ptCount val="12"/>
                <c:pt idx="0">
                  <c:v>100</c:v>
                </c:pt>
                <c:pt idx="1">
                  <c:v>100.69253745033852</c:v>
                </c:pt>
                <c:pt idx="2">
                  <c:v>99.780428937516845</c:v>
                </c:pt>
                <c:pt idx="3">
                  <c:v>99.891074407645405</c:v>
                </c:pt>
                <c:pt idx="4">
                  <c:v>100.85936559441842</c:v>
                </c:pt>
                <c:pt idx="5">
                  <c:v>101.46132281532525</c:v>
                </c:pt>
                <c:pt idx="6">
                  <c:v>100.53488198772004</c:v>
                </c:pt>
                <c:pt idx="7">
                  <c:v>101.42463208947952</c:v>
                </c:pt>
                <c:pt idx="8">
                  <c:v>102.57351044252454</c:v>
                </c:pt>
                <c:pt idx="9">
                  <c:v>104.12827995023819</c:v>
                </c:pt>
                <c:pt idx="10">
                  <c:v>105.6520916580195</c:v>
                </c:pt>
                <c:pt idx="11">
                  <c:v>106.58197224117274</c:v>
                </c:pt>
              </c:numCache>
            </c:numRef>
          </c:val>
          <c:smooth val="0"/>
          <c:extLst>
            <c:ext xmlns:c16="http://schemas.microsoft.com/office/drawing/2014/chart" uri="{C3380CC4-5D6E-409C-BE32-E72D297353CC}">
              <c16:uniqueId val="{00000005-D04D-4A5F-8C77-83EF4554FCDB}"/>
            </c:ext>
          </c:extLst>
        </c:ser>
        <c:dLbls>
          <c:showLegendKey val="0"/>
          <c:showVal val="0"/>
          <c:showCatName val="0"/>
          <c:showSerName val="0"/>
          <c:showPercent val="0"/>
          <c:showBubbleSize val="0"/>
        </c:dLbls>
        <c:smooth val="0"/>
        <c:axId val="245211648"/>
        <c:axId val="242899136"/>
      </c:lineChart>
      <c:catAx>
        <c:axId val="245211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242899136"/>
        <c:crosses val="autoZero"/>
        <c:auto val="1"/>
        <c:lblAlgn val="ctr"/>
        <c:lblOffset val="100"/>
        <c:noMultiLvlLbl val="0"/>
      </c:catAx>
      <c:valAx>
        <c:axId val="242899136"/>
        <c:scaling>
          <c:orientation val="minMax"/>
          <c:max val="110"/>
          <c:min val="8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it-IT"/>
                  <a:t>indice 2007=100</a:t>
                </a:r>
              </a:p>
            </c:rich>
          </c:tx>
          <c:overlay val="0"/>
          <c:spPr>
            <a:noFill/>
            <a:ln>
              <a:noFill/>
            </a:ln>
            <a:effectLst/>
          </c:sp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2452116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8BE86B06E6FC844806CA23FA6E11A6E" ma:contentTypeVersion="6" ma:contentTypeDescription="Creare un nuovo documento." ma:contentTypeScope="" ma:versionID="19846635b374aa4e8513bfb57bf4138f">
  <xsd:schema xmlns:xsd="http://www.w3.org/2001/XMLSchema" xmlns:xs="http://www.w3.org/2001/XMLSchema" xmlns:p="http://schemas.microsoft.com/office/2006/metadata/properties" xmlns:ns2="5f36f88f-a6e1-4dbf-96d7-c7955eafa125" xmlns:ns3="bf207097-3e21-48b5-a618-0f552df6adad" targetNamespace="http://schemas.microsoft.com/office/2006/metadata/properties" ma:root="true" ma:fieldsID="2eb27dbba831a294d5384fea1499393c" ns2:_="" ns3:_="">
    <xsd:import namespace="5f36f88f-a6e1-4dbf-96d7-c7955eafa125"/>
    <xsd:import namespace="bf207097-3e21-48b5-a618-0f552df6ada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36f88f-a6e1-4dbf-96d7-c7955eafa1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207097-3e21-48b5-a618-0f552df6adad"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F28AC1-0D63-4E17-BBEB-57BF0980DA39}">
  <ds:schemaRefs>
    <ds:schemaRef ds:uri="http://schemas.openxmlformats.org/officeDocument/2006/bibliography"/>
  </ds:schemaRefs>
</ds:datastoreItem>
</file>

<file path=customXml/itemProps2.xml><?xml version="1.0" encoding="utf-8"?>
<ds:datastoreItem xmlns:ds="http://schemas.openxmlformats.org/officeDocument/2006/customXml" ds:itemID="{FD682FA4-0FA0-4418-A9A1-FE926243F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36f88f-a6e1-4dbf-96d7-c7955eafa125"/>
    <ds:schemaRef ds:uri="bf207097-3e21-48b5-a618-0f552df6a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7D0BD1-000C-4790-8F12-53C2B808FC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855EAC-3A29-42DB-99CA-13F3C764AE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20</Pages>
  <Words>6278</Words>
  <Characters>35789</Characters>
  <Application>Microsoft Office Word</Application>
  <DocSecurity>0</DocSecurity>
  <Lines>298</Lines>
  <Paragraphs>83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anonimo</cp:lastModifiedBy>
  <cp:revision>41</cp:revision>
  <cp:lastPrinted>2019-06-10T16:30:00Z</cp:lastPrinted>
  <dcterms:created xsi:type="dcterms:W3CDTF">2020-10-16T14:12:00Z</dcterms:created>
  <dcterms:modified xsi:type="dcterms:W3CDTF">2021-09-14T13:34:00Z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0x01010048BE86B06E6FC844806CA23FA6E11A6E</vt:lpwstr>
  </property>
</Properties>
</file>