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3.xml" ContentType="application/vnd.openxmlformats-officedocument.themeOverrid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theme/themeOverride4.xml" ContentType="application/vnd.openxmlformats-officedocument.themeOverrid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8AB003" w14:textId="77777777" w:rsidR="007F28A3" w:rsidRDefault="007F28A3" w:rsidP="007F28A3"/>
    <w:p w14:paraId="2D4FB443" w14:textId="77777777" w:rsidR="00FA3765" w:rsidRDefault="00FA3765" w:rsidP="00C34648">
      <w:pPr>
        <w:pStyle w:val="Titolo"/>
      </w:pPr>
    </w:p>
    <w:p w14:paraId="2DB613E9" w14:textId="77777777" w:rsidR="0070130A" w:rsidRDefault="0070130A" w:rsidP="00C34648">
      <w:pPr>
        <w:pStyle w:val="Titolo"/>
      </w:pPr>
    </w:p>
    <w:p w14:paraId="2618A886" w14:textId="7B48E0F0" w:rsidR="00FA3765" w:rsidRPr="001B4F64" w:rsidRDefault="001F3A3D" w:rsidP="001B4F64">
      <w:pPr>
        <w:pStyle w:val="Titolo"/>
        <w:jc w:val="center"/>
      </w:pPr>
      <w:r w:rsidRPr="00C34648">
        <w:t xml:space="preserve">L’Italia e la </w:t>
      </w:r>
      <w:proofErr w:type="spellStart"/>
      <w:r w:rsidRPr="00C34648">
        <w:t>Pac</w:t>
      </w:r>
      <w:proofErr w:type="spellEnd"/>
      <w:r w:rsidRPr="00C34648">
        <w:t xml:space="preserve"> post 2020</w:t>
      </w:r>
      <w:r w:rsidR="001B4F64">
        <w:t xml:space="preserve"> - </w:t>
      </w:r>
      <w:r w:rsidR="00CB1ABC">
        <w:rPr>
          <w:sz w:val="52"/>
        </w:rPr>
        <w:t>P</w:t>
      </w:r>
      <w:r w:rsidR="001B4F64">
        <w:rPr>
          <w:sz w:val="52"/>
        </w:rPr>
        <w:t xml:space="preserve">B </w:t>
      </w:r>
      <w:r w:rsidR="00854F81">
        <w:rPr>
          <w:sz w:val="52"/>
        </w:rPr>
        <w:t>2</w:t>
      </w:r>
    </w:p>
    <w:p w14:paraId="00ADB82B" w14:textId="237F0A96" w:rsidR="00204A57" w:rsidRDefault="00204A57" w:rsidP="00204A57"/>
    <w:p w14:paraId="5BC5E27A" w14:textId="2D91A629" w:rsidR="00204A57" w:rsidRPr="00204A57" w:rsidRDefault="00204A57" w:rsidP="001B4F64">
      <w:pPr>
        <w:pStyle w:val="Titolo"/>
      </w:pPr>
      <w:r w:rsidRPr="00C34648">
        <w:rPr>
          <w:sz w:val="52"/>
        </w:rPr>
        <w:t xml:space="preserve">OS </w:t>
      </w:r>
      <w:r w:rsidR="00854F81">
        <w:rPr>
          <w:sz w:val="52"/>
        </w:rPr>
        <w:t>2</w:t>
      </w:r>
      <w:r w:rsidRPr="00C34648">
        <w:rPr>
          <w:sz w:val="52"/>
        </w:rPr>
        <w:t xml:space="preserve">: </w:t>
      </w:r>
      <w:r w:rsidR="001B4F64">
        <w:rPr>
          <w:sz w:val="52"/>
        </w:rPr>
        <w:t>R</w:t>
      </w:r>
      <w:r w:rsidR="001B4F64" w:rsidRPr="001B4F64">
        <w:rPr>
          <w:sz w:val="52"/>
        </w:rPr>
        <w:t>afforzare l'orientamento al mercato e aumentare la competitività delle aziende agricole sia a breve che a lungo termine, compresa una maggiore attenzione alla ricerca, alla tecnologia e alla digitalizzazione</w:t>
      </w:r>
    </w:p>
    <w:p w14:paraId="1F61C079" w14:textId="0600FFA7" w:rsidR="00554B1A" w:rsidRDefault="00554B1A" w:rsidP="00554B1A"/>
    <w:p w14:paraId="6F5C56B3" w14:textId="77777777" w:rsidR="00837890" w:rsidRDefault="00837890" w:rsidP="00554B1A"/>
    <w:p w14:paraId="1C343E09" w14:textId="03C9E6C3" w:rsidR="00554B1A" w:rsidRPr="00101EC6" w:rsidRDefault="00CD2EFB" w:rsidP="00837890">
      <w:pPr>
        <w:pStyle w:val="Titolo"/>
        <w:jc w:val="center"/>
        <w:rPr>
          <w:i/>
          <w:sz w:val="52"/>
        </w:rPr>
      </w:pPr>
      <w:r>
        <w:rPr>
          <w:i/>
          <w:sz w:val="52"/>
        </w:rPr>
        <w:t>A</w:t>
      </w:r>
      <w:r w:rsidR="00CB1ABC">
        <w:rPr>
          <w:i/>
          <w:sz w:val="52"/>
        </w:rPr>
        <w:t>p</w:t>
      </w:r>
      <w:r w:rsidR="00854F81">
        <w:rPr>
          <w:i/>
          <w:sz w:val="52"/>
        </w:rPr>
        <w:t>p</w:t>
      </w:r>
      <w:r w:rsidR="00CB1ABC">
        <w:rPr>
          <w:i/>
          <w:sz w:val="52"/>
        </w:rPr>
        <w:t>r</w:t>
      </w:r>
      <w:r w:rsidR="00623939">
        <w:rPr>
          <w:i/>
          <w:sz w:val="52"/>
        </w:rPr>
        <w:t>o</w:t>
      </w:r>
      <w:r w:rsidR="00CB1ABC">
        <w:rPr>
          <w:i/>
          <w:sz w:val="52"/>
        </w:rPr>
        <w:t xml:space="preserve">fondimento </w:t>
      </w:r>
      <w:r w:rsidR="00854F81">
        <w:rPr>
          <w:i/>
          <w:sz w:val="52"/>
        </w:rPr>
        <w:t xml:space="preserve">sui </w:t>
      </w:r>
      <w:r>
        <w:rPr>
          <w:i/>
          <w:sz w:val="52"/>
        </w:rPr>
        <w:t>dati dei C</w:t>
      </w:r>
      <w:r w:rsidR="00854F81">
        <w:rPr>
          <w:i/>
          <w:sz w:val="52"/>
        </w:rPr>
        <w:t xml:space="preserve">onti economici </w:t>
      </w:r>
      <w:r>
        <w:rPr>
          <w:i/>
          <w:sz w:val="52"/>
        </w:rPr>
        <w:t>dell’</w:t>
      </w:r>
      <w:r w:rsidR="00854F81">
        <w:rPr>
          <w:i/>
          <w:sz w:val="52"/>
        </w:rPr>
        <w:t>agricol</w:t>
      </w:r>
      <w:r>
        <w:rPr>
          <w:i/>
          <w:sz w:val="52"/>
        </w:rPr>
        <w:t>tura</w:t>
      </w:r>
      <w:r w:rsidR="00421DBB">
        <w:rPr>
          <w:i/>
          <w:sz w:val="52"/>
        </w:rPr>
        <w:t xml:space="preserve"> </w:t>
      </w:r>
    </w:p>
    <w:p w14:paraId="28AF21CA" w14:textId="77777777" w:rsidR="00BB29D7" w:rsidRDefault="00BB29D7" w:rsidP="00BB29D7"/>
    <w:p w14:paraId="33215DB9" w14:textId="77777777" w:rsidR="00BB29D7" w:rsidRDefault="00BB29D7" w:rsidP="00BB29D7"/>
    <w:p w14:paraId="12A22879" w14:textId="77777777" w:rsidR="00BB29D7" w:rsidRDefault="00BB29D7" w:rsidP="00BB29D7"/>
    <w:p w14:paraId="29BCC04F" w14:textId="77777777" w:rsidR="00BB29D7" w:rsidRDefault="00BB29D7" w:rsidP="00BB29D7"/>
    <w:p w14:paraId="1000A6D5" w14:textId="77777777" w:rsidR="00BB29D7" w:rsidRDefault="00BB29D7" w:rsidP="00BB29D7"/>
    <w:p w14:paraId="2E1CB077" w14:textId="726DB80D" w:rsidR="00BB29D7" w:rsidRDefault="00BB29D7" w:rsidP="00BB29D7"/>
    <w:p w14:paraId="763ACBD3" w14:textId="573AF8F7" w:rsidR="00BB29D7" w:rsidRDefault="00BB29D7" w:rsidP="00BB29D7"/>
    <w:p w14:paraId="0C6E05C2" w14:textId="73DF97C6" w:rsidR="00BB29D7" w:rsidRDefault="00BB29D7" w:rsidP="00BB29D7"/>
    <w:p w14:paraId="63CE7EE3" w14:textId="03E6C354" w:rsidR="00BB29D7" w:rsidRDefault="00BB29D7" w:rsidP="00BB29D7"/>
    <w:p w14:paraId="46E02077" w14:textId="1F4A62DA" w:rsidR="00BB29D7" w:rsidRDefault="00BB29D7" w:rsidP="00BB29D7"/>
    <w:p w14:paraId="095C51C8" w14:textId="77777777" w:rsidR="00BB29D7" w:rsidRDefault="00BB29D7" w:rsidP="00BB29D7"/>
    <w:p w14:paraId="06449A94" w14:textId="77777777" w:rsidR="00FA3765" w:rsidRDefault="00FA3765">
      <w:pPr>
        <w:jc w:val="left"/>
        <w:rPr>
          <w:rFonts w:asciiTheme="majorHAnsi" w:eastAsiaTheme="majorEastAsia" w:hAnsiTheme="majorHAnsi" w:cstheme="majorBidi"/>
          <w:spacing w:val="-10"/>
          <w:kern w:val="28"/>
          <w:sz w:val="52"/>
          <w:szCs w:val="56"/>
        </w:rPr>
      </w:pPr>
      <w:r>
        <w:rPr>
          <w:sz w:val="52"/>
        </w:rP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13818106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02D88E2" w14:textId="725FBE4F" w:rsidR="00225920" w:rsidRDefault="00225920">
          <w:pPr>
            <w:pStyle w:val="Titolosommario"/>
          </w:pPr>
          <w:r>
            <w:t>Sommario</w:t>
          </w:r>
        </w:p>
        <w:p w14:paraId="2F4FDC3F" w14:textId="6AC95238" w:rsidR="00CA514B" w:rsidRDefault="00225920">
          <w:pPr>
            <w:pStyle w:val="Sommario1"/>
            <w:rPr>
              <w:rFonts w:eastAsiaTheme="minorEastAsia"/>
              <w:noProof/>
              <w:lang w:eastAsia="it-IT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5998230" w:history="1">
            <w:r w:rsidR="00CA514B" w:rsidRPr="00BC171A">
              <w:rPr>
                <w:rStyle w:val="Collegamentoipertestuale"/>
                <w:noProof/>
              </w:rPr>
              <w:t>Produzione, consumi intermedi e valore aggiunto agricolo</w:t>
            </w:r>
            <w:r w:rsidR="00CA514B">
              <w:rPr>
                <w:noProof/>
                <w:webHidden/>
              </w:rPr>
              <w:tab/>
            </w:r>
            <w:r w:rsidR="00CA514B">
              <w:rPr>
                <w:noProof/>
                <w:webHidden/>
              </w:rPr>
              <w:fldChar w:fldCharType="begin"/>
            </w:r>
            <w:r w:rsidR="00CA514B">
              <w:rPr>
                <w:noProof/>
                <w:webHidden/>
              </w:rPr>
              <w:instrText xml:space="preserve"> PAGEREF _Toc55998230 \h </w:instrText>
            </w:r>
            <w:r w:rsidR="00CA514B">
              <w:rPr>
                <w:noProof/>
                <w:webHidden/>
              </w:rPr>
            </w:r>
            <w:r w:rsidR="00CA514B">
              <w:rPr>
                <w:noProof/>
                <w:webHidden/>
              </w:rPr>
              <w:fldChar w:fldCharType="separate"/>
            </w:r>
            <w:r w:rsidR="00CA514B">
              <w:rPr>
                <w:noProof/>
                <w:webHidden/>
              </w:rPr>
              <w:t>3</w:t>
            </w:r>
            <w:r w:rsidR="00CA514B">
              <w:rPr>
                <w:noProof/>
                <w:webHidden/>
              </w:rPr>
              <w:fldChar w:fldCharType="end"/>
            </w:r>
          </w:hyperlink>
        </w:p>
        <w:p w14:paraId="25C130BC" w14:textId="2D419DB4" w:rsidR="00CA514B" w:rsidRDefault="001B4F64">
          <w:pPr>
            <w:pStyle w:val="Sommario2"/>
            <w:rPr>
              <w:rFonts w:eastAsiaTheme="minorEastAsia"/>
              <w:noProof/>
              <w:lang w:eastAsia="it-IT"/>
            </w:rPr>
          </w:pPr>
          <w:hyperlink w:anchor="_Toc55998231" w:history="1">
            <w:r w:rsidR="00CA514B" w:rsidRPr="00BC171A">
              <w:rPr>
                <w:rStyle w:val="Collegamentoipertestuale"/>
                <w:noProof/>
              </w:rPr>
              <w:t>La produzione agricola dell’Italia e dell’UE a confronto</w:t>
            </w:r>
            <w:r w:rsidR="00CA514B">
              <w:rPr>
                <w:noProof/>
                <w:webHidden/>
              </w:rPr>
              <w:tab/>
            </w:r>
            <w:r w:rsidR="00CA514B">
              <w:rPr>
                <w:noProof/>
                <w:webHidden/>
              </w:rPr>
              <w:fldChar w:fldCharType="begin"/>
            </w:r>
            <w:r w:rsidR="00CA514B">
              <w:rPr>
                <w:noProof/>
                <w:webHidden/>
              </w:rPr>
              <w:instrText xml:space="preserve"> PAGEREF _Toc55998231 \h </w:instrText>
            </w:r>
            <w:r w:rsidR="00CA514B">
              <w:rPr>
                <w:noProof/>
                <w:webHidden/>
              </w:rPr>
            </w:r>
            <w:r w:rsidR="00CA514B">
              <w:rPr>
                <w:noProof/>
                <w:webHidden/>
              </w:rPr>
              <w:fldChar w:fldCharType="separate"/>
            </w:r>
            <w:r w:rsidR="00CA514B">
              <w:rPr>
                <w:noProof/>
                <w:webHidden/>
              </w:rPr>
              <w:t>3</w:t>
            </w:r>
            <w:r w:rsidR="00CA514B">
              <w:rPr>
                <w:noProof/>
                <w:webHidden/>
              </w:rPr>
              <w:fldChar w:fldCharType="end"/>
            </w:r>
          </w:hyperlink>
        </w:p>
        <w:p w14:paraId="7F775996" w14:textId="40E58EE4" w:rsidR="00CA514B" w:rsidRDefault="001B4F64">
          <w:pPr>
            <w:pStyle w:val="Sommario2"/>
            <w:rPr>
              <w:rFonts w:eastAsiaTheme="minorEastAsia"/>
              <w:noProof/>
              <w:lang w:eastAsia="it-IT"/>
            </w:rPr>
          </w:pPr>
          <w:hyperlink w:anchor="_Toc55998232" w:history="1">
            <w:r w:rsidR="00CA514B" w:rsidRPr="00BC171A">
              <w:rPr>
                <w:rStyle w:val="Collegamentoipertestuale"/>
                <w:noProof/>
              </w:rPr>
              <w:t>Valore aggiunto e consumi intermedi</w:t>
            </w:r>
            <w:r w:rsidR="00CA514B">
              <w:rPr>
                <w:noProof/>
                <w:webHidden/>
              </w:rPr>
              <w:tab/>
            </w:r>
            <w:r w:rsidR="00CA514B">
              <w:rPr>
                <w:noProof/>
                <w:webHidden/>
              </w:rPr>
              <w:fldChar w:fldCharType="begin"/>
            </w:r>
            <w:r w:rsidR="00CA514B">
              <w:rPr>
                <w:noProof/>
                <w:webHidden/>
              </w:rPr>
              <w:instrText xml:space="preserve"> PAGEREF _Toc55998232 \h </w:instrText>
            </w:r>
            <w:r w:rsidR="00CA514B">
              <w:rPr>
                <w:noProof/>
                <w:webHidden/>
              </w:rPr>
            </w:r>
            <w:r w:rsidR="00CA514B">
              <w:rPr>
                <w:noProof/>
                <w:webHidden/>
              </w:rPr>
              <w:fldChar w:fldCharType="separate"/>
            </w:r>
            <w:r w:rsidR="00CA514B">
              <w:rPr>
                <w:noProof/>
                <w:webHidden/>
              </w:rPr>
              <w:t>6</w:t>
            </w:r>
            <w:r w:rsidR="00CA514B">
              <w:rPr>
                <w:noProof/>
                <w:webHidden/>
              </w:rPr>
              <w:fldChar w:fldCharType="end"/>
            </w:r>
          </w:hyperlink>
        </w:p>
        <w:p w14:paraId="20B4BFA9" w14:textId="1838CA02" w:rsidR="00CA514B" w:rsidRDefault="001B4F64">
          <w:pPr>
            <w:pStyle w:val="Sommario2"/>
            <w:rPr>
              <w:rFonts w:eastAsiaTheme="minorEastAsia"/>
              <w:noProof/>
              <w:lang w:eastAsia="it-IT"/>
            </w:rPr>
          </w:pPr>
          <w:hyperlink w:anchor="_Toc55998233" w:history="1">
            <w:r w:rsidR="00CA514B" w:rsidRPr="00BC171A">
              <w:rPr>
                <w:rStyle w:val="Collegamentoipertestuale"/>
                <w:noProof/>
              </w:rPr>
              <w:t>Dinamiche della produzione, dei consumi intermedi e del valore aggiunto</w:t>
            </w:r>
            <w:r w:rsidR="00CA514B">
              <w:rPr>
                <w:noProof/>
                <w:webHidden/>
              </w:rPr>
              <w:tab/>
            </w:r>
            <w:r w:rsidR="00CA514B">
              <w:rPr>
                <w:noProof/>
                <w:webHidden/>
              </w:rPr>
              <w:fldChar w:fldCharType="begin"/>
            </w:r>
            <w:r w:rsidR="00CA514B">
              <w:rPr>
                <w:noProof/>
                <w:webHidden/>
              </w:rPr>
              <w:instrText xml:space="preserve"> PAGEREF _Toc55998233 \h </w:instrText>
            </w:r>
            <w:r w:rsidR="00CA514B">
              <w:rPr>
                <w:noProof/>
                <w:webHidden/>
              </w:rPr>
            </w:r>
            <w:r w:rsidR="00CA514B">
              <w:rPr>
                <w:noProof/>
                <w:webHidden/>
              </w:rPr>
              <w:fldChar w:fldCharType="separate"/>
            </w:r>
            <w:r w:rsidR="00CA514B">
              <w:rPr>
                <w:noProof/>
                <w:webHidden/>
              </w:rPr>
              <w:t>8</w:t>
            </w:r>
            <w:r w:rsidR="00CA514B">
              <w:rPr>
                <w:noProof/>
                <w:webHidden/>
              </w:rPr>
              <w:fldChar w:fldCharType="end"/>
            </w:r>
          </w:hyperlink>
        </w:p>
        <w:p w14:paraId="5DE91693" w14:textId="51298D16" w:rsidR="00225920" w:rsidRDefault="00225920">
          <w:r>
            <w:rPr>
              <w:b/>
              <w:bCs/>
            </w:rPr>
            <w:fldChar w:fldCharType="end"/>
          </w:r>
        </w:p>
      </w:sdtContent>
    </w:sdt>
    <w:p w14:paraId="648D52E7" w14:textId="27F52AF9" w:rsidR="00D658F6" w:rsidRPr="00601D0C" w:rsidRDefault="00D658F6" w:rsidP="004B50F9">
      <w:pPr>
        <w:spacing w:before="120" w:after="0"/>
      </w:pPr>
    </w:p>
    <w:p w14:paraId="5DD6EB57" w14:textId="190F5674" w:rsidR="00601D0C" w:rsidRDefault="00601D0C" w:rsidP="00601D0C">
      <w:pPr>
        <w:spacing w:before="120" w:after="0"/>
      </w:pPr>
    </w:p>
    <w:p w14:paraId="19FFBBFE" w14:textId="02DBCF73" w:rsidR="000F2EEE" w:rsidRDefault="000F2EEE" w:rsidP="00DC2FA1">
      <w:pPr>
        <w:rPr>
          <w:i/>
          <w:sz w:val="20"/>
        </w:rPr>
      </w:pPr>
    </w:p>
    <w:p w14:paraId="45B22FE4" w14:textId="439E38CB" w:rsidR="000F2EEE" w:rsidRDefault="002826F8" w:rsidP="002826F8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rPr>
          <w:i/>
          <w:color w:val="365F91"/>
          <w:sz w:val="28"/>
          <w:szCs w:val="28"/>
        </w:rPr>
      </w:pPr>
      <w:bookmarkStart w:id="0" w:name="_Hlk18320127"/>
      <w:r w:rsidRPr="002826F8">
        <w:rPr>
          <w:i/>
          <w:color w:val="365F91"/>
          <w:sz w:val="28"/>
          <w:szCs w:val="28"/>
        </w:rPr>
        <w:t>Avvertenze</w:t>
      </w:r>
    </w:p>
    <w:p w14:paraId="0D7A5C79" w14:textId="587833E6" w:rsidR="000348DE" w:rsidRDefault="00932BAA" w:rsidP="000348DE">
      <w:pPr>
        <w:pStyle w:val="Testonotaapidipagina"/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tabs>
          <w:tab w:val="left" w:pos="6521"/>
        </w:tabs>
      </w:pPr>
      <w:r>
        <w:rPr>
          <w:b/>
          <w:i/>
        </w:rPr>
        <w:t xml:space="preserve">I </w:t>
      </w:r>
      <w:r w:rsidR="00DF3F49" w:rsidRPr="00DF3F49">
        <w:rPr>
          <w:b/>
          <w:i/>
        </w:rPr>
        <w:t xml:space="preserve">dati </w:t>
      </w:r>
      <w:r w:rsidR="00366D38">
        <w:rPr>
          <w:b/>
          <w:i/>
        </w:rPr>
        <w:t xml:space="preserve">utilizzati </w:t>
      </w:r>
      <w:r w:rsidR="00590199">
        <w:rPr>
          <w:b/>
          <w:i/>
        </w:rPr>
        <w:t xml:space="preserve">nel presente </w:t>
      </w:r>
      <w:proofErr w:type="spellStart"/>
      <w:r w:rsidR="00590199">
        <w:rPr>
          <w:b/>
          <w:i/>
        </w:rPr>
        <w:t>lavor</w:t>
      </w:r>
      <w:bookmarkEnd w:id="0"/>
      <w:r w:rsidR="000348DE">
        <w:rPr>
          <w:b/>
          <w:i/>
        </w:rPr>
        <w:t>o</w:t>
      </w:r>
      <w:r w:rsidR="000348DE" w:rsidRPr="000348DE">
        <w:rPr>
          <w:b/>
          <w:i/>
        </w:rPr>
        <w:t>I</w:t>
      </w:r>
      <w:proofErr w:type="spellEnd"/>
      <w:r w:rsidR="000348DE" w:rsidRPr="000348DE">
        <w:rPr>
          <w:b/>
          <w:i/>
        </w:rPr>
        <w:t xml:space="preserve"> </w:t>
      </w:r>
      <w:r w:rsidR="000348DE">
        <w:rPr>
          <w:b/>
          <w:i/>
        </w:rPr>
        <w:t xml:space="preserve">vengono dai </w:t>
      </w:r>
      <w:r w:rsidR="000348DE" w:rsidRPr="000348DE">
        <w:rPr>
          <w:b/>
          <w:i/>
        </w:rPr>
        <w:t xml:space="preserve">Conti Economici dell’Agricoltura (CEA) </w:t>
      </w:r>
      <w:r w:rsidR="000348DE">
        <w:rPr>
          <w:b/>
          <w:i/>
        </w:rPr>
        <w:t xml:space="preserve">afferenti al quadro centrale dei Conti nazionali, sia quelli del Conto </w:t>
      </w:r>
      <w:proofErr w:type="gramStart"/>
      <w:r w:rsidR="000348DE">
        <w:rPr>
          <w:b/>
          <w:i/>
        </w:rPr>
        <w:t>Satellite..</w:t>
      </w:r>
      <w:proofErr w:type="gramEnd"/>
      <w:r w:rsidR="000348DE">
        <w:rPr>
          <w:b/>
          <w:i/>
        </w:rPr>
        <w:t xml:space="preserve"> I dati </w:t>
      </w:r>
      <w:r w:rsidR="000348DE" w:rsidRPr="000348DE">
        <w:rPr>
          <w:b/>
          <w:i/>
        </w:rPr>
        <w:t>forniscono un quadro generale dell’attività del settore. Dai conti agricoli</w:t>
      </w:r>
      <w:r w:rsidR="000348DE">
        <w:rPr>
          <w:b/>
          <w:i/>
        </w:rPr>
        <w:t xml:space="preserve"> </w:t>
      </w:r>
      <w:r w:rsidR="000348DE" w:rsidRPr="000348DE">
        <w:rPr>
          <w:b/>
          <w:i/>
        </w:rPr>
        <w:t>derivano gli andamenti economici per prodotto, le variazioni dei prezzi di base e dei volumi produttivi per gruppi di</w:t>
      </w:r>
      <w:r w:rsidR="000348DE">
        <w:rPr>
          <w:b/>
          <w:i/>
        </w:rPr>
        <w:t xml:space="preserve"> </w:t>
      </w:r>
      <w:r w:rsidR="000348DE" w:rsidRPr="000348DE">
        <w:rPr>
          <w:b/>
          <w:i/>
        </w:rPr>
        <w:t>prodotto e per comparto produttivo. I dati sono elaborati secondo le metodologie stabilite dal Sistema europeo dei</w:t>
      </w:r>
      <w:r w:rsidR="000348DE">
        <w:rPr>
          <w:b/>
          <w:i/>
        </w:rPr>
        <w:t xml:space="preserve"> </w:t>
      </w:r>
      <w:r w:rsidR="000348DE" w:rsidRPr="000348DE">
        <w:rPr>
          <w:b/>
          <w:i/>
        </w:rPr>
        <w:t>conti nazionali e regionali (Sec 2010) e riguardano aggregati economici quali produzione, consumi intermedi, valore</w:t>
      </w:r>
      <w:r w:rsidR="000348DE">
        <w:rPr>
          <w:b/>
          <w:i/>
        </w:rPr>
        <w:t xml:space="preserve"> </w:t>
      </w:r>
      <w:r w:rsidR="000348DE" w:rsidRPr="000348DE">
        <w:rPr>
          <w:b/>
          <w:i/>
        </w:rPr>
        <w:t>aggiunto e redditi agricoli. I dati presentano un elevato livello di dettaglio sia territoriale che di prodotto.</w:t>
      </w:r>
      <w:r w:rsidR="000348DE" w:rsidRPr="000348DE">
        <w:t xml:space="preserve"> </w:t>
      </w:r>
    </w:p>
    <w:p w14:paraId="225D5F04" w14:textId="38BC1419" w:rsidR="000348DE" w:rsidRPr="000348DE" w:rsidRDefault="000348DE" w:rsidP="000348DE">
      <w:pPr>
        <w:pStyle w:val="Testonotaapidipagina"/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tabs>
          <w:tab w:val="left" w:pos="6521"/>
        </w:tabs>
        <w:rPr>
          <w:b/>
          <w:i/>
        </w:rPr>
      </w:pPr>
      <w:r>
        <w:rPr>
          <w:b/>
          <w:i/>
        </w:rPr>
        <w:t>Come già anticipato, i</w:t>
      </w:r>
      <w:r w:rsidRPr="000348DE">
        <w:rPr>
          <w:b/>
          <w:i/>
        </w:rPr>
        <w:t xml:space="preserve">n questo </w:t>
      </w:r>
      <w:r>
        <w:rPr>
          <w:b/>
          <w:i/>
        </w:rPr>
        <w:t xml:space="preserve">lavoro vengono utilizzati sia quelli pubblicati dall’Istat, </w:t>
      </w:r>
      <w:r w:rsidRPr="000348DE">
        <w:rPr>
          <w:b/>
          <w:i/>
        </w:rPr>
        <w:t>afferenti al quadro centrale dei Conti</w:t>
      </w:r>
      <w:r>
        <w:rPr>
          <w:b/>
          <w:i/>
        </w:rPr>
        <w:t xml:space="preserve"> </w:t>
      </w:r>
      <w:r w:rsidRPr="000348DE">
        <w:rPr>
          <w:b/>
          <w:i/>
        </w:rPr>
        <w:t xml:space="preserve">Nazionali </w:t>
      </w:r>
      <w:r>
        <w:rPr>
          <w:b/>
          <w:i/>
        </w:rPr>
        <w:t xml:space="preserve">sia </w:t>
      </w:r>
      <w:r w:rsidRPr="000348DE">
        <w:rPr>
          <w:b/>
          <w:i/>
        </w:rPr>
        <w:t>quelli relativi al Conto Satellite dell’Agricoltura elaborato</w:t>
      </w:r>
      <w:r>
        <w:rPr>
          <w:b/>
          <w:i/>
        </w:rPr>
        <w:t xml:space="preserve"> dall’Istat</w:t>
      </w:r>
      <w:r w:rsidRPr="000348DE">
        <w:rPr>
          <w:b/>
          <w:i/>
        </w:rPr>
        <w:t xml:space="preserve"> per l’Eurostat per i</w:t>
      </w:r>
      <w:r>
        <w:rPr>
          <w:b/>
          <w:i/>
        </w:rPr>
        <w:t xml:space="preserve"> </w:t>
      </w:r>
      <w:r w:rsidRPr="000348DE">
        <w:rPr>
          <w:b/>
          <w:i/>
        </w:rPr>
        <w:t>confronti internazionali (Ue28). I due conti presentano alcune differenze: il Conto Satellite dell’Agricoltura non include</w:t>
      </w:r>
    </w:p>
    <w:p w14:paraId="7312E43B" w14:textId="77777777" w:rsidR="000348DE" w:rsidRPr="000348DE" w:rsidRDefault="000348DE" w:rsidP="000348DE">
      <w:pPr>
        <w:pStyle w:val="Testonotaapidipagina"/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tabs>
          <w:tab w:val="left" w:pos="6521"/>
        </w:tabs>
        <w:rPr>
          <w:b/>
          <w:i/>
        </w:rPr>
      </w:pPr>
      <w:r w:rsidRPr="000348DE">
        <w:rPr>
          <w:b/>
          <w:i/>
        </w:rPr>
        <w:t>le attività degli orti familiari, dei piccoli allevamenti e alcune attività dei servizi mentre prevede l’inclusione, tra le</w:t>
      </w:r>
    </w:p>
    <w:p w14:paraId="36CAAC16" w14:textId="77777777" w:rsidR="000348DE" w:rsidRPr="000348DE" w:rsidRDefault="000348DE" w:rsidP="000348DE">
      <w:pPr>
        <w:pStyle w:val="Testonotaapidipagina"/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tabs>
          <w:tab w:val="left" w:pos="6521"/>
        </w:tabs>
        <w:rPr>
          <w:b/>
          <w:i/>
        </w:rPr>
      </w:pPr>
      <w:r w:rsidRPr="000348DE">
        <w:rPr>
          <w:b/>
          <w:i/>
        </w:rPr>
        <w:t>attività agricole, della produzione di vino e olio trasformata dalle cooperative (che, invece, non è compresa nei Conti</w:t>
      </w:r>
    </w:p>
    <w:p w14:paraId="18389D30" w14:textId="77777777" w:rsidR="000348DE" w:rsidRPr="000348DE" w:rsidRDefault="000348DE" w:rsidP="000348DE">
      <w:pPr>
        <w:pStyle w:val="Testonotaapidipagina"/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tabs>
          <w:tab w:val="left" w:pos="6521"/>
        </w:tabs>
        <w:rPr>
          <w:b/>
          <w:i/>
        </w:rPr>
      </w:pPr>
      <w:r w:rsidRPr="000348DE">
        <w:rPr>
          <w:b/>
          <w:i/>
        </w:rPr>
        <w:t>Nazionali in quanto attribuita all’industria delle bevande). Nel caso del vino ad esempio, il valore economico della</w:t>
      </w:r>
    </w:p>
    <w:p w14:paraId="4EF30212" w14:textId="77777777" w:rsidR="000348DE" w:rsidRPr="000348DE" w:rsidRDefault="000348DE" w:rsidP="000348DE">
      <w:pPr>
        <w:pStyle w:val="Testonotaapidipagina"/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tabs>
          <w:tab w:val="left" w:pos="6521"/>
        </w:tabs>
        <w:rPr>
          <w:b/>
          <w:i/>
        </w:rPr>
      </w:pPr>
      <w:r w:rsidRPr="000348DE">
        <w:rPr>
          <w:b/>
          <w:i/>
        </w:rPr>
        <w:t>produzione viene distinto tra l’Ateco 01.21.00 (coltivazione di uva e produzione di vino da uve proprie) e l’Ateco</w:t>
      </w:r>
    </w:p>
    <w:p w14:paraId="5BA338E4" w14:textId="77777777" w:rsidR="000348DE" w:rsidRPr="000348DE" w:rsidRDefault="000348DE" w:rsidP="000348DE">
      <w:pPr>
        <w:pStyle w:val="Testonotaapidipagina"/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tabs>
          <w:tab w:val="left" w:pos="6521"/>
        </w:tabs>
        <w:rPr>
          <w:b/>
          <w:i/>
        </w:rPr>
      </w:pPr>
      <w:r w:rsidRPr="000348DE">
        <w:rPr>
          <w:b/>
          <w:i/>
        </w:rPr>
        <w:t>11.02.10 (produzione di vino da tavola e vini di qualità prodotti in regioni determinate) dove sono incluse le</w:t>
      </w:r>
    </w:p>
    <w:p w14:paraId="5ED3102B" w14:textId="1FCA6031" w:rsidR="000348DE" w:rsidRDefault="000348DE" w:rsidP="000348DE">
      <w:pPr>
        <w:pStyle w:val="Testonotaapidipagina"/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tabs>
          <w:tab w:val="left" w:pos="6521"/>
        </w:tabs>
        <w:rPr>
          <w:b/>
          <w:i/>
        </w:rPr>
      </w:pPr>
      <w:r w:rsidRPr="000348DE">
        <w:rPr>
          <w:b/>
          <w:i/>
        </w:rPr>
        <w:t>cooperative vitivinicole e l’industria vinicola.</w:t>
      </w:r>
    </w:p>
    <w:p w14:paraId="0DF6C6DA" w14:textId="5E8CE8FD" w:rsidR="00D94CBA" w:rsidRPr="001C0F61" w:rsidRDefault="00D94CBA" w:rsidP="000348DE">
      <w:pPr>
        <w:pStyle w:val="Testonotaapidipagina"/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tabs>
          <w:tab w:val="left" w:pos="6521"/>
        </w:tabs>
        <w:rPr>
          <w:b/>
          <w:i/>
        </w:rPr>
      </w:pPr>
      <w:r>
        <w:br w:type="page"/>
      </w:r>
    </w:p>
    <w:p w14:paraId="3CCA00B6" w14:textId="24893E14" w:rsidR="009C27AA" w:rsidRDefault="009C27AA" w:rsidP="009C27AA">
      <w:pPr>
        <w:pStyle w:val="Titolo1"/>
      </w:pPr>
      <w:bookmarkStart w:id="1" w:name="_Toc55998230"/>
      <w:r>
        <w:lastRenderedPageBreak/>
        <w:t>Produzione</w:t>
      </w:r>
      <w:r w:rsidR="001C0F61">
        <w:t>, consumi intermedi e</w:t>
      </w:r>
      <w:r>
        <w:t xml:space="preserve"> valore aggiunto </w:t>
      </w:r>
      <w:r w:rsidR="001C0F61">
        <w:t>agricolo</w:t>
      </w:r>
      <w:bookmarkEnd w:id="1"/>
    </w:p>
    <w:p w14:paraId="435F0BBC" w14:textId="35968846" w:rsidR="009C27AA" w:rsidRPr="0047286D" w:rsidRDefault="009C27AA" w:rsidP="009C27AA">
      <w:r>
        <w:t xml:space="preserve">La competitività dell’agricoltura dipende fortemente dalla specializzazione produttiva del settore e quindi dalla sua struttura dei costi. Di seguito vengono illustrate </w:t>
      </w:r>
      <w:r w:rsidR="00CD2EFB">
        <w:t xml:space="preserve">le caratteristiche e </w:t>
      </w:r>
      <w:r>
        <w:t>le peculiarità italiane, rispetto al resto dei Paesi europei.</w:t>
      </w:r>
    </w:p>
    <w:p w14:paraId="6DC93DEE" w14:textId="1FDC1244" w:rsidR="00854F81" w:rsidRPr="009C27AA" w:rsidRDefault="00854F81" w:rsidP="009C27AA">
      <w:pPr>
        <w:pStyle w:val="Titolo2"/>
      </w:pPr>
      <w:bookmarkStart w:id="2" w:name="_Toc55998231"/>
      <w:r w:rsidRPr="009C27AA">
        <w:t>La produzione agricola dell’Italia e dell’UE a confronto</w:t>
      </w:r>
      <w:bookmarkEnd w:id="2"/>
    </w:p>
    <w:p w14:paraId="526B558A" w14:textId="09AC383B" w:rsidR="00854F81" w:rsidRPr="00387291" w:rsidRDefault="00854F81" w:rsidP="00854F81">
      <w:pPr>
        <w:pStyle w:val="Paragrafoelenco"/>
        <w:numPr>
          <w:ilvl w:val="0"/>
          <w:numId w:val="9"/>
        </w:numPr>
        <w:ind w:left="284"/>
      </w:pPr>
      <w:r w:rsidRPr="00387291">
        <w:t>La produzione italiana nel complesso si caratterizza per una minore incidenza della produzione animale rispetto alla media europea (</w:t>
      </w:r>
      <w:r w:rsidR="00CD2EFB">
        <w:t xml:space="preserve">pari al </w:t>
      </w:r>
      <w:r w:rsidRPr="00387291">
        <w:t xml:space="preserve">28% sulla produzione agricola totale, rispetto al 40% dell’UE a 28); oltre al maggiore peso delle coltivazioni, </w:t>
      </w:r>
      <w:r>
        <w:t>da attribuire alla specializzazione in vitivinicoltura, ortaggi e frutta</w:t>
      </w:r>
      <w:r w:rsidR="00CD2EFB">
        <w:t xml:space="preserve"> e </w:t>
      </w:r>
      <w:r>
        <w:t>olivicoltura</w:t>
      </w:r>
      <w:r>
        <w:rPr>
          <w:rStyle w:val="Rimandonotaapidipagina"/>
        </w:rPr>
        <w:footnoteReference w:id="1"/>
      </w:r>
      <w:r>
        <w:t xml:space="preserve">, tra le caratteristiche distintive </w:t>
      </w:r>
      <w:r w:rsidRPr="00387291">
        <w:t xml:space="preserve">va rilevato anche il ruolo economico </w:t>
      </w:r>
      <w:r>
        <w:t xml:space="preserve">maggiore </w:t>
      </w:r>
      <w:r w:rsidRPr="00387291">
        <w:t>delle attività di supporto all’agricoltura e delle attività secondarie</w:t>
      </w:r>
      <w:r w:rsidR="00CD2EFB">
        <w:t xml:space="preserve">: </w:t>
      </w:r>
      <w:r w:rsidRPr="00387291">
        <w:t>complessivamente il peso dei servizi e delle attività secondarie è del 17% per l’Italia, a fronte dell’8,6% dell’UE</w:t>
      </w:r>
      <w:r w:rsidR="00CD2EFB">
        <w:t xml:space="preserve"> (</w:t>
      </w:r>
      <w:r w:rsidR="005E3A86">
        <w:t>cfr. tabella 1)</w:t>
      </w:r>
      <w:r w:rsidRPr="00387291">
        <w:t xml:space="preserve">. </w:t>
      </w:r>
    </w:p>
    <w:p w14:paraId="7ABD7AF4" w14:textId="65E827EB" w:rsidR="00854F81" w:rsidRPr="00387291" w:rsidRDefault="00854F81" w:rsidP="00854F81">
      <w:pPr>
        <w:pStyle w:val="Paragrafoelenco"/>
        <w:numPr>
          <w:ilvl w:val="0"/>
          <w:numId w:val="9"/>
        </w:numPr>
        <w:ind w:left="284"/>
      </w:pPr>
      <w:r w:rsidRPr="00387291">
        <w:t>Nel dettaglio regionale, tuttavia, la composizione della produzione è notevolmente differente tra una regione e l’al</w:t>
      </w:r>
      <w:r w:rsidRPr="0020415F">
        <w:t xml:space="preserve">tra </w:t>
      </w:r>
      <w:r w:rsidRPr="005E3A86">
        <w:t xml:space="preserve">(cfr. </w:t>
      </w:r>
      <w:r w:rsidRPr="005E3A86">
        <w:fldChar w:fldCharType="begin"/>
      </w:r>
      <w:r w:rsidRPr="005E3A86">
        <w:instrText xml:space="preserve"> REF _Ref20211823 \h  \* MERGEFORMAT </w:instrText>
      </w:r>
      <w:r w:rsidRPr="005E3A86">
        <w:fldChar w:fldCharType="separate"/>
      </w:r>
      <w:r w:rsidRPr="005E3A86">
        <w:t xml:space="preserve">Figura </w:t>
      </w:r>
      <w:r w:rsidR="005E3A86" w:rsidRPr="005E3A86">
        <w:rPr>
          <w:noProof/>
        </w:rPr>
        <w:t>5</w:t>
      </w:r>
      <w:r w:rsidRPr="005E3A86">
        <w:fldChar w:fldCharType="end"/>
      </w:r>
      <w:r w:rsidRPr="005E3A86">
        <w:t>),</w:t>
      </w:r>
      <w:r w:rsidRPr="0020415F">
        <w:t xml:space="preserve"> </w:t>
      </w:r>
      <w:r w:rsidRPr="00387291">
        <w:t xml:space="preserve">in termini di peso delle coltivazioni e degli allevamenti e di ruolo dei servizi e delle attività secondarie. </w:t>
      </w:r>
    </w:p>
    <w:p w14:paraId="5222CB17" w14:textId="3DB9C094" w:rsidR="00854F81" w:rsidRDefault="00854F81" w:rsidP="00854F81">
      <w:pPr>
        <w:pStyle w:val="Paragrafoelenco"/>
        <w:numPr>
          <w:ilvl w:val="0"/>
          <w:numId w:val="9"/>
        </w:numPr>
        <w:ind w:left="284"/>
      </w:pPr>
      <w:r w:rsidRPr="00465470">
        <w:t xml:space="preserve">Vitivinicoltura, Ortaggi, Latte, Frutta e Agrumi sono i settori più importanti in termini di valore realizzato nel 2018. </w:t>
      </w:r>
      <w:proofErr w:type="gramStart"/>
      <w:r w:rsidR="00CD2EFB">
        <w:t>Sul  valore</w:t>
      </w:r>
      <w:proofErr w:type="gramEnd"/>
      <w:r w:rsidR="00CD2EFB">
        <w:t xml:space="preserve"> della</w:t>
      </w:r>
      <w:r w:rsidRPr="00465470">
        <w:t xml:space="preserve"> produzione </w:t>
      </w:r>
      <w:r w:rsidR="00CD2EFB">
        <w:t xml:space="preserve">corrispondente </w:t>
      </w:r>
      <w:r w:rsidRPr="00465470">
        <w:t xml:space="preserve">dell’UE, l’Italia rappresenta oltre 1/3 per la vitivinicoltura e circa 1/4 per l’olivicoltura. </w:t>
      </w:r>
      <w:r>
        <w:t>Nel confronto con la media dell’UE a 28, oltre alla specializzazione nelle coltivazioni mediterranee, nell’ambito della zootecnia si può evidenziare una specializzazione italiana nella produzione di uova</w:t>
      </w:r>
      <w:r w:rsidR="005E3A86">
        <w:t xml:space="preserve"> (cfr. Figure 1 e 2)</w:t>
      </w:r>
      <w:r>
        <w:t xml:space="preserve">. </w:t>
      </w:r>
    </w:p>
    <w:p w14:paraId="1BD6134A" w14:textId="4A65FD4E" w:rsidR="00854F81" w:rsidRDefault="00854F81" w:rsidP="00854F81">
      <w:pPr>
        <w:pStyle w:val="Paragrafoelenco"/>
        <w:numPr>
          <w:ilvl w:val="0"/>
          <w:numId w:val="9"/>
        </w:numPr>
        <w:ind w:left="284"/>
      </w:pPr>
      <w:r>
        <w:t>La produzione totale dell’agricoltura in Italia, pari a 55,9 miliardi nel 2018 a valori correnti, tra il 2007 e il 2018 è cresciuta del 15%, con i due principali comparti, le coltivazioni e gli allevamenti, aumentati rispettivamente dell’8% e del 9%, mentre più dinamici sono risultati i servizi di supporto e le attività secondarie; l</w:t>
      </w:r>
      <w:r w:rsidRPr="00387291">
        <w:t>a crescita delle attività secondarie testimonia un ampio processo di ricerca da parte delle aziende agricole italiane di una maggiore diversificazione della produzione, fonti integrative di reddito e nuove modalità di incontro con il consumatore, che ha avuto un impatto positivo sulla tenuta del valore aggiunto agricolo nazionale nell’ultimo decennio</w:t>
      </w:r>
      <w:r w:rsidR="005E3A86">
        <w:t xml:space="preserve"> (cfr. Figura 3)</w:t>
      </w:r>
      <w:r w:rsidRPr="00387291">
        <w:t xml:space="preserve">. </w:t>
      </w:r>
    </w:p>
    <w:p w14:paraId="7EAEC0DD" w14:textId="2E3C043A" w:rsidR="00854F81" w:rsidRDefault="00854F81" w:rsidP="00854F81">
      <w:pPr>
        <w:pStyle w:val="Paragrafoelenco"/>
        <w:numPr>
          <w:ilvl w:val="0"/>
          <w:numId w:val="9"/>
        </w:numPr>
        <w:ind w:left="284"/>
      </w:pPr>
      <w:r>
        <w:t>A prezzi costanti si osserva una tendenziale contrazione del valore delle coltivazioni mentre sostanzialmente stabili sono rimasti nell’arco del periodo i volumi produttivi della zootecnia</w:t>
      </w:r>
      <w:r w:rsidR="005E3A86">
        <w:t xml:space="preserve"> (cfr. Figura 4)</w:t>
      </w:r>
      <w:r w:rsidR="005E3A86" w:rsidRPr="00387291">
        <w:t>.</w:t>
      </w:r>
    </w:p>
    <w:p w14:paraId="1129ED54" w14:textId="0DEA9115" w:rsidR="00854F81" w:rsidRPr="009C27AA" w:rsidRDefault="00854F81" w:rsidP="009C27AA">
      <w:pPr>
        <w:pStyle w:val="Titolotab-grafReport"/>
      </w:pPr>
      <w:r w:rsidRPr="009C27AA">
        <w:t xml:space="preserve"> Produzione agricola ai prezzi di base per settore nel 2018 (valori correnti) e confronto con UE-28</w:t>
      </w:r>
    </w:p>
    <w:tbl>
      <w:tblPr>
        <w:tblStyle w:val="Tabellasemplice-1"/>
        <w:tblW w:w="5000" w:type="pct"/>
        <w:tblLook w:val="04A0" w:firstRow="1" w:lastRow="0" w:firstColumn="1" w:lastColumn="0" w:noHBand="0" w:noVBand="1"/>
      </w:tblPr>
      <w:tblGrid>
        <w:gridCol w:w="3838"/>
        <w:gridCol w:w="1931"/>
        <w:gridCol w:w="1931"/>
        <w:gridCol w:w="1928"/>
      </w:tblGrid>
      <w:tr w:rsidR="00854F81" w:rsidRPr="00772292" w14:paraId="7C343170" w14:textId="77777777" w:rsidTr="0037379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1082598E" w14:textId="77777777" w:rsidR="00854F81" w:rsidRPr="00772292" w:rsidRDefault="00854F81" w:rsidP="00373790">
            <w:pP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  <w:t>Produzioni</w:t>
            </w:r>
          </w:p>
        </w:tc>
        <w:tc>
          <w:tcPr>
            <w:tcW w:w="1003" w:type="pct"/>
          </w:tcPr>
          <w:p w14:paraId="73B24C3D" w14:textId="77777777" w:rsidR="00854F81" w:rsidRPr="00772292" w:rsidRDefault="00854F81" w:rsidP="0037379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  <w:t xml:space="preserve">Italia 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  <w:br/>
              <w:t>(milioni di euro)</w:t>
            </w:r>
          </w:p>
        </w:tc>
        <w:tc>
          <w:tcPr>
            <w:tcW w:w="1003" w:type="pct"/>
            <w:noWrap/>
            <w:hideMark/>
          </w:tcPr>
          <w:p w14:paraId="1A23AE15" w14:textId="77777777" w:rsidR="00854F81" w:rsidRPr="00772292" w:rsidRDefault="00854F81" w:rsidP="0037379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  <w:t>% in Italia</w:t>
            </w:r>
          </w:p>
        </w:tc>
        <w:tc>
          <w:tcPr>
            <w:tcW w:w="1001" w:type="pct"/>
            <w:noWrap/>
            <w:hideMark/>
          </w:tcPr>
          <w:p w14:paraId="65DA2116" w14:textId="77777777" w:rsidR="00854F81" w:rsidRPr="00772292" w:rsidRDefault="00854F81" w:rsidP="0037379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  <w:t>% di cui UE-28</w:t>
            </w:r>
          </w:p>
        </w:tc>
      </w:tr>
      <w:tr w:rsidR="00854F81" w:rsidRPr="00772292" w14:paraId="7C7530EA" w14:textId="77777777" w:rsidTr="003737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79599DD4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COLTIVAZIONI AGRICOLE</w:t>
            </w: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, di cui:</w:t>
            </w:r>
          </w:p>
        </w:tc>
        <w:tc>
          <w:tcPr>
            <w:tcW w:w="1003" w:type="pct"/>
            <w:vAlign w:val="bottom"/>
          </w:tcPr>
          <w:p w14:paraId="7E08CFDD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31.346</w:t>
            </w:r>
          </w:p>
        </w:tc>
        <w:tc>
          <w:tcPr>
            <w:tcW w:w="1003" w:type="pct"/>
            <w:noWrap/>
            <w:vAlign w:val="bottom"/>
            <w:hideMark/>
          </w:tcPr>
          <w:p w14:paraId="331B493F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66,6%</w:t>
            </w:r>
          </w:p>
        </w:tc>
        <w:tc>
          <w:tcPr>
            <w:tcW w:w="1001" w:type="pct"/>
            <w:noWrap/>
            <w:vAlign w:val="bottom"/>
            <w:hideMark/>
          </w:tcPr>
          <w:p w14:paraId="38D5C862" w14:textId="77777777" w:rsidR="00854F81" w:rsidRPr="00B57913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b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14%</w:t>
            </w:r>
          </w:p>
        </w:tc>
      </w:tr>
      <w:tr w:rsidR="00854F81" w:rsidRPr="00772292" w14:paraId="7A783279" w14:textId="77777777" w:rsidTr="0037379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36E26EA1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Cereali (incluse sementi)</w:t>
            </w:r>
          </w:p>
        </w:tc>
        <w:tc>
          <w:tcPr>
            <w:tcW w:w="1003" w:type="pct"/>
            <w:vAlign w:val="bottom"/>
          </w:tcPr>
          <w:p w14:paraId="27BAE670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3.695</w:t>
            </w:r>
          </w:p>
        </w:tc>
        <w:tc>
          <w:tcPr>
            <w:tcW w:w="1003" w:type="pct"/>
            <w:noWrap/>
            <w:vAlign w:val="bottom"/>
            <w:hideMark/>
          </w:tcPr>
          <w:p w14:paraId="48272942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7,8%</w:t>
            </w:r>
          </w:p>
        </w:tc>
        <w:tc>
          <w:tcPr>
            <w:tcW w:w="1001" w:type="pct"/>
            <w:noWrap/>
            <w:vAlign w:val="bottom"/>
            <w:hideMark/>
          </w:tcPr>
          <w:p w14:paraId="2166A943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8%</w:t>
            </w:r>
          </w:p>
        </w:tc>
      </w:tr>
      <w:tr w:rsidR="00854F81" w:rsidRPr="00772292" w14:paraId="40430608" w14:textId="77777777" w:rsidTr="003737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70354291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Coltivazioni industriali</w:t>
            </w:r>
          </w:p>
        </w:tc>
        <w:tc>
          <w:tcPr>
            <w:tcW w:w="1003" w:type="pct"/>
            <w:vAlign w:val="bottom"/>
          </w:tcPr>
          <w:p w14:paraId="4647A332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832</w:t>
            </w:r>
          </w:p>
        </w:tc>
        <w:tc>
          <w:tcPr>
            <w:tcW w:w="1003" w:type="pct"/>
            <w:noWrap/>
            <w:vAlign w:val="bottom"/>
            <w:hideMark/>
          </w:tcPr>
          <w:p w14:paraId="454C8C02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1,8%</w:t>
            </w:r>
          </w:p>
        </w:tc>
        <w:tc>
          <w:tcPr>
            <w:tcW w:w="1001" w:type="pct"/>
            <w:noWrap/>
            <w:vAlign w:val="bottom"/>
            <w:hideMark/>
          </w:tcPr>
          <w:p w14:paraId="24A3F036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4%</w:t>
            </w:r>
          </w:p>
        </w:tc>
      </w:tr>
      <w:tr w:rsidR="00854F81" w:rsidRPr="00772292" w14:paraId="186BF24F" w14:textId="77777777" w:rsidTr="0037379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664B4682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Coltivazioni foraggere</w:t>
            </w:r>
          </w:p>
        </w:tc>
        <w:tc>
          <w:tcPr>
            <w:tcW w:w="1003" w:type="pct"/>
            <w:vAlign w:val="bottom"/>
          </w:tcPr>
          <w:p w14:paraId="70DCCEC0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1.817</w:t>
            </w:r>
          </w:p>
        </w:tc>
        <w:tc>
          <w:tcPr>
            <w:tcW w:w="1003" w:type="pct"/>
            <w:noWrap/>
            <w:vAlign w:val="bottom"/>
            <w:hideMark/>
          </w:tcPr>
          <w:p w14:paraId="61F4A0AC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3,9%</w:t>
            </w:r>
          </w:p>
        </w:tc>
        <w:tc>
          <w:tcPr>
            <w:tcW w:w="1001" w:type="pct"/>
            <w:noWrap/>
            <w:vAlign w:val="bottom"/>
            <w:hideMark/>
          </w:tcPr>
          <w:p w14:paraId="00C4C952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8%</w:t>
            </w:r>
          </w:p>
        </w:tc>
      </w:tr>
      <w:tr w:rsidR="00854F81" w:rsidRPr="00772292" w14:paraId="188FC736" w14:textId="77777777" w:rsidTr="003737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003B77ED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Ortaggi</w:t>
            </w:r>
          </w:p>
        </w:tc>
        <w:tc>
          <w:tcPr>
            <w:tcW w:w="1003" w:type="pct"/>
            <w:vAlign w:val="bottom"/>
          </w:tcPr>
          <w:p w14:paraId="0474790F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6.319</w:t>
            </w:r>
          </w:p>
        </w:tc>
        <w:tc>
          <w:tcPr>
            <w:tcW w:w="1003" w:type="pct"/>
            <w:noWrap/>
            <w:vAlign w:val="bottom"/>
            <w:hideMark/>
          </w:tcPr>
          <w:p w14:paraId="0354E7E5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13,4%</w:t>
            </w:r>
          </w:p>
        </w:tc>
        <w:tc>
          <w:tcPr>
            <w:tcW w:w="1001" w:type="pct"/>
            <w:noWrap/>
            <w:vAlign w:val="bottom"/>
            <w:hideMark/>
          </w:tcPr>
          <w:p w14:paraId="6B50DF34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18%</w:t>
            </w:r>
          </w:p>
        </w:tc>
      </w:tr>
      <w:tr w:rsidR="00854F81" w:rsidRPr="00772292" w14:paraId="3611088C" w14:textId="77777777" w:rsidTr="0037379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</w:tcPr>
          <w:p w14:paraId="5EDA114C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Florovivaismo</w:t>
            </w:r>
          </w:p>
        </w:tc>
        <w:tc>
          <w:tcPr>
            <w:tcW w:w="1003" w:type="pct"/>
            <w:vAlign w:val="bottom"/>
          </w:tcPr>
          <w:p w14:paraId="6ED670AA" w14:textId="77777777" w:rsidR="00854F81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2.543</w:t>
            </w:r>
          </w:p>
        </w:tc>
        <w:tc>
          <w:tcPr>
            <w:tcW w:w="1003" w:type="pct"/>
            <w:noWrap/>
            <w:vAlign w:val="bottom"/>
          </w:tcPr>
          <w:p w14:paraId="33AD24B7" w14:textId="77777777" w:rsidR="00854F81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5,4%</w:t>
            </w:r>
          </w:p>
        </w:tc>
        <w:tc>
          <w:tcPr>
            <w:tcW w:w="1001" w:type="pct"/>
            <w:noWrap/>
            <w:vAlign w:val="bottom"/>
          </w:tcPr>
          <w:p w14:paraId="14665D2B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12%</w:t>
            </w:r>
          </w:p>
        </w:tc>
      </w:tr>
      <w:tr w:rsidR="00854F81" w:rsidRPr="00772292" w14:paraId="5CE5DFFE" w14:textId="77777777" w:rsidTr="003737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4681B91A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Patate</w:t>
            </w:r>
          </w:p>
        </w:tc>
        <w:tc>
          <w:tcPr>
            <w:tcW w:w="1003" w:type="pct"/>
            <w:vAlign w:val="bottom"/>
          </w:tcPr>
          <w:p w14:paraId="79A6F6E7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616</w:t>
            </w:r>
          </w:p>
        </w:tc>
        <w:tc>
          <w:tcPr>
            <w:tcW w:w="1003" w:type="pct"/>
            <w:noWrap/>
            <w:vAlign w:val="bottom"/>
            <w:hideMark/>
          </w:tcPr>
          <w:p w14:paraId="155B01AB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1,3%</w:t>
            </w:r>
          </w:p>
        </w:tc>
        <w:tc>
          <w:tcPr>
            <w:tcW w:w="1001" w:type="pct"/>
            <w:noWrap/>
            <w:vAlign w:val="bottom"/>
            <w:hideMark/>
          </w:tcPr>
          <w:p w14:paraId="5F5BB970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5%</w:t>
            </w:r>
          </w:p>
        </w:tc>
      </w:tr>
      <w:tr w:rsidR="00854F81" w:rsidRPr="00772292" w14:paraId="3EDDFD32" w14:textId="77777777" w:rsidTr="0037379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79CEF919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Frutta e agrumi</w:t>
            </w:r>
          </w:p>
        </w:tc>
        <w:tc>
          <w:tcPr>
            <w:tcW w:w="1003" w:type="pct"/>
            <w:vAlign w:val="bottom"/>
          </w:tcPr>
          <w:p w14:paraId="14372E85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4.600</w:t>
            </w:r>
          </w:p>
        </w:tc>
        <w:tc>
          <w:tcPr>
            <w:tcW w:w="1003" w:type="pct"/>
            <w:noWrap/>
            <w:vAlign w:val="bottom"/>
            <w:hideMark/>
          </w:tcPr>
          <w:p w14:paraId="2400504D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9,8%</w:t>
            </w:r>
          </w:p>
        </w:tc>
        <w:tc>
          <w:tcPr>
            <w:tcW w:w="1001" w:type="pct"/>
            <w:noWrap/>
            <w:vAlign w:val="bottom"/>
            <w:hideMark/>
          </w:tcPr>
          <w:p w14:paraId="3B15655A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16%</w:t>
            </w:r>
          </w:p>
        </w:tc>
      </w:tr>
      <w:tr w:rsidR="00854F81" w:rsidRPr="00772292" w14:paraId="7F75397C" w14:textId="77777777" w:rsidTr="003737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65473649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Vitivinicoltura</w:t>
            </w:r>
          </w:p>
        </w:tc>
        <w:tc>
          <w:tcPr>
            <w:tcW w:w="1003" w:type="pct"/>
            <w:vAlign w:val="bottom"/>
          </w:tcPr>
          <w:p w14:paraId="77FA8787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9.456</w:t>
            </w:r>
          </w:p>
        </w:tc>
        <w:tc>
          <w:tcPr>
            <w:tcW w:w="1003" w:type="pct"/>
            <w:noWrap/>
            <w:vAlign w:val="bottom"/>
            <w:hideMark/>
          </w:tcPr>
          <w:p w14:paraId="612E2D4B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20,1%</w:t>
            </w:r>
          </w:p>
        </w:tc>
        <w:tc>
          <w:tcPr>
            <w:tcW w:w="1001" w:type="pct"/>
            <w:noWrap/>
            <w:vAlign w:val="bottom"/>
            <w:hideMark/>
          </w:tcPr>
          <w:p w14:paraId="438C7BC6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34%</w:t>
            </w:r>
          </w:p>
        </w:tc>
      </w:tr>
      <w:tr w:rsidR="00854F81" w:rsidRPr="00772292" w14:paraId="26FB42C5" w14:textId="77777777" w:rsidTr="0037379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4F2B5317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Olivicoltura</w:t>
            </w:r>
          </w:p>
        </w:tc>
        <w:tc>
          <w:tcPr>
            <w:tcW w:w="1003" w:type="pct"/>
            <w:vAlign w:val="bottom"/>
          </w:tcPr>
          <w:p w14:paraId="4C1F7BBC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1.071</w:t>
            </w:r>
          </w:p>
        </w:tc>
        <w:tc>
          <w:tcPr>
            <w:tcW w:w="1003" w:type="pct"/>
            <w:noWrap/>
            <w:vAlign w:val="bottom"/>
            <w:hideMark/>
          </w:tcPr>
          <w:p w14:paraId="6EDAC817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2,3%</w:t>
            </w:r>
          </w:p>
        </w:tc>
        <w:tc>
          <w:tcPr>
            <w:tcW w:w="1001" w:type="pct"/>
            <w:noWrap/>
            <w:vAlign w:val="bottom"/>
            <w:hideMark/>
          </w:tcPr>
          <w:p w14:paraId="5A3B10AA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25%</w:t>
            </w:r>
          </w:p>
        </w:tc>
      </w:tr>
      <w:tr w:rsidR="00854F81" w:rsidRPr="00772292" w14:paraId="132AFEBB" w14:textId="77777777" w:rsidTr="003737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</w:tcPr>
          <w:p w14:paraId="103D4075" w14:textId="77777777" w:rsidR="00854F81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00010F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Altre coltivazioni</w:t>
            </w:r>
          </w:p>
        </w:tc>
        <w:tc>
          <w:tcPr>
            <w:tcW w:w="1003" w:type="pct"/>
            <w:vAlign w:val="bottom"/>
          </w:tcPr>
          <w:p w14:paraId="18DE8785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398</w:t>
            </w:r>
          </w:p>
        </w:tc>
        <w:tc>
          <w:tcPr>
            <w:tcW w:w="1003" w:type="pct"/>
            <w:noWrap/>
            <w:vAlign w:val="bottom"/>
          </w:tcPr>
          <w:p w14:paraId="2C01C9F1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0,8%</w:t>
            </w:r>
          </w:p>
        </w:tc>
        <w:tc>
          <w:tcPr>
            <w:tcW w:w="1001" w:type="pct"/>
            <w:noWrap/>
            <w:vAlign w:val="bottom"/>
          </w:tcPr>
          <w:p w14:paraId="5BACE71C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13%</w:t>
            </w:r>
          </w:p>
        </w:tc>
      </w:tr>
      <w:tr w:rsidR="00854F81" w:rsidRPr="00772292" w14:paraId="71B7C225" w14:textId="77777777" w:rsidTr="0037379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737B1270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lastRenderedPageBreak/>
              <w:t>PRODOTTI ZOOTECNICI</w:t>
            </w: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, di cui:</w:t>
            </w:r>
          </w:p>
        </w:tc>
        <w:tc>
          <w:tcPr>
            <w:tcW w:w="1003" w:type="pct"/>
            <w:vAlign w:val="bottom"/>
          </w:tcPr>
          <w:p w14:paraId="537F4FF7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15.744</w:t>
            </w:r>
          </w:p>
        </w:tc>
        <w:tc>
          <w:tcPr>
            <w:tcW w:w="1003" w:type="pct"/>
            <w:noWrap/>
            <w:vAlign w:val="bottom"/>
            <w:hideMark/>
          </w:tcPr>
          <w:p w14:paraId="562BAB8B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33,4%</w:t>
            </w:r>
          </w:p>
        </w:tc>
        <w:tc>
          <w:tcPr>
            <w:tcW w:w="1001" w:type="pct"/>
            <w:noWrap/>
            <w:vAlign w:val="bottom"/>
            <w:hideMark/>
          </w:tcPr>
          <w:p w14:paraId="6460D427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9%</w:t>
            </w:r>
          </w:p>
        </w:tc>
      </w:tr>
      <w:tr w:rsidR="00854F81" w:rsidRPr="00772292" w14:paraId="162B43B4" w14:textId="77777777" w:rsidTr="003737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319FE773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Carni bovine</w:t>
            </w:r>
          </w:p>
        </w:tc>
        <w:tc>
          <w:tcPr>
            <w:tcW w:w="1003" w:type="pct"/>
            <w:vAlign w:val="bottom"/>
          </w:tcPr>
          <w:p w14:paraId="5E7EF0BB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2.979</w:t>
            </w:r>
          </w:p>
        </w:tc>
        <w:tc>
          <w:tcPr>
            <w:tcW w:w="1003" w:type="pct"/>
            <w:noWrap/>
            <w:vAlign w:val="bottom"/>
            <w:hideMark/>
          </w:tcPr>
          <w:p w14:paraId="46E61A7D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6,3%</w:t>
            </w:r>
          </w:p>
        </w:tc>
        <w:tc>
          <w:tcPr>
            <w:tcW w:w="1001" w:type="pct"/>
            <w:noWrap/>
            <w:vAlign w:val="bottom"/>
            <w:hideMark/>
          </w:tcPr>
          <w:p w14:paraId="0492FE1D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9%</w:t>
            </w:r>
          </w:p>
        </w:tc>
      </w:tr>
      <w:tr w:rsidR="00854F81" w:rsidRPr="00772292" w14:paraId="306F2AA7" w14:textId="77777777" w:rsidTr="0037379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14D10777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Carni suine</w:t>
            </w:r>
          </w:p>
        </w:tc>
        <w:tc>
          <w:tcPr>
            <w:tcW w:w="1003" w:type="pct"/>
            <w:vAlign w:val="bottom"/>
          </w:tcPr>
          <w:p w14:paraId="3218271D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3.032</w:t>
            </w:r>
          </w:p>
        </w:tc>
        <w:tc>
          <w:tcPr>
            <w:tcW w:w="1003" w:type="pct"/>
            <w:noWrap/>
            <w:vAlign w:val="bottom"/>
            <w:hideMark/>
          </w:tcPr>
          <w:p w14:paraId="63A156EE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6,4%</w:t>
            </w:r>
          </w:p>
        </w:tc>
        <w:tc>
          <w:tcPr>
            <w:tcW w:w="1001" w:type="pct"/>
            <w:noWrap/>
            <w:vAlign w:val="bottom"/>
            <w:hideMark/>
          </w:tcPr>
          <w:p w14:paraId="3F90C8AB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8%</w:t>
            </w:r>
          </w:p>
        </w:tc>
      </w:tr>
      <w:tr w:rsidR="00854F81" w:rsidRPr="00772292" w14:paraId="2AB95EE5" w14:textId="77777777" w:rsidTr="003737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33C41D0A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Carni ovicaprine</w:t>
            </w:r>
          </w:p>
        </w:tc>
        <w:tc>
          <w:tcPr>
            <w:tcW w:w="1003" w:type="pct"/>
            <w:vAlign w:val="bottom"/>
          </w:tcPr>
          <w:p w14:paraId="059AD058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163</w:t>
            </w:r>
          </w:p>
        </w:tc>
        <w:tc>
          <w:tcPr>
            <w:tcW w:w="1003" w:type="pct"/>
            <w:noWrap/>
            <w:vAlign w:val="bottom"/>
            <w:hideMark/>
          </w:tcPr>
          <w:p w14:paraId="1F376CEE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0,3%</w:t>
            </w:r>
          </w:p>
        </w:tc>
        <w:tc>
          <w:tcPr>
            <w:tcW w:w="1001" w:type="pct"/>
            <w:noWrap/>
            <w:vAlign w:val="bottom"/>
            <w:hideMark/>
          </w:tcPr>
          <w:p w14:paraId="2C5A9957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3%</w:t>
            </w:r>
          </w:p>
        </w:tc>
      </w:tr>
      <w:tr w:rsidR="00854F81" w:rsidRPr="00772292" w14:paraId="7EC92672" w14:textId="77777777" w:rsidTr="0037379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247A4B30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Pollame</w:t>
            </w:r>
          </w:p>
        </w:tc>
        <w:tc>
          <w:tcPr>
            <w:tcW w:w="1003" w:type="pct"/>
            <w:vAlign w:val="bottom"/>
          </w:tcPr>
          <w:p w14:paraId="02A33BAB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2.501</w:t>
            </w:r>
          </w:p>
        </w:tc>
        <w:tc>
          <w:tcPr>
            <w:tcW w:w="1003" w:type="pct"/>
            <w:noWrap/>
            <w:vAlign w:val="bottom"/>
            <w:hideMark/>
          </w:tcPr>
          <w:p w14:paraId="4B34D0AF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5,3%</w:t>
            </w:r>
          </w:p>
        </w:tc>
        <w:tc>
          <w:tcPr>
            <w:tcW w:w="1001" w:type="pct"/>
            <w:noWrap/>
            <w:vAlign w:val="bottom"/>
            <w:hideMark/>
          </w:tcPr>
          <w:p w14:paraId="4436A0F1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11%</w:t>
            </w:r>
          </w:p>
        </w:tc>
      </w:tr>
      <w:tr w:rsidR="00854F81" w:rsidRPr="00772292" w14:paraId="1042E50F" w14:textId="77777777" w:rsidTr="003737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05D4EF02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Latte</w:t>
            </w:r>
          </w:p>
        </w:tc>
        <w:tc>
          <w:tcPr>
            <w:tcW w:w="1003" w:type="pct"/>
            <w:vAlign w:val="bottom"/>
          </w:tcPr>
          <w:p w14:paraId="54E1E27D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4.859</w:t>
            </w:r>
          </w:p>
        </w:tc>
        <w:tc>
          <w:tcPr>
            <w:tcW w:w="1003" w:type="pct"/>
            <w:noWrap/>
            <w:vAlign w:val="bottom"/>
            <w:hideMark/>
          </w:tcPr>
          <w:p w14:paraId="78BAA92D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10,3%</w:t>
            </w:r>
          </w:p>
        </w:tc>
        <w:tc>
          <w:tcPr>
            <w:tcW w:w="1001" w:type="pct"/>
            <w:noWrap/>
            <w:vAlign w:val="bottom"/>
            <w:hideMark/>
          </w:tcPr>
          <w:p w14:paraId="2BF92666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8%</w:t>
            </w:r>
          </w:p>
        </w:tc>
      </w:tr>
      <w:tr w:rsidR="00854F81" w:rsidRPr="00772292" w14:paraId="340C43AF" w14:textId="77777777" w:rsidTr="0037379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  <w:hideMark/>
          </w:tcPr>
          <w:p w14:paraId="715A274B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772292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Uova</w:t>
            </w:r>
          </w:p>
        </w:tc>
        <w:tc>
          <w:tcPr>
            <w:tcW w:w="1003" w:type="pct"/>
            <w:vAlign w:val="bottom"/>
          </w:tcPr>
          <w:p w14:paraId="2AA266F4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1.349</w:t>
            </w:r>
          </w:p>
        </w:tc>
        <w:tc>
          <w:tcPr>
            <w:tcW w:w="1003" w:type="pct"/>
            <w:noWrap/>
            <w:vAlign w:val="bottom"/>
            <w:hideMark/>
          </w:tcPr>
          <w:p w14:paraId="3354581D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2,9%</w:t>
            </w:r>
          </w:p>
        </w:tc>
        <w:tc>
          <w:tcPr>
            <w:tcW w:w="1001" w:type="pct"/>
            <w:noWrap/>
            <w:vAlign w:val="bottom"/>
            <w:hideMark/>
          </w:tcPr>
          <w:p w14:paraId="45C51039" w14:textId="77777777" w:rsidR="00854F81" w:rsidRPr="00772292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13%</w:t>
            </w:r>
          </w:p>
        </w:tc>
      </w:tr>
      <w:tr w:rsidR="00854F81" w:rsidRPr="00772292" w14:paraId="671835B7" w14:textId="77777777" w:rsidTr="003737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</w:tcPr>
          <w:p w14:paraId="558D5668" w14:textId="77777777" w:rsidR="00854F81" w:rsidRPr="00772292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 w:rsidRPr="0000010F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 xml:space="preserve">Altri prodotti </w:t>
            </w:r>
            <w:proofErr w:type="spellStart"/>
            <w:r w:rsidRPr="0000010F"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zotecnici</w:t>
            </w:r>
            <w:proofErr w:type="spellEnd"/>
          </w:p>
        </w:tc>
        <w:tc>
          <w:tcPr>
            <w:tcW w:w="1003" w:type="pct"/>
            <w:vAlign w:val="bottom"/>
          </w:tcPr>
          <w:p w14:paraId="2A38B8B6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862</w:t>
            </w:r>
          </w:p>
        </w:tc>
        <w:tc>
          <w:tcPr>
            <w:tcW w:w="1003" w:type="pct"/>
            <w:noWrap/>
            <w:vAlign w:val="bottom"/>
          </w:tcPr>
          <w:p w14:paraId="5D12EB4B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1,8%</w:t>
            </w:r>
          </w:p>
        </w:tc>
        <w:tc>
          <w:tcPr>
            <w:tcW w:w="1001" w:type="pct"/>
            <w:noWrap/>
            <w:vAlign w:val="bottom"/>
          </w:tcPr>
          <w:p w14:paraId="39D97988" w14:textId="77777777" w:rsidR="00854F81" w:rsidRPr="00772292" w:rsidRDefault="00854F81" w:rsidP="0037379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Calibri" w:hAnsi="Calibri" w:cs="Calibri"/>
                <w:color w:val="000000"/>
              </w:rPr>
              <w:t>13%</w:t>
            </w:r>
          </w:p>
        </w:tc>
      </w:tr>
      <w:tr w:rsidR="00854F81" w:rsidRPr="00772292" w14:paraId="0129F781" w14:textId="77777777" w:rsidTr="0037379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3" w:type="pct"/>
            <w:noWrap/>
          </w:tcPr>
          <w:p w14:paraId="26D1891F" w14:textId="77777777" w:rsidR="00854F81" w:rsidRPr="0000010F" w:rsidRDefault="00854F81" w:rsidP="00373790">
            <w:pP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eastAsia="it-IT"/>
              </w:rPr>
              <w:t>Totale</w:t>
            </w:r>
          </w:p>
        </w:tc>
        <w:tc>
          <w:tcPr>
            <w:tcW w:w="1003" w:type="pct"/>
            <w:vAlign w:val="bottom"/>
          </w:tcPr>
          <w:p w14:paraId="4F86235B" w14:textId="77777777" w:rsidR="00854F81" w:rsidRPr="0000010F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b/>
                <w:color w:val="000000"/>
              </w:rPr>
            </w:pPr>
            <w:r w:rsidRPr="0000010F">
              <w:rPr>
                <w:rFonts w:ascii="Calibri" w:hAnsi="Calibri" w:cs="Calibri"/>
                <w:b/>
                <w:color w:val="000000"/>
              </w:rPr>
              <w:t>47.090</w:t>
            </w:r>
          </w:p>
        </w:tc>
        <w:tc>
          <w:tcPr>
            <w:tcW w:w="1003" w:type="pct"/>
            <w:noWrap/>
            <w:vAlign w:val="bottom"/>
          </w:tcPr>
          <w:p w14:paraId="680743A1" w14:textId="77777777" w:rsidR="00854F81" w:rsidRPr="00B57913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it-IT"/>
              </w:rPr>
            </w:pPr>
            <w:r w:rsidRPr="00B57913">
              <w:rPr>
                <w:rFonts w:ascii="Calibri" w:hAnsi="Calibri" w:cs="Calibri"/>
                <w:b/>
                <w:color w:val="000000"/>
              </w:rPr>
              <w:t>100%</w:t>
            </w:r>
          </w:p>
        </w:tc>
        <w:tc>
          <w:tcPr>
            <w:tcW w:w="1001" w:type="pct"/>
            <w:noWrap/>
            <w:vAlign w:val="bottom"/>
          </w:tcPr>
          <w:p w14:paraId="79BA7511" w14:textId="77777777" w:rsidR="00854F81" w:rsidRPr="00B57913" w:rsidRDefault="00854F81" w:rsidP="0037379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it-IT"/>
              </w:rPr>
            </w:pPr>
            <w:r w:rsidRPr="00B57913">
              <w:rPr>
                <w:rFonts w:ascii="Calibri" w:hAnsi="Calibri" w:cs="Calibri"/>
                <w:b/>
                <w:color w:val="000000"/>
              </w:rPr>
              <w:t>12%</w:t>
            </w:r>
          </w:p>
        </w:tc>
      </w:tr>
    </w:tbl>
    <w:p w14:paraId="4208B9C0" w14:textId="77777777" w:rsidR="00854F81" w:rsidRDefault="00854F81" w:rsidP="00854F81">
      <w:pPr>
        <w:pStyle w:val="Fontetab-grafReport"/>
        <w:rPr>
          <w:sz w:val="20"/>
          <w:szCs w:val="20"/>
        </w:rPr>
      </w:pPr>
      <w:r w:rsidRPr="00C46B74">
        <w:rPr>
          <w:sz w:val="20"/>
          <w:szCs w:val="20"/>
        </w:rPr>
        <w:t xml:space="preserve">Fonte: Elaborazioni su dati </w:t>
      </w:r>
      <w:r>
        <w:rPr>
          <w:sz w:val="20"/>
          <w:szCs w:val="20"/>
        </w:rPr>
        <w:t>Eurostat, CEA</w:t>
      </w:r>
    </w:p>
    <w:p w14:paraId="63CAC2D5" w14:textId="7720669D" w:rsidR="00854F81" w:rsidRPr="005E3A86" w:rsidRDefault="00854F81" w:rsidP="005E3A86">
      <w:pPr>
        <w:pStyle w:val="Titolofig"/>
      </w:pPr>
      <w:r w:rsidRPr="005E3A86">
        <w:t>Composizione della produzione a prezzi base in Italia</w:t>
      </w:r>
      <w:r w:rsidR="005E3A86" w:rsidRPr="005E3A86">
        <w:t xml:space="preserve"> nel 2018</w:t>
      </w:r>
      <w:r w:rsidRPr="005E3A86">
        <w:t>, valori correnti</w:t>
      </w:r>
    </w:p>
    <w:p w14:paraId="74A140A4" w14:textId="77777777" w:rsidR="00854F81" w:rsidRDefault="00854F81" w:rsidP="00854F81">
      <w:pPr>
        <w:pStyle w:val="Fontetab-grafReport"/>
        <w:rPr>
          <w:sz w:val="20"/>
          <w:szCs w:val="20"/>
        </w:rPr>
      </w:pPr>
      <w:r>
        <w:rPr>
          <w:noProof/>
        </w:rPr>
        <w:drawing>
          <wp:inline distT="0" distB="0" distL="0" distR="0" wp14:anchorId="789E4F72" wp14:editId="6C5AB0A3">
            <wp:extent cx="6105525" cy="2954655"/>
            <wp:effectExtent l="0" t="0" r="9525" b="17145"/>
            <wp:docPr id="4" name="Gra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6939B68E" w14:textId="77777777" w:rsidR="00854F81" w:rsidRDefault="00854F81" w:rsidP="00854F81">
      <w:pPr>
        <w:pStyle w:val="Fontetab-grafReport"/>
        <w:rPr>
          <w:sz w:val="20"/>
          <w:szCs w:val="20"/>
        </w:rPr>
      </w:pPr>
      <w:r w:rsidRPr="00C46B74">
        <w:rPr>
          <w:sz w:val="20"/>
          <w:szCs w:val="20"/>
        </w:rPr>
        <w:t xml:space="preserve">Fonte: Elaborazioni su dati </w:t>
      </w:r>
      <w:r>
        <w:rPr>
          <w:sz w:val="20"/>
          <w:szCs w:val="20"/>
        </w:rPr>
        <w:t>Eurostat, CEA</w:t>
      </w:r>
    </w:p>
    <w:p w14:paraId="661D63D7" w14:textId="1CEFE686" w:rsidR="00854F81" w:rsidRPr="00245EF3" w:rsidRDefault="00854F81" w:rsidP="005E3A86">
      <w:pPr>
        <w:pStyle w:val="Titolofig"/>
      </w:pPr>
      <w:r w:rsidRPr="00245EF3">
        <w:t>Composizione della produzione a prezzi base nell’U</w:t>
      </w:r>
      <w:r w:rsidR="004606F3">
        <w:t>E-</w:t>
      </w:r>
      <w:r w:rsidRPr="00245EF3">
        <w:t>28</w:t>
      </w:r>
      <w:r w:rsidR="005E3A86">
        <w:t xml:space="preserve"> nel 2018</w:t>
      </w:r>
      <w:r w:rsidRPr="00245EF3">
        <w:t>, valori correnti</w:t>
      </w:r>
    </w:p>
    <w:p w14:paraId="108C0B6C" w14:textId="77777777" w:rsidR="00854F81" w:rsidRDefault="00854F81" w:rsidP="00854F81">
      <w:pPr>
        <w:pStyle w:val="Fontetab-grafReport"/>
        <w:rPr>
          <w:sz w:val="20"/>
          <w:szCs w:val="20"/>
        </w:rPr>
      </w:pPr>
      <w:r>
        <w:rPr>
          <w:noProof/>
        </w:rPr>
        <w:drawing>
          <wp:inline distT="0" distB="0" distL="0" distR="0" wp14:anchorId="6E375087" wp14:editId="1B246B1F">
            <wp:extent cx="6029325" cy="2967990"/>
            <wp:effectExtent l="0" t="0" r="9525" b="3810"/>
            <wp:docPr id="5" name="Gra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679ED951" w14:textId="77777777" w:rsidR="00854F81" w:rsidRDefault="00854F81" w:rsidP="00854F81">
      <w:pPr>
        <w:pStyle w:val="Fontetab-grafReport"/>
        <w:rPr>
          <w:sz w:val="20"/>
          <w:szCs w:val="20"/>
        </w:rPr>
      </w:pPr>
      <w:r w:rsidRPr="00C46B74">
        <w:rPr>
          <w:sz w:val="20"/>
          <w:szCs w:val="20"/>
        </w:rPr>
        <w:t xml:space="preserve">Fonte: Elaborazioni su dati </w:t>
      </w:r>
      <w:r>
        <w:rPr>
          <w:sz w:val="20"/>
          <w:szCs w:val="20"/>
        </w:rPr>
        <w:t>Eurostat, CEA</w:t>
      </w:r>
    </w:p>
    <w:p w14:paraId="5403E346" w14:textId="07B54367" w:rsidR="00854F81" w:rsidRPr="00245EF3" w:rsidRDefault="00854F81" w:rsidP="005E3A86">
      <w:pPr>
        <w:pStyle w:val="Titolofig"/>
      </w:pPr>
      <w:r>
        <w:lastRenderedPageBreak/>
        <w:t>Andamento</w:t>
      </w:r>
      <w:r w:rsidRPr="00245EF3">
        <w:t xml:space="preserve"> della produzione a prezzi base</w:t>
      </w:r>
      <w:r>
        <w:t xml:space="preserve"> a</w:t>
      </w:r>
      <w:r w:rsidRPr="00245EF3">
        <w:t xml:space="preserve"> valori </w:t>
      </w:r>
      <w:r>
        <w:t>correnti, 2007-2018 - Italia</w:t>
      </w:r>
    </w:p>
    <w:p w14:paraId="3432CF05" w14:textId="77777777" w:rsidR="00854F81" w:rsidRDefault="00854F81" w:rsidP="00854F81">
      <w:r>
        <w:rPr>
          <w:noProof/>
          <w:lang w:eastAsia="it-IT"/>
        </w:rPr>
        <w:drawing>
          <wp:inline distT="0" distB="0" distL="0" distR="0" wp14:anchorId="71CD9FA2" wp14:editId="78720D93">
            <wp:extent cx="6019137" cy="2854518"/>
            <wp:effectExtent l="0" t="0" r="1270" b="3175"/>
            <wp:docPr id="1" name="Gra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1C3CBD73" w14:textId="77777777" w:rsidR="00854F81" w:rsidRDefault="00854F81" w:rsidP="00854F81">
      <w:pPr>
        <w:pStyle w:val="Fontetab-grafReport"/>
        <w:keepNext/>
        <w:rPr>
          <w:sz w:val="20"/>
          <w:szCs w:val="20"/>
        </w:rPr>
      </w:pPr>
      <w:r>
        <w:t>Fonte: Elaborazioni su dati Istat,</w:t>
      </w:r>
      <w:r w:rsidRPr="00EA4465">
        <w:t xml:space="preserve"> </w:t>
      </w:r>
      <w:r>
        <w:t>Osservatori RRN-Ismea, Indicatori di competitività</w:t>
      </w:r>
      <w:r>
        <w:rPr>
          <w:sz w:val="20"/>
          <w:szCs w:val="20"/>
        </w:rPr>
        <w:t xml:space="preserve"> </w:t>
      </w:r>
      <w:hyperlink r:id="rId14" w:history="1">
        <w:r w:rsidRPr="00955B10">
          <w:rPr>
            <w:rStyle w:val="Collegamentoipertestuale"/>
            <w:sz w:val="20"/>
            <w:szCs w:val="20"/>
          </w:rPr>
          <w:t>http://www.ismeamercati.it/osservatori-rrn/indicatori-competitivita/agroalimentare/produzione-agricola-per-comparto</w:t>
        </w:r>
      </w:hyperlink>
      <w:r>
        <w:rPr>
          <w:sz w:val="20"/>
          <w:szCs w:val="20"/>
        </w:rPr>
        <w:t xml:space="preserve"> </w:t>
      </w:r>
    </w:p>
    <w:p w14:paraId="613C94F4" w14:textId="4FE76909" w:rsidR="00854F81" w:rsidRPr="00245EF3" w:rsidRDefault="00854F81" w:rsidP="005E3A86">
      <w:pPr>
        <w:pStyle w:val="Titolofig"/>
      </w:pPr>
      <w:r>
        <w:t>Andamento</w:t>
      </w:r>
      <w:r w:rsidRPr="00245EF3">
        <w:t xml:space="preserve"> della produzione a prezzi base</w:t>
      </w:r>
      <w:r>
        <w:t xml:space="preserve"> a</w:t>
      </w:r>
      <w:r w:rsidRPr="00245EF3">
        <w:t xml:space="preserve"> valori co</w:t>
      </w:r>
      <w:r>
        <w:t>stanti*, 2007-2018 - Italia</w:t>
      </w:r>
    </w:p>
    <w:p w14:paraId="6C2B4CF9" w14:textId="77777777" w:rsidR="00854F81" w:rsidRDefault="00854F81" w:rsidP="00854F81">
      <w:pPr>
        <w:keepNext/>
        <w:rPr>
          <w:b/>
        </w:rPr>
      </w:pPr>
      <w:r>
        <w:rPr>
          <w:noProof/>
          <w:lang w:eastAsia="it-IT"/>
        </w:rPr>
        <w:drawing>
          <wp:inline distT="0" distB="0" distL="0" distR="0" wp14:anchorId="4A7FA6D4" wp14:editId="1E2FF88C">
            <wp:extent cx="5963285" cy="2679589"/>
            <wp:effectExtent l="0" t="0" r="18415" b="6985"/>
            <wp:docPr id="6" name="Gra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5434E1B8" w14:textId="77777777" w:rsidR="00854F81" w:rsidRDefault="00854F81" w:rsidP="00854F81">
      <w:pPr>
        <w:pStyle w:val="Fontetab-grafReport"/>
        <w:keepNext/>
        <w:spacing w:after="0"/>
      </w:pPr>
      <w:r>
        <w:t>*valori concatenati anno di riferimento 2010</w:t>
      </w:r>
    </w:p>
    <w:p w14:paraId="0BC43407" w14:textId="77777777" w:rsidR="00854F81" w:rsidRDefault="00854F81" w:rsidP="00854F81">
      <w:pPr>
        <w:pStyle w:val="Fontetab-grafReport"/>
        <w:keepNext/>
        <w:spacing w:after="0"/>
        <w:rPr>
          <w:sz w:val="20"/>
          <w:szCs w:val="20"/>
        </w:rPr>
      </w:pPr>
      <w:r>
        <w:t>Fonte: Elaborazioni su dati Istat,</w:t>
      </w:r>
      <w:r w:rsidRPr="00EA4465">
        <w:t xml:space="preserve"> </w:t>
      </w:r>
      <w:r>
        <w:t xml:space="preserve">Osservatori RRN-Ismea, Indicatori di competitività </w:t>
      </w:r>
      <w:hyperlink r:id="rId16" w:history="1">
        <w:r w:rsidRPr="00955B10">
          <w:rPr>
            <w:rStyle w:val="Collegamentoipertestuale"/>
            <w:sz w:val="20"/>
            <w:szCs w:val="20"/>
          </w:rPr>
          <w:t>http://www.ismeamercati.it/osservatori-rrn/indicatori-competitivita/agroalimentare/produzione-agricola-per-comparto</w:t>
        </w:r>
      </w:hyperlink>
      <w:r>
        <w:rPr>
          <w:sz w:val="20"/>
          <w:szCs w:val="20"/>
        </w:rPr>
        <w:t xml:space="preserve"> </w:t>
      </w:r>
    </w:p>
    <w:p w14:paraId="010C9E67" w14:textId="77777777" w:rsidR="00854F81" w:rsidRDefault="00854F81" w:rsidP="00854F81"/>
    <w:p w14:paraId="5C258F30" w14:textId="7BB554F5" w:rsidR="00854F81" w:rsidRPr="006A691D" w:rsidRDefault="00854F81" w:rsidP="005E3A86">
      <w:pPr>
        <w:pStyle w:val="Titolofig"/>
        <w:rPr>
          <w:b w:val="0"/>
        </w:rPr>
      </w:pPr>
      <w:bookmarkStart w:id="3" w:name="_Ref20211818"/>
      <w:r w:rsidRPr="006A691D">
        <w:lastRenderedPageBreak/>
        <w:t>Composizione della produzione a prezzi base nelle regioni</w:t>
      </w:r>
      <w:r>
        <w:t xml:space="preserve"> nel 2018</w:t>
      </w:r>
      <w:r w:rsidRPr="006A691D">
        <w:t>, valori correnti</w:t>
      </w:r>
      <w:bookmarkEnd w:id="3"/>
    </w:p>
    <w:p w14:paraId="27F30001" w14:textId="77777777" w:rsidR="00854F81" w:rsidRPr="00231868" w:rsidRDefault="00854F81" w:rsidP="00854F81">
      <w:pPr>
        <w:keepNext/>
      </w:pPr>
      <w:r>
        <w:rPr>
          <w:noProof/>
          <w:lang w:eastAsia="it-IT"/>
        </w:rPr>
        <w:drawing>
          <wp:anchor distT="0" distB="0" distL="114300" distR="114300" simplePos="0" relativeHeight="251659264" behindDoc="0" locked="0" layoutInCell="1" allowOverlap="1" wp14:anchorId="315ECB0F" wp14:editId="1CA0BAC5">
            <wp:simplePos x="0" y="0"/>
            <wp:positionH relativeFrom="column">
              <wp:posOffset>2431914</wp:posOffset>
            </wp:positionH>
            <wp:positionV relativeFrom="paragraph">
              <wp:posOffset>277076</wp:posOffset>
            </wp:positionV>
            <wp:extent cx="1875600" cy="975600"/>
            <wp:effectExtent l="0" t="0" r="0" b="0"/>
            <wp:wrapNone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5600" cy="97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60288" behindDoc="0" locked="0" layoutInCell="1" allowOverlap="1" wp14:anchorId="5D29D382" wp14:editId="28A4080E">
            <wp:simplePos x="0" y="0"/>
            <wp:positionH relativeFrom="column">
              <wp:posOffset>3810</wp:posOffset>
            </wp:positionH>
            <wp:positionV relativeFrom="paragraph">
              <wp:posOffset>2987040</wp:posOffset>
            </wp:positionV>
            <wp:extent cx="1318895" cy="554990"/>
            <wp:effectExtent l="0" t="0" r="0" b="0"/>
            <wp:wrapNone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8895" cy="55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it-IT"/>
        </w:rPr>
        <w:drawing>
          <wp:inline distT="0" distB="0" distL="0" distR="0" wp14:anchorId="37D5D528" wp14:editId="215F31BB">
            <wp:extent cx="4001135" cy="3546282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018277" cy="356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D6449">
        <w:rPr>
          <w:noProof/>
          <w:lang w:eastAsia="it-IT"/>
        </w:rPr>
        <w:t xml:space="preserve"> </w:t>
      </w:r>
    </w:p>
    <w:p w14:paraId="3053E3F5" w14:textId="77777777" w:rsidR="00854F81" w:rsidRDefault="00854F81" w:rsidP="005E3A86">
      <w:pPr>
        <w:pStyle w:val="Fontetab-grafReport"/>
        <w:keepNext/>
        <w:rPr>
          <w:sz w:val="20"/>
          <w:szCs w:val="20"/>
        </w:rPr>
      </w:pPr>
      <w:r>
        <w:rPr>
          <w:color w:val="FF0000"/>
        </w:rPr>
        <w:t xml:space="preserve"> </w:t>
      </w:r>
      <w:r w:rsidRPr="00C46B74">
        <w:rPr>
          <w:sz w:val="20"/>
          <w:szCs w:val="20"/>
        </w:rPr>
        <w:t xml:space="preserve">Fonte: Elaborazioni su dati </w:t>
      </w:r>
      <w:r>
        <w:rPr>
          <w:sz w:val="20"/>
          <w:szCs w:val="20"/>
        </w:rPr>
        <w:t xml:space="preserve">Istat; </w:t>
      </w:r>
      <w:r>
        <w:t xml:space="preserve">Osservatori RRN-Ismea, Indicatori di competitività </w:t>
      </w:r>
      <w:hyperlink r:id="rId20" w:history="1">
        <w:r w:rsidRPr="00955B10">
          <w:rPr>
            <w:rStyle w:val="Collegamentoipertestuale"/>
            <w:sz w:val="20"/>
            <w:szCs w:val="20"/>
          </w:rPr>
          <w:t>http://www.ismeamercati.it/osservatori-rrn/indicatori-competitivita/agroalimentare/produzione-agricola-per-comparto</w:t>
        </w:r>
      </w:hyperlink>
      <w:r>
        <w:rPr>
          <w:sz w:val="20"/>
          <w:szCs w:val="20"/>
        </w:rPr>
        <w:t xml:space="preserve"> </w:t>
      </w:r>
    </w:p>
    <w:p w14:paraId="1D5CED52" w14:textId="5EEDCECF" w:rsidR="00854F81" w:rsidRDefault="001C0F61" w:rsidP="00854F81">
      <w:pPr>
        <w:pStyle w:val="Titolo2"/>
      </w:pPr>
      <w:bookmarkStart w:id="4" w:name="_Toc55998232"/>
      <w:r>
        <w:t>V</w:t>
      </w:r>
      <w:r w:rsidR="00854F81">
        <w:t xml:space="preserve">alore aggiunto </w:t>
      </w:r>
      <w:r>
        <w:t>e consumi intermedi</w:t>
      </w:r>
      <w:bookmarkEnd w:id="4"/>
    </w:p>
    <w:p w14:paraId="2773C02D" w14:textId="16FCC791" w:rsidR="00854F81" w:rsidRPr="00092552" w:rsidRDefault="00854F81" w:rsidP="00854F81">
      <w:pPr>
        <w:pStyle w:val="Paragrafoelenco"/>
        <w:numPr>
          <w:ilvl w:val="0"/>
          <w:numId w:val="9"/>
        </w:numPr>
        <w:ind w:left="284"/>
      </w:pPr>
      <w:bookmarkStart w:id="5" w:name="_Hlk55855442"/>
      <w:r>
        <w:rPr>
          <w:color w:val="000000" w:themeColor="text1"/>
        </w:rPr>
        <w:t xml:space="preserve">Rispetto alla media europea </w:t>
      </w:r>
      <w:r w:rsidRPr="00A90BEB">
        <w:rPr>
          <w:color w:val="000000" w:themeColor="text1"/>
        </w:rPr>
        <w:t>l’Italia si caratterizza per un’agricoltura</w:t>
      </w:r>
      <w:r>
        <w:rPr>
          <w:color w:val="000000" w:themeColor="text1"/>
        </w:rPr>
        <w:t xml:space="preserve"> a maggiore valore aggiunto:</w:t>
      </w:r>
      <w:r>
        <w:t xml:space="preserve"> i</w:t>
      </w:r>
      <w:r w:rsidRPr="00391919">
        <w:t>l valore aggiunto a prezzi base ha rappresentato nell’ultimo decennio mediamente il 57% della produzione agricola nazionale</w:t>
      </w:r>
      <w:r w:rsidR="004606F3">
        <w:rPr>
          <w:rFonts w:cstheme="minorHAnsi"/>
          <w:color w:val="000000" w:themeColor="text1"/>
        </w:rPr>
        <w:t xml:space="preserve">, mentre nello stesso periodo è solo del </w:t>
      </w:r>
      <w:r w:rsidRPr="00391919">
        <w:rPr>
          <w:rFonts w:cstheme="minorHAnsi"/>
          <w:color w:val="000000" w:themeColor="text1"/>
        </w:rPr>
        <w:t xml:space="preserve">41% </w:t>
      </w:r>
      <w:r w:rsidR="004606F3">
        <w:rPr>
          <w:rFonts w:cstheme="minorHAnsi"/>
          <w:color w:val="000000" w:themeColor="text1"/>
        </w:rPr>
        <w:t xml:space="preserve">in media </w:t>
      </w:r>
      <w:r w:rsidRPr="00391919">
        <w:rPr>
          <w:rFonts w:cstheme="minorHAnsi"/>
          <w:color w:val="000000" w:themeColor="text1"/>
        </w:rPr>
        <w:t>per l’UE a 28</w:t>
      </w:r>
      <w:r w:rsidRPr="00391919">
        <w:t>. Infatti,</w:t>
      </w:r>
      <w:r w:rsidRPr="00391919">
        <w:rPr>
          <w:rFonts w:cstheme="minorHAnsi"/>
          <w:color w:val="000000" w:themeColor="text1"/>
        </w:rPr>
        <w:t xml:space="preserve"> la maggior quota della produzione totale dell’UE a 28 è stata assorbita dai consumi intermedi</w:t>
      </w:r>
      <w:r>
        <w:rPr>
          <w:rFonts w:cstheme="minorHAnsi"/>
          <w:color w:val="000000" w:themeColor="text1"/>
        </w:rPr>
        <w:t>, cioè dai costi correnti</w:t>
      </w:r>
      <w:r w:rsidRPr="00391919">
        <w:rPr>
          <w:rFonts w:cstheme="minorHAnsi"/>
          <w:color w:val="000000" w:themeColor="text1"/>
        </w:rPr>
        <w:t xml:space="preserve"> </w:t>
      </w:r>
      <w:r w:rsidR="004606F3">
        <w:rPr>
          <w:rFonts w:cstheme="minorHAnsi"/>
          <w:color w:val="000000" w:themeColor="text1"/>
        </w:rPr>
        <w:t xml:space="preserve">che pesano per il </w:t>
      </w:r>
      <w:r w:rsidRPr="00391919">
        <w:rPr>
          <w:rFonts w:cstheme="minorHAnsi"/>
          <w:color w:val="000000" w:themeColor="text1"/>
        </w:rPr>
        <w:t>59% a fronte del 43% per l’Italia</w:t>
      </w:r>
      <w:r w:rsidR="005E3A86">
        <w:rPr>
          <w:rFonts w:cstheme="minorHAnsi"/>
          <w:color w:val="000000" w:themeColor="text1"/>
        </w:rPr>
        <w:t xml:space="preserve"> (figura 6)</w:t>
      </w:r>
      <w:r w:rsidRPr="00391919">
        <w:rPr>
          <w:rFonts w:cstheme="minorHAnsi"/>
          <w:color w:val="000000" w:themeColor="text1"/>
        </w:rPr>
        <w:t>.</w:t>
      </w:r>
      <w:r>
        <w:rPr>
          <w:rFonts w:cstheme="minorHAnsi"/>
          <w:color w:val="000000" w:themeColor="text1"/>
        </w:rPr>
        <w:t xml:space="preserve"> </w:t>
      </w:r>
    </w:p>
    <w:bookmarkEnd w:id="5"/>
    <w:p w14:paraId="1EA03B0B" w14:textId="5D226FC2" w:rsidR="00854F81" w:rsidRDefault="00854F81" w:rsidP="00854F81">
      <w:pPr>
        <w:pStyle w:val="Paragrafoelenco"/>
        <w:numPr>
          <w:ilvl w:val="0"/>
          <w:numId w:val="9"/>
        </w:numPr>
        <w:ind w:left="284"/>
      </w:pPr>
      <w:r w:rsidRPr="00391919">
        <w:rPr>
          <w:color w:val="000000" w:themeColor="text1"/>
        </w:rPr>
        <w:t xml:space="preserve">La minore incidenza dei consumi intermedi </w:t>
      </w:r>
      <w:r>
        <w:rPr>
          <w:color w:val="000000" w:themeColor="text1"/>
        </w:rPr>
        <w:t xml:space="preserve">rispetto all’UE </w:t>
      </w:r>
      <w:r w:rsidRPr="00391919">
        <w:rPr>
          <w:color w:val="000000" w:themeColor="text1"/>
        </w:rPr>
        <w:t xml:space="preserve">è da attribuire </w:t>
      </w:r>
      <w:r>
        <w:rPr>
          <w:color w:val="000000" w:themeColor="text1"/>
        </w:rPr>
        <w:t xml:space="preserve">principalmente </w:t>
      </w:r>
      <w:r w:rsidRPr="00391919">
        <w:rPr>
          <w:color w:val="000000" w:themeColor="text1"/>
        </w:rPr>
        <w:t>alla minore importanza del comparto zootecnico sul valore della produzione</w:t>
      </w:r>
      <w:r>
        <w:rPr>
          <w:color w:val="000000" w:themeColor="text1"/>
        </w:rPr>
        <w:t xml:space="preserve"> nazionale</w:t>
      </w:r>
      <w:r w:rsidRPr="00391919">
        <w:rPr>
          <w:color w:val="000000" w:themeColor="text1"/>
        </w:rPr>
        <w:t>.</w:t>
      </w:r>
      <w:r>
        <w:rPr>
          <w:color w:val="000000" w:themeColor="text1"/>
        </w:rPr>
        <w:t xml:space="preserve"> T</w:t>
      </w:r>
      <w:r w:rsidRPr="00FF1A40">
        <w:t xml:space="preserve">uttavia, </w:t>
      </w:r>
      <w:r>
        <w:t>date le differenze</w:t>
      </w:r>
      <w:r w:rsidRPr="00FF1A40">
        <w:t xml:space="preserve"> </w:t>
      </w:r>
      <w:r>
        <w:t>n</w:t>
      </w:r>
      <w:r w:rsidRPr="00FF1A40">
        <w:t>ella composizione produttiva</w:t>
      </w:r>
      <w:r>
        <w:t xml:space="preserve"> regionale</w:t>
      </w:r>
      <w:r w:rsidRPr="00FF1A40">
        <w:t xml:space="preserve">, l’incidenza </w:t>
      </w:r>
      <w:r>
        <w:t xml:space="preserve">dei consumi intermedi </w:t>
      </w:r>
      <w:r w:rsidRPr="00FF1A40">
        <w:t xml:space="preserve">sulla produzione </w:t>
      </w:r>
      <w:r>
        <w:t xml:space="preserve">(e specularmente del valore aggiunto) </w:t>
      </w:r>
      <w:r w:rsidRPr="00FF1A40">
        <w:t xml:space="preserve">è </w:t>
      </w:r>
      <w:r>
        <w:t>variabile</w:t>
      </w:r>
      <w:r w:rsidRPr="00FF1A40">
        <w:t xml:space="preserve"> </w:t>
      </w:r>
      <w:r w:rsidRPr="0020415F">
        <w:t>tra le regioni (</w:t>
      </w:r>
      <w:r w:rsidR="005E3A86">
        <w:t>cfr. Figura 7)</w:t>
      </w:r>
      <w:r w:rsidRPr="0020415F">
        <w:t xml:space="preserve"> e varia </w:t>
      </w:r>
      <w:r>
        <w:t xml:space="preserve">dal valore minimo di Trento e Bolzano e della Toscana (inferiore al 30%) al massimo di Marche, Lombardia e Friuli V.G. (54-55%). </w:t>
      </w:r>
    </w:p>
    <w:p w14:paraId="0D264158" w14:textId="08043B91" w:rsidR="00B203E7" w:rsidRDefault="006B5505" w:rsidP="00854F81">
      <w:pPr>
        <w:pStyle w:val="Paragrafoelenco"/>
        <w:numPr>
          <w:ilvl w:val="0"/>
          <w:numId w:val="9"/>
        </w:numPr>
        <w:ind w:left="284"/>
      </w:pPr>
      <w:bookmarkStart w:id="6" w:name="_Hlk55993561"/>
      <w:r>
        <w:t xml:space="preserve">Guardando al dettaglio dei consumi intermedi emerge </w:t>
      </w:r>
      <w:r w:rsidR="004606F3">
        <w:t>come</w:t>
      </w:r>
      <w:r>
        <w:t xml:space="preserve"> la principale voce di spesa </w:t>
      </w:r>
      <w:r w:rsidR="004606F3">
        <w:t xml:space="preserve">sia </w:t>
      </w:r>
      <w:r>
        <w:t xml:space="preserve">quella </w:t>
      </w:r>
      <w:r w:rsidR="00591E5C">
        <w:t>destinata</w:t>
      </w:r>
      <w:r>
        <w:t xml:space="preserve"> ai mangimi e alle spese per il bestiame, il cui peso è aumentato </w:t>
      </w:r>
      <w:r w:rsidR="00591E5C">
        <w:t xml:space="preserve">dal 26,3% nel 2007 </w:t>
      </w:r>
      <w:r>
        <w:t xml:space="preserve">al 27,5% nel 2018; la seconda voce di spesa </w:t>
      </w:r>
      <w:r w:rsidR="004606F3">
        <w:t>per</w:t>
      </w:r>
      <w:r>
        <w:t xml:space="preserve"> le aziende agricole è quella per i consumi energetici, che rappresenta il 14,2% del totale, quota che è leggermente cresciuta nel decennio; seguono reimpieghi, concimi, sementi e piantine</w:t>
      </w:r>
      <w:r w:rsidR="004606F3">
        <w:t xml:space="preserve"> e </w:t>
      </w:r>
      <w:r w:rsidR="00591E5C">
        <w:t>i</w:t>
      </w:r>
      <w:r>
        <w:t xml:space="preserve"> prodotti fitosanitari</w:t>
      </w:r>
      <w:bookmarkEnd w:id="6"/>
      <w:r w:rsidR="00591E5C">
        <w:t xml:space="preserve"> (cfr. Figura 8).</w:t>
      </w:r>
      <w:r>
        <w:t xml:space="preserve"> </w:t>
      </w:r>
    </w:p>
    <w:p w14:paraId="2E0F6AA9" w14:textId="21E5CC12" w:rsidR="009C27AA" w:rsidRDefault="009C27AA" w:rsidP="009C27AA"/>
    <w:p w14:paraId="07D29606" w14:textId="34D22299" w:rsidR="009C27AA" w:rsidRDefault="009C27AA" w:rsidP="009C27AA"/>
    <w:p w14:paraId="7C8606D1" w14:textId="3CC08BD1" w:rsidR="009C27AA" w:rsidRDefault="009C27AA" w:rsidP="009C27AA"/>
    <w:p w14:paraId="41C0AF8F" w14:textId="181BEA9A" w:rsidR="009C27AA" w:rsidRDefault="009C27AA" w:rsidP="009C27AA"/>
    <w:p w14:paraId="0203CDC5" w14:textId="66F9BE67" w:rsidR="009C27AA" w:rsidRDefault="009C27AA" w:rsidP="009C27AA"/>
    <w:p w14:paraId="160A6C56" w14:textId="28EACD7A" w:rsidR="009C27AA" w:rsidRDefault="009C27AA" w:rsidP="009C27AA"/>
    <w:p w14:paraId="14C8C676" w14:textId="77777777" w:rsidR="00854F81" w:rsidRDefault="00854F81" w:rsidP="00854F81"/>
    <w:p w14:paraId="7572629F" w14:textId="49802F01" w:rsidR="00854F81" w:rsidRDefault="00854F81" w:rsidP="005E3A86">
      <w:pPr>
        <w:pStyle w:val="Titolofig"/>
      </w:pPr>
      <w:r>
        <w:lastRenderedPageBreak/>
        <w:t>Composizione della produzione agricola a prezzi base a</w:t>
      </w:r>
      <w:r w:rsidRPr="00B8082E">
        <w:t xml:space="preserve"> valori correnti</w:t>
      </w:r>
      <w:r>
        <w:t>: Italia e UE a 28</w:t>
      </w:r>
    </w:p>
    <w:p w14:paraId="403E7216" w14:textId="77777777" w:rsidR="00854F81" w:rsidRDefault="00854F81" w:rsidP="00854F81">
      <w:pPr>
        <w:pStyle w:val="Fontetab-grafReport"/>
        <w:rPr>
          <w:sz w:val="20"/>
          <w:szCs w:val="20"/>
        </w:rPr>
      </w:pPr>
      <w:r>
        <w:rPr>
          <w:noProof/>
        </w:rPr>
        <w:drawing>
          <wp:inline distT="0" distB="0" distL="0" distR="0" wp14:anchorId="5C039060" wp14:editId="0FC68A9F">
            <wp:extent cx="6067425" cy="3038475"/>
            <wp:effectExtent l="0" t="0" r="9525" b="9525"/>
            <wp:docPr id="40" name="Grafico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36AB8771" w14:textId="77777777" w:rsidR="00854F81" w:rsidRDefault="00854F81" w:rsidP="00854F81">
      <w:pPr>
        <w:pStyle w:val="Fontetab-grafReport"/>
        <w:rPr>
          <w:sz w:val="20"/>
          <w:szCs w:val="20"/>
        </w:rPr>
      </w:pPr>
      <w:r w:rsidRPr="00C46B74">
        <w:rPr>
          <w:sz w:val="20"/>
          <w:szCs w:val="20"/>
        </w:rPr>
        <w:t xml:space="preserve">Fonte: Elaborazioni su dati </w:t>
      </w:r>
      <w:r>
        <w:rPr>
          <w:sz w:val="20"/>
          <w:szCs w:val="20"/>
        </w:rPr>
        <w:t>Eurostat, CEA</w:t>
      </w:r>
    </w:p>
    <w:p w14:paraId="6D77BE88" w14:textId="7FCF35D0" w:rsidR="00854F81" w:rsidRDefault="00854F81" w:rsidP="005E3A86">
      <w:pPr>
        <w:pStyle w:val="Titolofig"/>
      </w:pPr>
      <w:bookmarkStart w:id="7" w:name="_Ref20211402"/>
      <w:r>
        <w:t>Incidenza del valore aggiunto e dei consumi intermedi sulla produzione agricola a</w:t>
      </w:r>
      <w:r w:rsidRPr="00B8082E">
        <w:t xml:space="preserve"> valori correnti</w:t>
      </w:r>
      <w:r>
        <w:t xml:space="preserve"> nelle regioni italiane, 2018 - Italia</w:t>
      </w:r>
      <w:bookmarkEnd w:id="7"/>
    </w:p>
    <w:p w14:paraId="25D5685C" w14:textId="77777777" w:rsidR="00854F81" w:rsidRDefault="00854F81" w:rsidP="006B5505">
      <w:pPr>
        <w:pStyle w:val="Titolofig"/>
        <w:numPr>
          <w:ilvl w:val="0"/>
          <w:numId w:val="0"/>
        </w:numPr>
        <w:ind w:left="360"/>
      </w:pPr>
      <w:r>
        <w:rPr>
          <w:noProof/>
          <w:lang w:eastAsia="it-IT"/>
        </w:rPr>
        <w:drawing>
          <wp:anchor distT="0" distB="0" distL="114300" distR="114300" simplePos="0" relativeHeight="251661312" behindDoc="0" locked="0" layoutInCell="1" allowOverlap="1" wp14:anchorId="4EC09DC6" wp14:editId="4E718E9E">
            <wp:simplePos x="0" y="0"/>
            <wp:positionH relativeFrom="margin">
              <wp:align>left</wp:align>
            </wp:positionH>
            <wp:positionV relativeFrom="paragraph">
              <wp:posOffset>1874603</wp:posOffset>
            </wp:positionV>
            <wp:extent cx="1945532" cy="655314"/>
            <wp:effectExtent l="0" t="0" r="0" b="0"/>
            <wp:wrapNone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5532" cy="6553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it-IT"/>
        </w:rPr>
        <w:drawing>
          <wp:inline distT="0" distB="0" distL="0" distR="0" wp14:anchorId="75792D7E" wp14:editId="44D342C5">
            <wp:extent cx="1319288" cy="554990"/>
            <wp:effectExtent l="0" t="0" r="0" b="0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27278" cy="600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 wp14:anchorId="77B54D1D" wp14:editId="015C51AB">
            <wp:extent cx="3365770" cy="3118209"/>
            <wp:effectExtent l="0" t="0" r="6350" b="6350"/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387195" cy="3138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15C21" w14:textId="59773B85" w:rsidR="00854F81" w:rsidRDefault="00854F81" w:rsidP="00854F81">
      <w:pPr>
        <w:pStyle w:val="Fontetab-grafReport"/>
      </w:pPr>
      <w:r w:rsidRPr="00C46B74">
        <w:rPr>
          <w:sz w:val="20"/>
          <w:szCs w:val="20"/>
        </w:rPr>
        <w:t xml:space="preserve">Fonte: Elaborazioni su dati </w:t>
      </w:r>
      <w:r>
        <w:rPr>
          <w:sz w:val="20"/>
          <w:szCs w:val="20"/>
        </w:rPr>
        <w:t xml:space="preserve">Istat; </w:t>
      </w:r>
      <w:r>
        <w:t xml:space="preserve">Osservatori RRN-Ismea, Indicatori di competitività </w:t>
      </w:r>
      <w:hyperlink r:id="rId24" w:history="1">
        <w:r w:rsidRPr="00955B10">
          <w:rPr>
            <w:rStyle w:val="Collegamentoipertestuale"/>
          </w:rPr>
          <w:t>http://www.ismeamercati.it/osservatori-rrn/indicatori-competitivita/agroalimentare/produzione-consumi-intermedi-valore-aggiunto-agricolo</w:t>
        </w:r>
      </w:hyperlink>
      <w:r>
        <w:t xml:space="preserve"> </w:t>
      </w:r>
    </w:p>
    <w:p w14:paraId="4E3335A8" w14:textId="7BA34539" w:rsidR="00B203E7" w:rsidRDefault="006B5505" w:rsidP="006B5505">
      <w:pPr>
        <w:pStyle w:val="Titolofig"/>
      </w:pPr>
      <w:r>
        <w:lastRenderedPageBreak/>
        <w:t>Composizione dei consumi intermedi per voce di spesa nel 2007 e nel 2018 in Italia</w:t>
      </w:r>
    </w:p>
    <w:p w14:paraId="5BBFF2BA" w14:textId="3B93129B" w:rsidR="001C0F61" w:rsidRDefault="006B5505" w:rsidP="00854F81">
      <w:pPr>
        <w:pStyle w:val="Fontetab-grafReport"/>
      </w:pPr>
      <w:r>
        <w:rPr>
          <w:noProof/>
        </w:rPr>
        <w:drawing>
          <wp:inline distT="0" distB="0" distL="0" distR="0" wp14:anchorId="143D8EB7" wp14:editId="1898C41F">
            <wp:extent cx="5734051" cy="3357563"/>
            <wp:effectExtent l="0" t="0" r="0" b="14605"/>
            <wp:docPr id="12" name="Grafico 12">
              <a:extLst xmlns:a="http://schemas.openxmlformats.org/drawingml/2006/main">
                <a:ext uri="{FF2B5EF4-FFF2-40B4-BE49-F238E27FC236}">
                  <a16:creationId xmlns:a16="http://schemas.microsoft.com/office/drawing/2014/main" id="{7DF4B310-421E-4A92-9797-E04E3D94844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117FEADE" w14:textId="04785CFB" w:rsidR="006B5505" w:rsidRDefault="006B5505" w:rsidP="006B5505">
      <w:pPr>
        <w:pStyle w:val="Fontetab-grafReport"/>
      </w:pPr>
      <w:r w:rsidRPr="00C46B74">
        <w:rPr>
          <w:sz w:val="20"/>
          <w:szCs w:val="20"/>
        </w:rPr>
        <w:t xml:space="preserve">Fonte: Elaborazioni su dati </w:t>
      </w:r>
      <w:r>
        <w:rPr>
          <w:sz w:val="20"/>
          <w:szCs w:val="20"/>
        </w:rPr>
        <w:t xml:space="preserve">Istat; </w:t>
      </w:r>
      <w:r>
        <w:t xml:space="preserve">Osservatori RRN-Ismea, Indicatori di competitività </w:t>
      </w:r>
      <w:hyperlink r:id="rId26" w:history="1">
        <w:r w:rsidRPr="003B0D9D">
          <w:rPr>
            <w:rStyle w:val="Collegamentoipertestuale"/>
          </w:rPr>
          <w:t>http://www.ismeamercati.it/osservatori-rrn/indicatori-competitivita/agroalimentare/consumi-intermedi-agricoli</w:t>
        </w:r>
      </w:hyperlink>
    </w:p>
    <w:p w14:paraId="7AB464B2" w14:textId="6C9D244C" w:rsidR="001C0F61" w:rsidRDefault="001C0F61" w:rsidP="001C0F61">
      <w:pPr>
        <w:pStyle w:val="Titolo2"/>
      </w:pPr>
      <w:bookmarkStart w:id="8" w:name="_Toc55998233"/>
      <w:r>
        <w:t>Dinamiche della produzione, dei consumi intermedi e del valore aggiunto</w:t>
      </w:r>
      <w:bookmarkEnd w:id="8"/>
    </w:p>
    <w:p w14:paraId="1B85C846" w14:textId="1A960B8D" w:rsidR="001C0F61" w:rsidRDefault="001C0F61" w:rsidP="001C0F61">
      <w:pPr>
        <w:pStyle w:val="Paragrafoelenco"/>
        <w:numPr>
          <w:ilvl w:val="0"/>
          <w:numId w:val="9"/>
        </w:numPr>
        <w:ind w:left="284"/>
      </w:pPr>
      <w:r>
        <w:t>Nell’arco del periodo 2007-2018 il valore della produzione del</w:t>
      </w:r>
      <w:r w:rsidRPr="00076A76">
        <w:t xml:space="preserve">l’agricoltura </w:t>
      </w:r>
      <w:r>
        <w:t xml:space="preserve">italiana </w:t>
      </w:r>
      <w:r w:rsidRPr="00076A76">
        <w:t xml:space="preserve">(escludendo silvicoltura e pesca) ha registrato un aumento </w:t>
      </w:r>
      <w:r>
        <w:t xml:space="preserve">del 15% principalmente grazie a una dinamica crescente dei prezzi e in corrispondenza di volumi di produzione complessivamente in flessione (-0,8%). </w:t>
      </w:r>
      <w:r w:rsidRPr="004E397E">
        <w:t xml:space="preserve">La produzione in valore </w:t>
      </w:r>
      <w:r>
        <w:t>è cresciuta notevolmente fino al</w:t>
      </w:r>
      <w:r w:rsidRPr="004E397E">
        <w:t xml:space="preserve"> 2013, mentre negli ultimi anni l’andamento è stato </w:t>
      </w:r>
      <w:r w:rsidR="005022C4">
        <w:t xml:space="preserve">molto </w:t>
      </w:r>
      <w:r w:rsidRPr="004E397E">
        <w:t>altalenante</w:t>
      </w:r>
      <w:r w:rsidR="00222425">
        <w:t xml:space="preserve"> (cfr. Figura 9)</w:t>
      </w:r>
      <w:r w:rsidRPr="00E0237F">
        <w:t>.</w:t>
      </w:r>
    </w:p>
    <w:p w14:paraId="7660F6B9" w14:textId="0945E071" w:rsidR="001C0F61" w:rsidRDefault="001C0F61" w:rsidP="001C0F61">
      <w:pPr>
        <w:pStyle w:val="Paragrafoelenco"/>
        <w:numPr>
          <w:ilvl w:val="0"/>
          <w:numId w:val="9"/>
        </w:numPr>
        <w:ind w:left="284"/>
      </w:pPr>
      <w:r>
        <w:t>Il valore della produzione dei due principali comparti, le coltivazioni e gli allevamenti, è aumentato tra il 2007 e il 2018 rispettivamente dell’8% e del 9%, a prezzi correnti, mentre a prezzi costanti si osserva una tendenziale contrazione del valore delle coltivazioni a fronte di una sostanziale stabilità dei volumi produttivi della zootecnia. Più dinamici, sia a valori correnti sia costanti sono risultati i servizi di supporto e le attività secondarie; l</w:t>
      </w:r>
      <w:r w:rsidRPr="00387291">
        <w:t xml:space="preserve">a crescita delle attività secondarie ha avuto un impatto positivo sulla tenuta del valore aggiunto agricolo nazionale nell’ultimo decennio. </w:t>
      </w:r>
    </w:p>
    <w:p w14:paraId="7407D424" w14:textId="0FE4C518" w:rsidR="00222425" w:rsidRDefault="001C0F61" w:rsidP="001C0F61">
      <w:pPr>
        <w:pStyle w:val="Paragrafoelenco"/>
        <w:numPr>
          <w:ilvl w:val="0"/>
          <w:numId w:val="9"/>
        </w:numPr>
        <w:ind w:left="284"/>
      </w:pPr>
      <w:r>
        <w:t>Il valore aggiunto del settore agricolo nel 2018 è di oltre 10 punti superiore al valore del 2007 in termini correnti, mentre in termini costanti risulta sostanzialmente invariato</w:t>
      </w:r>
      <w:r w:rsidR="00CA514B">
        <w:t xml:space="preserve"> (cfr. Figura 9)</w:t>
      </w:r>
      <w:r>
        <w:t xml:space="preserve">. </w:t>
      </w:r>
    </w:p>
    <w:p w14:paraId="0E1CF5A3" w14:textId="0DCD3E81" w:rsidR="00222425" w:rsidRDefault="00222425" w:rsidP="00222425">
      <w:pPr>
        <w:pStyle w:val="Paragrafoelenco"/>
        <w:numPr>
          <w:ilvl w:val="0"/>
          <w:numId w:val="9"/>
        </w:numPr>
        <w:ind w:left="284"/>
      </w:pPr>
      <w:r>
        <w:t xml:space="preserve">Passando alle dinamiche dei consumi intermedi </w:t>
      </w:r>
      <w:r w:rsidR="005022C4">
        <w:t>totali dell’agricoltura</w:t>
      </w:r>
      <w:r>
        <w:t>, a fronte della crescita dei prezzi degli input correnti di produzione, le quantità impiegate sono diminuite nel decennio, come si evince dall’andamento dei consumi intermedi a valori costanti decrescente fino al 2015, con un leggero recupero nell’ultimo triennio</w:t>
      </w:r>
      <w:r w:rsidR="00CA514B">
        <w:t xml:space="preserve"> (cfr. Figura 10)</w:t>
      </w:r>
      <w:r>
        <w:t xml:space="preserve">. </w:t>
      </w:r>
    </w:p>
    <w:p w14:paraId="00E61A7C" w14:textId="1BE4ECD1" w:rsidR="001C0F61" w:rsidRDefault="00222425" w:rsidP="00AD2D13">
      <w:pPr>
        <w:pStyle w:val="Paragrafoelenco"/>
        <w:numPr>
          <w:ilvl w:val="0"/>
          <w:numId w:val="9"/>
        </w:numPr>
        <w:ind w:left="284"/>
      </w:pPr>
      <w:r>
        <w:t>Ad eccezione dei reimpieghi, tutte le altre voci di spesa considerate a prezzi correnti hanno avuto una dinamica crescente tra il 2007 e il 2018 (cfr. Figura 11).</w:t>
      </w:r>
    </w:p>
    <w:p w14:paraId="111FAD92" w14:textId="4B506173" w:rsidR="00854F81" w:rsidRDefault="00854F81" w:rsidP="005E3A86">
      <w:pPr>
        <w:pStyle w:val="Titolofig"/>
      </w:pPr>
      <w:r w:rsidRPr="00AF3886">
        <w:lastRenderedPageBreak/>
        <w:t>Evoluzione d</w:t>
      </w:r>
      <w:r>
        <w:t>ella</w:t>
      </w:r>
      <w:r w:rsidRPr="00AF3886">
        <w:t xml:space="preserve"> produzione e </w:t>
      </w:r>
      <w:r>
        <w:t xml:space="preserve">del </w:t>
      </w:r>
      <w:r w:rsidRPr="00AF3886">
        <w:t xml:space="preserve">valore aggiunto a prezzi correnti </w:t>
      </w:r>
      <w:r>
        <w:t xml:space="preserve">e costanti </w:t>
      </w:r>
      <w:r w:rsidRPr="00AF3886">
        <w:t xml:space="preserve">dell’agricoltura </w:t>
      </w:r>
      <w:r w:rsidRPr="00AF3886">
        <w:rPr>
          <w:vertAlign w:val="superscript"/>
        </w:rPr>
        <w:t xml:space="preserve">(1) </w:t>
      </w:r>
      <w:r>
        <w:t xml:space="preserve">2007-2018 </w:t>
      </w:r>
      <w:r w:rsidRPr="00AF3886">
        <w:t>(indice 2007=100)</w:t>
      </w:r>
      <w:r>
        <w:t xml:space="preserve"> – Italia</w:t>
      </w:r>
    </w:p>
    <w:p w14:paraId="075262F4" w14:textId="77777777" w:rsidR="00854F81" w:rsidRDefault="00854F81" w:rsidP="00854F81">
      <w:pPr>
        <w:pStyle w:val="Titolotab-grafReport"/>
        <w:numPr>
          <w:ilvl w:val="0"/>
          <w:numId w:val="0"/>
        </w:numPr>
      </w:pPr>
      <w:r>
        <w:rPr>
          <w:noProof/>
          <w:lang w:eastAsia="it-IT"/>
        </w:rPr>
        <w:drawing>
          <wp:inline distT="0" distB="0" distL="0" distR="0" wp14:anchorId="4DB5B19C" wp14:editId="4E6B991F">
            <wp:extent cx="2962526" cy="2690460"/>
            <wp:effectExtent l="19050" t="19050" r="9525" b="1524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092" cy="269460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 wp14:anchorId="10DE0B56" wp14:editId="3165AA40">
            <wp:extent cx="2956560" cy="2700655"/>
            <wp:effectExtent l="19050" t="19050" r="15240" b="23495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560" cy="27006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EAAE4DB" w14:textId="77777777" w:rsidR="00854F81" w:rsidRPr="004E397E" w:rsidRDefault="00854F81" w:rsidP="00854F81">
      <w:pPr>
        <w:rPr>
          <w:sz w:val="18"/>
          <w:szCs w:val="18"/>
        </w:rPr>
      </w:pPr>
      <w:r w:rsidRPr="001C51E7">
        <w:rPr>
          <w:vertAlign w:val="superscript"/>
        </w:rPr>
        <w:t xml:space="preserve"> (1)</w:t>
      </w:r>
      <w:r>
        <w:t xml:space="preserve"> </w:t>
      </w:r>
      <w:r w:rsidRPr="004E397E">
        <w:rPr>
          <w:sz w:val="18"/>
          <w:szCs w:val="18"/>
        </w:rPr>
        <w:t>produzioni vegetali e animali, caccia e servizi connessi</w:t>
      </w:r>
    </w:p>
    <w:p w14:paraId="7D1AAAED" w14:textId="77777777" w:rsidR="00854F81" w:rsidRDefault="00854F81" w:rsidP="00854F81">
      <w:pPr>
        <w:pStyle w:val="Fontetab-grafReport"/>
        <w:rPr>
          <w:sz w:val="20"/>
          <w:szCs w:val="20"/>
        </w:rPr>
      </w:pPr>
      <w:r w:rsidRPr="00C46B74">
        <w:rPr>
          <w:sz w:val="20"/>
          <w:szCs w:val="20"/>
        </w:rPr>
        <w:t xml:space="preserve">Fonte: Elaborazioni su dati </w:t>
      </w:r>
      <w:r>
        <w:rPr>
          <w:sz w:val="20"/>
          <w:szCs w:val="20"/>
        </w:rPr>
        <w:t xml:space="preserve">Istat; </w:t>
      </w:r>
      <w:r w:rsidRPr="00E33ED3">
        <w:t>Osservatori RRN-Ismea, Indicatori di competitività</w:t>
      </w:r>
      <w:r>
        <w:t xml:space="preserve"> </w:t>
      </w:r>
      <w:hyperlink r:id="rId29" w:history="1">
        <w:r w:rsidRPr="00955B10">
          <w:rPr>
            <w:rStyle w:val="Collegamentoipertestuale"/>
          </w:rPr>
          <w:t>http://www.ismeamercati.it/osservatori-rrn/indicatori-competitivita/agroalimentare/produzione-consumi-intermedi-valore-aggiunto-agricolo</w:t>
        </w:r>
      </w:hyperlink>
      <w:r>
        <w:t xml:space="preserve"> </w:t>
      </w:r>
    </w:p>
    <w:p w14:paraId="031C5298" w14:textId="07412CD0" w:rsidR="00854F81" w:rsidRDefault="00854F81" w:rsidP="005E3A86">
      <w:pPr>
        <w:pStyle w:val="Titolofig"/>
      </w:pPr>
      <w:bookmarkStart w:id="9" w:name="_Hlk55994528"/>
      <w:r w:rsidRPr="007F4F7A">
        <w:t>Andamento dei consumi intermedi</w:t>
      </w:r>
      <w:r>
        <w:t xml:space="preserve"> in Italia 2007-2018</w:t>
      </w:r>
      <w:r w:rsidRPr="007F4F7A">
        <w:t xml:space="preserve"> a valori correnti e costanti* (indice 2007=100)</w:t>
      </w:r>
      <w:r>
        <w:t xml:space="preserve"> – Italia</w:t>
      </w:r>
    </w:p>
    <w:p w14:paraId="70993482" w14:textId="77777777" w:rsidR="00854F81" w:rsidRPr="007F4F7A" w:rsidRDefault="00854F81" w:rsidP="00854F81">
      <w:pPr>
        <w:keepNext/>
        <w:rPr>
          <w:b/>
        </w:rPr>
      </w:pPr>
      <w:r>
        <w:rPr>
          <w:b/>
          <w:noProof/>
          <w:lang w:eastAsia="it-IT"/>
        </w:rPr>
        <w:drawing>
          <wp:inline distT="0" distB="0" distL="0" distR="0" wp14:anchorId="24412215" wp14:editId="21AA5663">
            <wp:extent cx="5887092" cy="2603749"/>
            <wp:effectExtent l="0" t="0" r="0" b="635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635" cy="2607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804E46" w14:textId="77777777" w:rsidR="00854F81" w:rsidRPr="004E397E" w:rsidRDefault="00854F81" w:rsidP="00854F81">
      <w:pPr>
        <w:pStyle w:val="Fontetabellagrafico"/>
        <w:spacing w:after="0"/>
      </w:pPr>
      <w:r w:rsidRPr="004E397E">
        <w:t>*valori concatenati anno di riferimento 2010</w:t>
      </w:r>
      <w:r>
        <w:t>.</w:t>
      </w:r>
    </w:p>
    <w:p w14:paraId="254D7099" w14:textId="15E39AA1" w:rsidR="00857081" w:rsidRPr="007A5405" w:rsidRDefault="00854F81" w:rsidP="005E3A86">
      <w:pPr>
        <w:pStyle w:val="Pidipagina"/>
        <w:jc w:val="left"/>
        <w:rPr>
          <w:b/>
          <w:i/>
          <w:iCs/>
          <w:sz w:val="18"/>
          <w:szCs w:val="18"/>
        </w:rPr>
      </w:pPr>
      <w:r w:rsidRPr="007A5405">
        <w:rPr>
          <w:i/>
          <w:iCs/>
          <w:sz w:val="18"/>
          <w:szCs w:val="18"/>
        </w:rPr>
        <w:t xml:space="preserve">Fonte: Elaborazioni su dati Istat, Osservatori RRN-Ismea, Indicatori di competitività </w:t>
      </w:r>
      <w:hyperlink r:id="rId31" w:history="1">
        <w:r w:rsidRPr="007A5405">
          <w:rPr>
            <w:i/>
            <w:iCs/>
            <w:sz w:val="18"/>
            <w:szCs w:val="18"/>
          </w:rPr>
          <w:t>http://www.ismeamercati.it/osservatori-rrn/indicatori-competitivita/agroalimentare/produzione-consumi-intermedi-valore-aggiunto-agricolo</w:t>
        </w:r>
      </w:hyperlink>
      <w:r w:rsidR="005022C4">
        <w:rPr>
          <w:i/>
          <w:iCs/>
          <w:sz w:val="18"/>
          <w:szCs w:val="18"/>
        </w:rPr>
        <w:t xml:space="preserve"> </w:t>
      </w:r>
    </w:p>
    <w:bookmarkEnd w:id="9"/>
    <w:p w14:paraId="4C1D7C2A" w14:textId="77777777" w:rsidR="00857081" w:rsidRDefault="00857081" w:rsidP="006969C7">
      <w:pPr>
        <w:pStyle w:val="Pidipagina"/>
        <w:jc w:val="center"/>
        <w:rPr>
          <w:b/>
          <w:sz w:val="20"/>
          <w:szCs w:val="18"/>
        </w:rPr>
      </w:pPr>
    </w:p>
    <w:p w14:paraId="2BB8BB40" w14:textId="409A2DF8" w:rsidR="00CA514B" w:rsidRPr="0033475E" w:rsidRDefault="00CA514B" w:rsidP="00CA514B">
      <w:pPr>
        <w:pStyle w:val="Titolofig"/>
      </w:pPr>
      <w:r>
        <w:lastRenderedPageBreak/>
        <w:t>Var</w:t>
      </w:r>
      <w:r w:rsidR="00292B17">
        <w:t>iazione</w:t>
      </w:r>
      <w:r>
        <w:t xml:space="preserve"> dei consumi intermedi a prezzi correnti </w:t>
      </w:r>
      <w:r w:rsidR="00292B17">
        <w:t xml:space="preserve">e costanti </w:t>
      </w:r>
      <w:r>
        <w:t>per voce di spesa</w:t>
      </w:r>
      <w:r w:rsidR="00292B17">
        <w:t xml:space="preserve"> (</w:t>
      </w:r>
      <w:proofErr w:type="spellStart"/>
      <w:r w:rsidR="00292B17">
        <w:t>var</w:t>
      </w:r>
      <w:proofErr w:type="spellEnd"/>
      <w:r w:rsidR="00292B17">
        <w:t xml:space="preserve"> %, 2018/2007)</w:t>
      </w:r>
    </w:p>
    <w:p w14:paraId="68F45838" w14:textId="23C0AA62" w:rsidR="00CA514B" w:rsidRDefault="00292B17" w:rsidP="00CA514B">
      <w:pPr>
        <w:pStyle w:val="Fontetabellagrafico"/>
        <w:ind w:left="284"/>
      </w:pPr>
      <w:r>
        <w:rPr>
          <w:noProof/>
        </w:rPr>
        <w:drawing>
          <wp:inline distT="0" distB="0" distL="0" distR="0" wp14:anchorId="315537F6" wp14:editId="2D50A159">
            <wp:extent cx="4572000" cy="2654300"/>
            <wp:effectExtent l="0" t="0" r="0" b="12700"/>
            <wp:docPr id="15" name="Grafico 15">
              <a:extLst xmlns:a="http://schemas.openxmlformats.org/drawingml/2006/main">
                <a:ext uri="{FF2B5EF4-FFF2-40B4-BE49-F238E27FC236}">
                  <a16:creationId xmlns:a16="http://schemas.microsoft.com/office/drawing/2014/main" id="{C1782E5A-93F2-4F7E-979D-2632DA9BD0C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00E9519C" w14:textId="77777777" w:rsidR="00CA514B" w:rsidRDefault="00CA514B" w:rsidP="00CA514B">
      <w:pPr>
        <w:pStyle w:val="Fontetabellagrafico"/>
        <w:ind w:left="284"/>
      </w:pPr>
      <w:r w:rsidRPr="00D84338">
        <w:t xml:space="preserve">Fonte: </w:t>
      </w:r>
      <w:r>
        <w:t>E</w:t>
      </w:r>
      <w:r w:rsidRPr="00D84338">
        <w:t xml:space="preserve">laborazioni su dati </w:t>
      </w:r>
      <w:r>
        <w:t xml:space="preserve">Istat, Conti economici della branca </w:t>
      </w:r>
      <w:proofErr w:type="gramStart"/>
      <w:r>
        <w:t xml:space="preserve">Agricoltura  </w:t>
      </w:r>
      <w:r w:rsidRPr="007A5405">
        <w:rPr>
          <w:i w:val="0"/>
          <w:iCs/>
          <w:sz w:val="18"/>
          <w:szCs w:val="18"/>
        </w:rPr>
        <w:t>Osservatori</w:t>
      </w:r>
      <w:proofErr w:type="gramEnd"/>
      <w:r w:rsidRPr="007A5405">
        <w:rPr>
          <w:i w:val="0"/>
          <w:iCs/>
          <w:sz w:val="18"/>
          <w:szCs w:val="18"/>
        </w:rPr>
        <w:t xml:space="preserve"> RRN-Ismea, Indicatori di competitività</w:t>
      </w:r>
      <w:r>
        <w:rPr>
          <w:i w:val="0"/>
          <w:iCs/>
          <w:sz w:val="18"/>
          <w:szCs w:val="18"/>
        </w:rPr>
        <w:t xml:space="preserve">, </w:t>
      </w:r>
      <w:r w:rsidRPr="00006C00">
        <w:t>http://www.ismeamercati.it/osservatori-rrn/indicatori-competitivita/agroalimentare/consumi-intermedi-agricoli</w:t>
      </w:r>
    </w:p>
    <w:p w14:paraId="5560504E" w14:textId="77777777" w:rsidR="00857081" w:rsidRDefault="00857081" w:rsidP="006969C7">
      <w:pPr>
        <w:pStyle w:val="Pidipagina"/>
        <w:jc w:val="center"/>
        <w:rPr>
          <w:b/>
          <w:sz w:val="20"/>
          <w:szCs w:val="18"/>
        </w:rPr>
      </w:pPr>
    </w:p>
    <w:p w14:paraId="6A1A4E2D" w14:textId="4946A994" w:rsidR="00857081" w:rsidRDefault="00857081" w:rsidP="006969C7">
      <w:pPr>
        <w:pStyle w:val="Pidipagina"/>
        <w:jc w:val="center"/>
        <w:rPr>
          <w:b/>
          <w:sz w:val="20"/>
          <w:szCs w:val="18"/>
        </w:rPr>
      </w:pPr>
    </w:p>
    <w:p w14:paraId="36E46902" w14:textId="06EE68F9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033DD47B" w14:textId="760D12C0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6E954610" w14:textId="6FADBD62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77475641" w14:textId="06C4ECFC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4BC42C47" w14:textId="3FE38A7E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1744D06E" w14:textId="45FCB878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0B3DA964" w14:textId="579813FB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004355EF" w14:textId="32446BD2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05E92166" w14:textId="5BB2FA34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5D2F2571" w14:textId="74BC3DEF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74A0EA83" w14:textId="4D2685E2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59EB0F9C" w14:textId="29C2ABB7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2C424F5E" w14:textId="06EB925B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165A724C" w14:textId="26DF7ACB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66768586" w14:textId="75E25E34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0844EC4D" w14:textId="5729FFBE" w:rsidR="00292B17" w:rsidRDefault="00292B17" w:rsidP="006969C7">
      <w:pPr>
        <w:pStyle w:val="Pidipagina"/>
        <w:jc w:val="center"/>
        <w:rPr>
          <w:b/>
          <w:sz w:val="20"/>
          <w:szCs w:val="18"/>
        </w:rPr>
      </w:pPr>
    </w:p>
    <w:p w14:paraId="0144F797" w14:textId="4DDB0DFB" w:rsidR="00292B17" w:rsidRDefault="00292B17" w:rsidP="006969C7">
      <w:pPr>
        <w:pStyle w:val="Pidipagina"/>
        <w:jc w:val="center"/>
        <w:rPr>
          <w:b/>
          <w:sz w:val="20"/>
          <w:szCs w:val="18"/>
        </w:rPr>
      </w:pPr>
    </w:p>
    <w:p w14:paraId="67B443E1" w14:textId="099CF10C" w:rsidR="00292B17" w:rsidRDefault="00292B17" w:rsidP="006969C7">
      <w:pPr>
        <w:pStyle w:val="Pidipagina"/>
        <w:jc w:val="center"/>
        <w:rPr>
          <w:b/>
          <w:sz w:val="20"/>
          <w:szCs w:val="18"/>
        </w:rPr>
      </w:pPr>
    </w:p>
    <w:p w14:paraId="64D818D2" w14:textId="513D2AB9" w:rsidR="00292B17" w:rsidRDefault="00292B17" w:rsidP="006969C7">
      <w:pPr>
        <w:pStyle w:val="Pidipagina"/>
        <w:jc w:val="center"/>
        <w:rPr>
          <w:b/>
          <w:sz w:val="20"/>
          <w:szCs w:val="18"/>
        </w:rPr>
      </w:pPr>
    </w:p>
    <w:p w14:paraId="329CCD68" w14:textId="4480CC39" w:rsidR="00292B17" w:rsidRDefault="00292B17" w:rsidP="006969C7">
      <w:pPr>
        <w:pStyle w:val="Pidipagina"/>
        <w:jc w:val="center"/>
        <w:rPr>
          <w:b/>
          <w:sz w:val="20"/>
          <w:szCs w:val="18"/>
        </w:rPr>
      </w:pPr>
    </w:p>
    <w:p w14:paraId="1C277E73" w14:textId="77777777" w:rsidR="00292B17" w:rsidRDefault="00292B17" w:rsidP="006969C7">
      <w:pPr>
        <w:pStyle w:val="Pidipagina"/>
        <w:jc w:val="center"/>
        <w:rPr>
          <w:b/>
          <w:sz w:val="20"/>
          <w:szCs w:val="18"/>
        </w:rPr>
      </w:pPr>
    </w:p>
    <w:p w14:paraId="0D7BA000" w14:textId="5AB5E0A9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0E78AA3C" w14:textId="4627766B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72F6D0AB" w14:textId="01B01C3F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5C38548F" w14:textId="7810CA37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372A8FC6" w14:textId="76DA7911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36636EB9" w14:textId="1F9B7844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2A618000" w14:textId="79785BC9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19661B6B" w14:textId="7D3692D6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31AC1A13" w14:textId="327107F8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354B905B" w14:textId="2EEDD60A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75391572" w14:textId="29F8B21F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44D624E8" w14:textId="6652A35B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0B51DA6A" w14:textId="5E34CDC0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2AC63643" w14:textId="77777777" w:rsidR="00854F81" w:rsidRDefault="00854F81" w:rsidP="006969C7">
      <w:pPr>
        <w:pStyle w:val="Pidipagina"/>
        <w:jc w:val="center"/>
        <w:rPr>
          <w:b/>
          <w:sz w:val="20"/>
          <w:szCs w:val="18"/>
        </w:rPr>
      </w:pPr>
    </w:p>
    <w:p w14:paraId="44196814" w14:textId="1DBA9BA3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1AF183EC" w14:textId="3E5EC80E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552D9A53" w14:textId="518648CE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27A3DAD5" w14:textId="540EE89B" w:rsidR="00F00F5B" w:rsidRDefault="00F00F5B" w:rsidP="006969C7">
      <w:pPr>
        <w:pStyle w:val="Pidipagina"/>
        <w:jc w:val="center"/>
        <w:rPr>
          <w:b/>
          <w:sz w:val="20"/>
          <w:szCs w:val="18"/>
        </w:rPr>
      </w:pPr>
    </w:p>
    <w:p w14:paraId="2F8041DC" w14:textId="77777777" w:rsidR="00292B17" w:rsidRDefault="00292B17" w:rsidP="006969C7">
      <w:pPr>
        <w:pStyle w:val="Pidipagina"/>
        <w:jc w:val="center"/>
        <w:rPr>
          <w:b/>
          <w:sz w:val="20"/>
          <w:szCs w:val="18"/>
        </w:rPr>
      </w:pPr>
    </w:p>
    <w:p w14:paraId="3F3506AA" w14:textId="77777777" w:rsidR="00292B17" w:rsidRDefault="00292B17" w:rsidP="006969C7">
      <w:pPr>
        <w:pStyle w:val="Pidipagina"/>
        <w:jc w:val="center"/>
        <w:rPr>
          <w:b/>
          <w:sz w:val="20"/>
          <w:szCs w:val="18"/>
        </w:rPr>
      </w:pPr>
    </w:p>
    <w:p w14:paraId="66975197" w14:textId="77777777" w:rsidR="00292B17" w:rsidRDefault="00292B17" w:rsidP="006969C7">
      <w:pPr>
        <w:pStyle w:val="Pidipagina"/>
        <w:jc w:val="center"/>
        <w:rPr>
          <w:b/>
          <w:sz w:val="20"/>
          <w:szCs w:val="18"/>
        </w:rPr>
      </w:pPr>
    </w:p>
    <w:p w14:paraId="1A49FC7F" w14:textId="704D753B" w:rsidR="006969C7" w:rsidRPr="006969C7" w:rsidRDefault="005A6145" w:rsidP="006969C7">
      <w:pPr>
        <w:pStyle w:val="Pidipagina"/>
        <w:jc w:val="center"/>
        <w:rPr>
          <w:b/>
          <w:sz w:val="20"/>
          <w:szCs w:val="18"/>
        </w:rPr>
      </w:pPr>
      <w:r>
        <w:rPr>
          <w:b/>
          <w:sz w:val="20"/>
          <w:szCs w:val="18"/>
        </w:rPr>
        <w:t>P</w:t>
      </w:r>
      <w:r w:rsidR="006969C7" w:rsidRPr="006969C7">
        <w:rPr>
          <w:b/>
          <w:sz w:val="20"/>
          <w:szCs w:val="18"/>
        </w:rPr>
        <w:t xml:space="preserve">ubblicazione realizzata con il contributo del </w:t>
      </w:r>
      <w:proofErr w:type="spellStart"/>
      <w:r w:rsidR="006969C7" w:rsidRPr="006969C7">
        <w:rPr>
          <w:b/>
          <w:sz w:val="20"/>
          <w:szCs w:val="18"/>
        </w:rPr>
        <w:t>Feasr</w:t>
      </w:r>
      <w:proofErr w:type="spellEnd"/>
      <w:r w:rsidR="006969C7" w:rsidRPr="006969C7">
        <w:rPr>
          <w:b/>
          <w:sz w:val="20"/>
          <w:szCs w:val="18"/>
        </w:rPr>
        <w:t xml:space="preserve"> (Fondo europeo agricolo per lo sviluppo rurale)</w:t>
      </w:r>
    </w:p>
    <w:p w14:paraId="3E727BBF" w14:textId="72E0A015" w:rsidR="00102578" w:rsidRDefault="006969C7" w:rsidP="006969C7">
      <w:pPr>
        <w:pStyle w:val="Pidipagina"/>
        <w:jc w:val="center"/>
        <w:rPr>
          <w:b/>
          <w:sz w:val="20"/>
          <w:szCs w:val="18"/>
        </w:rPr>
      </w:pPr>
      <w:r w:rsidRPr="006969C7">
        <w:rPr>
          <w:b/>
          <w:sz w:val="20"/>
          <w:szCs w:val="18"/>
        </w:rPr>
        <w:t>nell’ambito delle attività previste dal Programma Rete Rurale Nazionale 2014-2020</w:t>
      </w:r>
    </w:p>
    <w:p w14:paraId="2E6A4515" w14:textId="77777777" w:rsidR="006969C7" w:rsidRPr="00F407EB" w:rsidRDefault="006969C7" w:rsidP="006969C7">
      <w:pPr>
        <w:pStyle w:val="Pidipagina"/>
        <w:jc w:val="center"/>
        <w:rPr>
          <w:sz w:val="20"/>
          <w:szCs w:val="18"/>
        </w:rPr>
      </w:pPr>
    </w:p>
    <w:p w14:paraId="19DB9DE7" w14:textId="5ACD2F73" w:rsidR="009C27AA" w:rsidRPr="00F407EB" w:rsidRDefault="009C27AA" w:rsidP="009C27AA">
      <w:pPr>
        <w:ind w:right="1133"/>
        <w:jc w:val="center"/>
        <w:rPr>
          <w:sz w:val="20"/>
          <w:szCs w:val="18"/>
        </w:rPr>
      </w:pPr>
      <w:r w:rsidRPr="00F407EB">
        <w:rPr>
          <w:sz w:val="20"/>
          <w:szCs w:val="18"/>
        </w:rPr>
        <w:t xml:space="preserve">Autori: </w:t>
      </w:r>
      <w:r>
        <w:rPr>
          <w:sz w:val="20"/>
          <w:szCs w:val="18"/>
        </w:rPr>
        <w:t>Antonella Finizia, Maria Nucera, Maria Ronga.</w:t>
      </w:r>
    </w:p>
    <w:p w14:paraId="7A2D9B39" w14:textId="076409F9" w:rsidR="00102578" w:rsidRDefault="000E0DB0" w:rsidP="000E0DB0">
      <w:pPr>
        <w:pStyle w:val="Pidipagina"/>
        <w:tabs>
          <w:tab w:val="clear" w:pos="4819"/>
        </w:tabs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t xml:space="preserve">  </w:t>
      </w:r>
    </w:p>
    <w:p w14:paraId="6388A848" w14:textId="77777777" w:rsidR="00102578" w:rsidRDefault="00102578" w:rsidP="00102578">
      <w:pPr>
        <w:pStyle w:val="Pidipagina"/>
        <w:jc w:val="center"/>
        <w:rPr>
          <w:b/>
          <w:sz w:val="18"/>
          <w:szCs w:val="18"/>
        </w:rPr>
      </w:pPr>
    </w:p>
    <w:p w14:paraId="73B9C022" w14:textId="380CDF73" w:rsidR="00102578" w:rsidRDefault="00102578" w:rsidP="00102578">
      <w:pPr>
        <w:pStyle w:val="Pidipagina"/>
        <w:jc w:val="center"/>
        <w:rPr>
          <w:b/>
          <w:sz w:val="18"/>
          <w:szCs w:val="18"/>
        </w:rPr>
      </w:pPr>
    </w:p>
    <w:p w14:paraId="3A59A2EB" w14:textId="75EE732F" w:rsidR="00102578" w:rsidRDefault="00102578" w:rsidP="00102578">
      <w:pPr>
        <w:pStyle w:val="Pidipagina"/>
        <w:jc w:val="center"/>
        <w:rPr>
          <w:b/>
          <w:sz w:val="18"/>
          <w:szCs w:val="18"/>
        </w:rPr>
      </w:pPr>
    </w:p>
    <w:p w14:paraId="43173A9F" w14:textId="59655E29" w:rsidR="00FA3765" w:rsidRDefault="00FA3765" w:rsidP="00102578">
      <w:pPr>
        <w:pStyle w:val="Pidipagina"/>
        <w:jc w:val="center"/>
        <w:rPr>
          <w:b/>
          <w:sz w:val="18"/>
          <w:szCs w:val="18"/>
        </w:rPr>
      </w:pPr>
    </w:p>
    <w:p w14:paraId="33E92811" w14:textId="0979A01D" w:rsidR="00FA3765" w:rsidRDefault="00FA3765" w:rsidP="00102578">
      <w:pPr>
        <w:pStyle w:val="Pidipagina"/>
        <w:jc w:val="center"/>
        <w:rPr>
          <w:b/>
          <w:sz w:val="18"/>
          <w:szCs w:val="18"/>
        </w:rPr>
      </w:pPr>
    </w:p>
    <w:p w14:paraId="1A002D4A" w14:textId="77777777" w:rsidR="00FA3765" w:rsidRDefault="00FA3765" w:rsidP="00102578">
      <w:pPr>
        <w:pStyle w:val="Pidipagina"/>
        <w:jc w:val="center"/>
        <w:rPr>
          <w:b/>
          <w:sz w:val="18"/>
          <w:szCs w:val="18"/>
        </w:rPr>
      </w:pPr>
    </w:p>
    <w:p w14:paraId="4E455438" w14:textId="3DB52FBC" w:rsidR="00FA3765" w:rsidRDefault="00FA3765" w:rsidP="00102578">
      <w:pPr>
        <w:pStyle w:val="Pidipagina"/>
        <w:jc w:val="center"/>
        <w:rPr>
          <w:b/>
          <w:sz w:val="18"/>
          <w:szCs w:val="18"/>
        </w:rPr>
      </w:pPr>
    </w:p>
    <w:p w14:paraId="6AF50281" w14:textId="77777777" w:rsidR="00FA3765" w:rsidRDefault="00FA3765" w:rsidP="00102578">
      <w:pPr>
        <w:pStyle w:val="Pidipagina"/>
        <w:jc w:val="center"/>
        <w:rPr>
          <w:b/>
          <w:sz w:val="18"/>
          <w:szCs w:val="18"/>
        </w:rPr>
      </w:pPr>
    </w:p>
    <w:p w14:paraId="35A3FF4C" w14:textId="77777777" w:rsidR="00102578" w:rsidRDefault="00102578" w:rsidP="00102578">
      <w:pPr>
        <w:autoSpaceDE w:val="0"/>
        <w:autoSpaceDN w:val="0"/>
        <w:adjustRightInd w:val="0"/>
        <w:spacing w:after="0"/>
        <w:jc w:val="center"/>
        <w:rPr>
          <w:rFonts w:ascii="Lato-Heavy" w:hAnsi="Lato-Heavy" w:cs="Lato-Heavy"/>
        </w:rPr>
      </w:pPr>
      <w:r>
        <w:rPr>
          <w:rFonts w:ascii="Lato-Heavy" w:hAnsi="Lato-Heavy" w:cs="Lato-Heavy"/>
        </w:rPr>
        <w:t>RETE RURALE NAZIONALE</w:t>
      </w:r>
    </w:p>
    <w:p w14:paraId="6F85E7F0" w14:textId="77777777" w:rsidR="00102578" w:rsidRDefault="00102578" w:rsidP="00102578">
      <w:pPr>
        <w:autoSpaceDE w:val="0"/>
        <w:autoSpaceDN w:val="0"/>
        <w:adjustRightInd w:val="0"/>
        <w:spacing w:after="0"/>
        <w:jc w:val="center"/>
        <w:rPr>
          <w:rFonts w:ascii="Lato-Regular" w:hAnsi="Lato-Regular" w:cs="Lato-Regular"/>
        </w:rPr>
      </w:pPr>
      <w:r>
        <w:rPr>
          <w:rFonts w:ascii="Lato-Regular" w:hAnsi="Lato-Regular" w:cs="Lato-Regular"/>
        </w:rPr>
        <w:t>Autorità di gestione</w:t>
      </w:r>
    </w:p>
    <w:p w14:paraId="7F1FE083" w14:textId="77777777" w:rsidR="00102578" w:rsidRDefault="00102578" w:rsidP="00102578">
      <w:pPr>
        <w:autoSpaceDE w:val="0"/>
        <w:autoSpaceDN w:val="0"/>
        <w:adjustRightInd w:val="0"/>
        <w:spacing w:after="0"/>
        <w:jc w:val="center"/>
        <w:rPr>
          <w:rFonts w:ascii="Lato-Regular" w:hAnsi="Lato-Regular" w:cs="Lato-Regular"/>
        </w:rPr>
      </w:pPr>
      <w:r>
        <w:rPr>
          <w:rFonts w:ascii="Lato-Regular" w:hAnsi="Lato-Regular" w:cs="Lato-Regular"/>
        </w:rPr>
        <w:t>Ministero delle politiche agricole alimentari e forestali</w:t>
      </w:r>
    </w:p>
    <w:p w14:paraId="04F50B63" w14:textId="77777777" w:rsidR="00102578" w:rsidRDefault="00102578" w:rsidP="00102578">
      <w:pPr>
        <w:autoSpaceDE w:val="0"/>
        <w:autoSpaceDN w:val="0"/>
        <w:adjustRightInd w:val="0"/>
        <w:spacing w:after="0"/>
        <w:jc w:val="center"/>
        <w:rPr>
          <w:rFonts w:ascii="Lato-Regular" w:hAnsi="Lato-Regular" w:cs="Lato-Regular"/>
        </w:rPr>
      </w:pPr>
      <w:r>
        <w:rPr>
          <w:rFonts w:ascii="Lato-Regular" w:hAnsi="Lato-Regular" w:cs="Lato-Regular"/>
        </w:rPr>
        <w:t>Via XX Settembre, 20 Roma</w:t>
      </w:r>
    </w:p>
    <w:p w14:paraId="47C289F0" w14:textId="77777777" w:rsidR="00102578" w:rsidRDefault="00102578" w:rsidP="00102578">
      <w:pPr>
        <w:autoSpaceDE w:val="0"/>
        <w:autoSpaceDN w:val="0"/>
        <w:adjustRightInd w:val="0"/>
        <w:spacing w:after="0"/>
        <w:jc w:val="center"/>
        <w:rPr>
          <w:rFonts w:ascii="Lato-Regular" w:hAnsi="Lato-Regular" w:cs="Lato-Regular"/>
        </w:rPr>
      </w:pPr>
      <w:r>
        <w:rPr>
          <w:rFonts w:ascii="Lato-Regular" w:hAnsi="Lato-Regular" w:cs="Lato-Regular"/>
        </w:rPr>
        <w:t>www.reterurale.it</w:t>
      </w:r>
    </w:p>
    <w:p w14:paraId="0D32A624" w14:textId="77777777" w:rsidR="00102578" w:rsidRDefault="00102578" w:rsidP="00102578">
      <w:pPr>
        <w:autoSpaceDE w:val="0"/>
        <w:autoSpaceDN w:val="0"/>
        <w:adjustRightInd w:val="0"/>
        <w:spacing w:after="0"/>
        <w:jc w:val="center"/>
        <w:rPr>
          <w:rFonts w:ascii="Lato-Regular" w:hAnsi="Lato-Regular" w:cs="Lato-Regular"/>
        </w:rPr>
      </w:pPr>
      <w:r>
        <w:rPr>
          <w:rFonts w:ascii="Lato-Regular" w:hAnsi="Lato-Regular" w:cs="Lato-Regular"/>
        </w:rPr>
        <w:t>reterurale@politicheagricole.it</w:t>
      </w:r>
    </w:p>
    <w:p w14:paraId="6B1C6068" w14:textId="77777777" w:rsidR="00102578" w:rsidRDefault="00102578" w:rsidP="00102578">
      <w:pPr>
        <w:autoSpaceDE w:val="0"/>
        <w:autoSpaceDN w:val="0"/>
        <w:adjustRightInd w:val="0"/>
        <w:spacing w:after="0"/>
        <w:jc w:val="center"/>
        <w:rPr>
          <w:rFonts w:ascii="Lato-Regular" w:hAnsi="Lato-Regular" w:cs="Lato-Regular"/>
        </w:rPr>
      </w:pPr>
      <w:r>
        <w:rPr>
          <w:rFonts w:ascii="Lato-Regular" w:hAnsi="Lato-Regular" w:cs="Lato-Regular"/>
        </w:rPr>
        <w:t>@reterurale</w:t>
      </w:r>
    </w:p>
    <w:p w14:paraId="501B8307" w14:textId="728FE9F5" w:rsidR="000E0DB0" w:rsidRDefault="00102578" w:rsidP="00102578">
      <w:pPr>
        <w:ind w:left="2832" w:firstLine="708"/>
      </w:pPr>
      <w:r w:rsidRPr="000A6F30">
        <w:rPr>
          <w:rFonts w:ascii="Lato-Regular" w:hAnsi="Lato-Regular" w:cs="Lato-Regular"/>
        </w:rPr>
        <w:t>www.facebook</w:t>
      </w:r>
      <w:r>
        <w:rPr>
          <w:rFonts w:ascii="Lato-Regular" w:hAnsi="Lato-Regular" w:cs="Lato-Regular"/>
        </w:rPr>
        <w:t>/reterurale</w:t>
      </w:r>
    </w:p>
    <w:p w14:paraId="388A0304" w14:textId="77777777" w:rsidR="000E0DB0" w:rsidRPr="000E0DB0" w:rsidRDefault="000E0DB0" w:rsidP="000E0DB0"/>
    <w:p w14:paraId="708C945A" w14:textId="77777777" w:rsidR="000E0DB0" w:rsidRPr="000E0DB0" w:rsidRDefault="000E0DB0" w:rsidP="000E0DB0"/>
    <w:p w14:paraId="7287AF94" w14:textId="77777777" w:rsidR="000E0DB0" w:rsidRPr="000E0DB0" w:rsidRDefault="000E0DB0" w:rsidP="000E0DB0"/>
    <w:sectPr w:rsidR="000E0DB0" w:rsidRPr="000E0DB0" w:rsidSect="0020415F">
      <w:footerReference w:type="default" r:id="rId33"/>
      <w:headerReference w:type="first" r:id="rId34"/>
      <w:footerReference w:type="first" r:id="rId35"/>
      <w:pgSz w:w="11906" w:h="16838"/>
      <w:pgMar w:top="1417" w:right="1134" w:bottom="993" w:left="1134" w:header="708" w:footer="41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657E1E" w14:textId="77777777" w:rsidR="003C2E95" w:rsidRDefault="003C2E95" w:rsidP="009241B9">
      <w:pPr>
        <w:spacing w:after="0"/>
      </w:pPr>
      <w:r>
        <w:separator/>
      </w:r>
    </w:p>
  </w:endnote>
  <w:endnote w:type="continuationSeparator" w:id="0">
    <w:p w14:paraId="22FCA1AB" w14:textId="77777777" w:rsidR="003C2E95" w:rsidRDefault="003C2E95" w:rsidP="009241B9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ato-Heavy">
    <w:altName w:val="Calibri"/>
    <w:charset w:val="00"/>
    <w:family w:val="swiss"/>
    <w:pitch w:val="default"/>
    <w:sig w:usb0="00000003" w:usb1="00000000" w:usb2="00000000" w:usb3="00000000" w:csb0="00000001" w:csb1="00000000"/>
  </w:font>
  <w:font w:name="Lato-Regular">
    <w:altName w:val="Calibri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75166966"/>
      <w:docPartObj>
        <w:docPartGallery w:val="Page Numbers (Bottom of Page)"/>
        <w:docPartUnique/>
      </w:docPartObj>
    </w:sdtPr>
    <w:sdtEndPr/>
    <w:sdtContent>
      <w:p w14:paraId="5D35697B" w14:textId="3C0AC0B5" w:rsidR="00D47324" w:rsidRDefault="00D47324">
        <w:pPr>
          <w:pStyle w:val="Pidipa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20</w:t>
        </w:r>
        <w:r>
          <w:fldChar w:fldCharType="end"/>
        </w:r>
      </w:p>
    </w:sdtContent>
  </w:sdt>
  <w:p w14:paraId="037CE2AE" w14:textId="4689C603" w:rsidR="00D47324" w:rsidRDefault="00D47324">
    <w:pPr>
      <w:pStyle w:val="Pidipagina"/>
    </w:pPr>
    <w:r>
      <w:tab/>
    </w:r>
    <w: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65CDFF" w14:textId="791B9314" w:rsidR="00D47324" w:rsidRDefault="00D47324" w:rsidP="0070130A">
    <w:pPr>
      <w:pStyle w:val="Pidipagina"/>
      <w:tabs>
        <w:tab w:val="clear" w:pos="4819"/>
        <w:tab w:val="clear" w:pos="9638"/>
        <w:tab w:val="left" w:pos="7782"/>
      </w:tabs>
    </w:pPr>
    <w:r>
      <w:tab/>
    </w:r>
    <w:r>
      <w:rPr>
        <w:noProof/>
        <w:lang w:eastAsia="it-IT"/>
      </w:rPr>
      <w:drawing>
        <wp:inline distT="0" distB="0" distL="0" distR="0" wp14:anchorId="31E65071" wp14:editId="097E1F77">
          <wp:extent cx="6120130" cy="767715"/>
          <wp:effectExtent l="0" t="0" r="0" b="0"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20130" cy="7677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0B9071" w14:textId="77777777" w:rsidR="003C2E95" w:rsidRDefault="003C2E95" w:rsidP="009241B9">
      <w:pPr>
        <w:spacing w:after="0"/>
      </w:pPr>
      <w:r>
        <w:separator/>
      </w:r>
    </w:p>
  </w:footnote>
  <w:footnote w:type="continuationSeparator" w:id="0">
    <w:p w14:paraId="4487DAD6" w14:textId="77777777" w:rsidR="003C2E95" w:rsidRDefault="003C2E95" w:rsidP="009241B9">
      <w:pPr>
        <w:spacing w:after="0"/>
      </w:pPr>
      <w:r>
        <w:continuationSeparator/>
      </w:r>
    </w:p>
  </w:footnote>
  <w:footnote w:id="1">
    <w:p w14:paraId="3876BFC1" w14:textId="77777777" w:rsidR="00854F81" w:rsidRDefault="00854F81" w:rsidP="00854F81">
      <w:pPr>
        <w:pStyle w:val="Testonotaapidipagina"/>
      </w:pPr>
      <w:r>
        <w:rPr>
          <w:rStyle w:val="Rimandonotaapidipagina"/>
        </w:rPr>
        <w:footnoteRef/>
      </w:r>
      <w:r>
        <w:t xml:space="preserve"> La specializzazione o despecializzazione è valutata dal rapporto tra la quota di ciascuna produzione sulla produzione totale in Italia e la quota corrispondente nell’UE28; l’indice maggiore di 1 segnala una specializzazione, minore di 1 una despecializzazione.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579D3" w14:textId="72194CE5" w:rsidR="00D47324" w:rsidRDefault="00D47324" w:rsidP="00C12C17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35AAFF0" wp14:editId="491C4275">
          <wp:extent cx="1089660" cy="484927"/>
          <wp:effectExtent l="0" t="0" r="0" b="0"/>
          <wp:docPr id="13" name="Elemento grafico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3031" cy="5131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52FE4"/>
    <w:multiLevelType w:val="multilevel"/>
    <w:tmpl w:val="1E46B0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535" w:hanging="400"/>
      </w:pPr>
      <w:rPr>
        <w:rFonts w:hint="default"/>
        <w:color w:val="365F91" w:themeColor="accent1" w:themeShade="BF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" w15:restartNumberingAfterBreak="0">
    <w:nsid w:val="0D2B69D6"/>
    <w:multiLevelType w:val="multilevel"/>
    <w:tmpl w:val="0ECAA8A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2" w15:restartNumberingAfterBreak="0">
    <w:nsid w:val="0F3D4B1E"/>
    <w:multiLevelType w:val="hybridMultilevel"/>
    <w:tmpl w:val="47921B9E"/>
    <w:lvl w:ilvl="0" w:tplc="0410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B0C53BF"/>
    <w:multiLevelType w:val="hybridMultilevel"/>
    <w:tmpl w:val="D5B63598"/>
    <w:lvl w:ilvl="0" w:tplc="0410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A9E2EA6"/>
    <w:multiLevelType w:val="hybridMultilevel"/>
    <w:tmpl w:val="C72203C6"/>
    <w:lvl w:ilvl="0" w:tplc="FB92AE80">
      <w:start w:val="1"/>
      <w:numFmt w:val="decimal"/>
      <w:pStyle w:val="Titolofig"/>
      <w:lvlText w:val="Figura %1. "/>
      <w:lvlJc w:val="left"/>
      <w:pPr>
        <w:ind w:left="360" w:hanging="360"/>
      </w:pPr>
      <w:rPr>
        <w:rFonts w:hint="default"/>
        <w:b/>
        <w:bCs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842156"/>
    <w:multiLevelType w:val="hybridMultilevel"/>
    <w:tmpl w:val="2F1CBF00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D91703"/>
    <w:multiLevelType w:val="multilevel"/>
    <w:tmpl w:val="44BA1EB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535" w:hanging="400"/>
      </w:pPr>
      <w:rPr>
        <w:rFonts w:hint="default"/>
        <w:color w:val="365F91" w:themeColor="accent1" w:themeShade="BF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7" w15:restartNumberingAfterBreak="0">
    <w:nsid w:val="3D907933"/>
    <w:multiLevelType w:val="hybridMultilevel"/>
    <w:tmpl w:val="D75ED3F2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E295F2F"/>
    <w:multiLevelType w:val="hybridMultilevel"/>
    <w:tmpl w:val="8E84C23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0F7AA7"/>
    <w:multiLevelType w:val="hybridMultilevel"/>
    <w:tmpl w:val="40685402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90088A"/>
    <w:multiLevelType w:val="hybridMultilevel"/>
    <w:tmpl w:val="956AAEBC"/>
    <w:lvl w:ilvl="0" w:tplc="0410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50830706"/>
    <w:multiLevelType w:val="hybridMultilevel"/>
    <w:tmpl w:val="1F1E1A4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8E41CE"/>
    <w:multiLevelType w:val="hybridMultilevel"/>
    <w:tmpl w:val="E21281CC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2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13" w15:restartNumberingAfterBreak="0">
    <w:nsid w:val="5D8B5F1A"/>
    <w:multiLevelType w:val="hybridMultilevel"/>
    <w:tmpl w:val="5E64A78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0921B26"/>
    <w:multiLevelType w:val="hybridMultilevel"/>
    <w:tmpl w:val="848ED2DC"/>
    <w:lvl w:ilvl="0" w:tplc="E640D488">
      <w:start w:val="1"/>
      <w:numFmt w:val="bullet"/>
      <w:lvlText w:val="‒"/>
      <w:lvlJc w:val="left"/>
      <w:pPr>
        <w:ind w:left="770" w:hanging="360"/>
      </w:pPr>
      <w:rPr>
        <w:rFonts w:ascii="Calibri" w:hAnsi="Calibri" w:hint="default"/>
      </w:rPr>
    </w:lvl>
    <w:lvl w:ilvl="1" w:tplc="0410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5" w15:restartNumberingAfterBreak="0">
    <w:nsid w:val="678B7D61"/>
    <w:multiLevelType w:val="multilevel"/>
    <w:tmpl w:val="36DCFAE4"/>
    <w:lvl w:ilvl="0">
      <w:start w:val="1"/>
      <w:numFmt w:val="decimal"/>
      <w:pStyle w:val="Titolotab-grafReport"/>
      <w:suff w:val="space"/>
      <w:lvlText w:val="Tabella %1 - 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69496EFF"/>
    <w:multiLevelType w:val="hybridMultilevel"/>
    <w:tmpl w:val="EBF2312E"/>
    <w:lvl w:ilvl="0" w:tplc="AC9C6EA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4B03B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99131E9"/>
    <w:multiLevelType w:val="hybridMultilevel"/>
    <w:tmpl w:val="C8F26924"/>
    <w:lvl w:ilvl="0" w:tplc="0410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75C55B43"/>
    <w:multiLevelType w:val="multilevel"/>
    <w:tmpl w:val="79C62546"/>
    <w:lvl w:ilvl="0">
      <w:start w:val="15"/>
      <w:numFmt w:val="decimal"/>
      <w:suff w:val="space"/>
      <w:lvlText w:val="Figura %1 -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>
    <w:abstractNumId w:val="6"/>
  </w:num>
  <w:num w:numId="2">
    <w:abstractNumId w:val="2"/>
  </w:num>
  <w:num w:numId="3">
    <w:abstractNumId w:val="15"/>
    <w:lvlOverride w:ilvl="0">
      <w:lvl w:ilvl="0">
        <w:start w:val="1"/>
        <w:numFmt w:val="decimal"/>
        <w:pStyle w:val="Titolotab-grafReport"/>
        <w:suff w:val="space"/>
        <w:lvlText w:val="Tabella %1 - "/>
        <w:lvlJc w:val="left"/>
        <w:pPr>
          <w:ind w:left="720" w:hanging="360"/>
        </w:pPr>
        <w:rPr>
          <w:rFonts w:hint="default"/>
          <w:sz w:val="20"/>
          <w:szCs w:val="20"/>
        </w:rPr>
      </w:lvl>
    </w:lvlOverride>
    <w:lvlOverride w:ilvl="1">
      <w:lvl w:ilvl="1">
        <w:start w:val="1"/>
        <w:numFmt w:val="lowerLetter"/>
        <w:lvlText w:val="%2."/>
        <w:lvlJc w:val="left"/>
        <w:pPr>
          <w:ind w:left="1440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4">
    <w:abstractNumId w:val="8"/>
  </w:num>
  <w:num w:numId="5">
    <w:abstractNumId w:val="11"/>
  </w:num>
  <w:num w:numId="6">
    <w:abstractNumId w:val="16"/>
  </w:num>
  <w:num w:numId="7">
    <w:abstractNumId w:val="7"/>
  </w:num>
  <w:num w:numId="8">
    <w:abstractNumId w:val="12"/>
  </w:num>
  <w:num w:numId="9">
    <w:abstractNumId w:val="9"/>
  </w:num>
  <w:num w:numId="10">
    <w:abstractNumId w:val="17"/>
  </w:num>
  <w:num w:numId="11">
    <w:abstractNumId w:val="13"/>
  </w:num>
  <w:num w:numId="12">
    <w:abstractNumId w:val="3"/>
  </w:num>
  <w:num w:numId="13">
    <w:abstractNumId w:val="14"/>
  </w:num>
  <w:num w:numId="14">
    <w:abstractNumId w:val="5"/>
  </w:num>
  <w:num w:numId="15">
    <w:abstractNumId w:val="0"/>
  </w:num>
  <w:num w:numId="16">
    <w:abstractNumId w:val="1"/>
  </w:num>
  <w:num w:numId="17">
    <w:abstractNumId w:val="18"/>
  </w:num>
  <w:num w:numId="18">
    <w:abstractNumId w:val="15"/>
    <w:lvlOverride w:ilvl="0">
      <w:lvl w:ilvl="0">
        <w:start w:val="1"/>
        <w:numFmt w:val="decimal"/>
        <w:pStyle w:val="Titolotab-grafReport"/>
        <w:suff w:val="space"/>
        <w:lvlText w:val="Tabella %1 - "/>
        <w:lvlJc w:val="left"/>
        <w:pPr>
          <w:ind w:left="786" w:hanging="360"/>
        </w:pPr>
        <w:rPr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1">
      <w:lvl w:ilvl="1">
        <w:start w:val="1"/>
        <w:numFmt w:val="lowerLetter"/>
        <w:lvlText w:val="%2."/>
        <w:lvlJc w:val="left"/>
        <w:pPr>
          <w:ind w:left="1506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226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946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66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86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106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826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546" w:hanging="180"/>
        </w:pPr>
        <w:rPr>
          <w:rFonts w:hint="default"/>
        </w:rPr>
      </w:lvl>
    </w:lvlOverride>
  </w:num>
  <w:num w:numId="19">
    <w:abstractNumId w:val="18"/>
  </w:num>
  <w:num w:numId="20">
    <w:abstractNumId w:val="4"/>
  </w:num>
  <w:num w:numId="21">
    <w:abstractNumId w:val="1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hideSpellingErrors/>
  <w:hideGrammaticalErrors/>
  <w:activeWritingStyle w:appName="MSWord" w:lang="it-IT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it-IT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it-IT" w:vendorID="64" w:dllVersion="4096" w:nlCheck="1" w:checkStyle="0"/>
  <w:proofState w:spelling="clean" w:grammar="clean"/>
  <w:defaultTabStop w:val="708"/>
  <w:hyphenationZone w:val="283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LQ0szQ3NzU2NjQzNzdR0lEKTi0uzszPAykwrgUABt9X3SwAAAA="/>
  </w:docVars>
  <w:rsids>
    <w:rsidRoot w:val="009241B9"/>
    <w:rsid w:val="0000010F"/>
    <w:rsid w:val="000008CC"/>
    <w:rsid w:val="000017F9"/>
    <w:rsid w:val="00003F74"/>
    <w:rsid w:val="0000418A"/>
    <w:rsid w:val="0000514C"/>
    <w:rsid w:val="000051EE"/>
    <w:rsid w:val="0000563F"/>
    <w:rsid w:val="00005B66"/>
    <w:rsid w:val="000070AB"/>
    <w:rsid w:val="0001063A"/>
    <w:rsid w:val="00012391"/>
    <w:rsid w:val="00012461"/>
    <w:rsid w:val="00014286"/>
    <w:rsid w:val="00016428"/>
    <w:rsid w:val="00017E72"/>
    <w:rsid w:val="00020C97"/>
    <w:rsid w:val="000225F4"/>
    <w:rsid w:val="00022E60"/>
    <w:rsid w:val="00025553"/>
    <w:rsid w:val="00026B47"/>
    <w:rsid w:val="00026D9E"/>
    <w:rsid w:val="00027E2B"/>
    <w:rsid w:val="000313C2"/>
    <w:rsid w:val="000348DE"/>
    <w:rsid w:val="00035664"/>
    <w:rsid w:val="00036D12"/>
    <w:rsid w:val="00040B13"/>
    <w:rsid w:val="000411BB"/>
    <w:rsid w:val="000411D8"/>
    <w:rsid w:val="000423BF"/>
    <w:rsid w:val="00043C64"/>
    <w:rsid w:val="0004528B"/>
    <w:rsid w:val="00045294"/>
    <w:rsid w:val="00045700"/>
    <w:rsid w:val="000463C6"/>
    <w:rsid w:val="00052C52"/>
    <w:rsid w:val="0005392E"/>
    <w:rsid w:val="000549E0"/>
    <w:rsid w:val="00056422"/>
    <w:rsid w:val="00061269"/>
    <w:rsid w:val="00061C2B"/>
    <w:rsid w:val="00064B44"/>
    <w:rsid w:val="00064D1D"/>
    <w:rsid w:val="000656F5"/>
    <w:rsid w:val="00067C70"/>
    <w:rsid w:val="00076243"/>
    <w:rsid w:val="00076E75"/>
    <w:rsid w:val="000775A0"/>
    <w:rsid w:val="00080D9F"/>
    <w:rsid w:val="00085811"/>
    <w:rsid w:val="00085D80"/>
    <w:rsid w:val="0009484D"/>
    <w:rsid w:val="00095453"/>
    <w:rsid w:val="000960FF"/>
    <w:rsid w:val="000A28E6"/>
    <w:rsid w:val="000A35DB"/>
    <w:rsid w:val="000A3F02"/>
    <w:rsid w:val="000A6354"/>
    <w:rsid w:val="000B08C5"/>
    <w:rsid w:val="000B520D"/>
    <w:rsid w:val="000B5FE6"/>
    <w:rsid w:val="000C0787"/>
    <w:rsid w:val="000C23F3"/>
    <w:rsid w:val="000C47DD"/>
    <w:rsid w:val="000C4BC8"/>
    <w:rsid w:val="000D3530"/>
    <w:rsid w:val="000D44D4"/>
    <w:rsid w:val="000D54F0"/>
    <w:rsid w:val="000D557A"/>
    <w:rsid w:val="000D5F9C"/>
    <w:rsid w:val="000E0DB0"/>
    <w:rsid w:val="000E27A1"/>
    <w:rsid w:val="000E4C39"/>
    <w:rsid w:val="000E58B6"/>
    <w:rsid w:val="000E6A84"/>
    <w:rsid w:val="000E77B5"/>
    <w:rsid w:val="000F031C"/>
    <w:rsid w:val="000F08C4"/>
    <w:rsid w:val="000F1E6E"/>
    <w:rsid w:val="000F29B9"/>
    <w:rsid w:val="000F2EEE"/>
    <w:rsid w:val="000F4080"/>
    <w:rsid w:val="000F5C57"/>
    <w:rsid w:val="000F68CF"/>
    <w:rsid w:val="00101EC6"/>
    <w:rsid w:val="00102578"/>
    <w:rsid w:val="00104FA2"/>
    <w:rsid w:val="0010514C"/>
    <w:rsid w:val="0010552F"/>
    <w:rsid w:val="00105969"/>
    <w:rsid w:val="001075B4"/>
    <w:rsid w:val="00107F31"/>
    <w:rsid w:val="00111516"/>
    <w:rsid w:val="00112264"/>
    <w:rsid w:val="0011504C"/>
    <w:rsid w:val="0011663F"/>
    <w:rsid w:val="001173D2"/>
    <w:rsid w:val="001208E0"/>
    <w:rsid w:val="0012351A"/>
    <w:rsid w:val="001242CB"/>
    <w:rsid w:val="0013239D"/>
    <w:rsid w:val="0013429C"/>
    <w:rsid w:val="00134542"/>
    <w:rsid w:val="00134EE7"/>
    <w:rsid w:val="00136C8F"/>
    <w:rsid w:val="001439BF"/>
    <w:rsid w:val="001440A5"/>
    <w:rsid w:val="00146B32"/>
    <w:rsid w:val="00151181"/>
    <w:rsid w:val="00151A89"/>
    <w:rsid w:val="001544C5"/>
    <w:rsid w:val="0015608D"/>
    <w:rsid w:val="00157274"/>
    <w:rsid w:val="00160202"/>
    <w:rsid w:val="00160A70"/>
    <w:rsid w:val="001614F2"/>
    <w:rsid w:val="00162654"/>
    <w:rsid w:val="0016540F"/>
    <w:rsid w:val="0016561F"/>
    <w:rsid w:val="001665D5"/>
    <w:rsid w:val="00170EC3"/>
    <w:rsid w:val="001711A9"/>
    <w:rsid w:val="00172E51"/>
    <w:rsid w:val="001747C4"/>
    <w:rsid w:val="00181332"/>
    <w:rsid w:val="0018173F"/>
    <w:rsid w:val="00182A87"/>
    <w:rsid w:val="001830D9"/>
    <w:rsid w:val="00192462"/>
    <w:rsid w:val="001934C1"/>
    <w:rsid w:val="00193E39"/>
    <w:rsid w:val="001940DF"/>
    <w:rsid w:val="001955ED"/>
    <w:rsid w:val="00196132"/>
    <w:rsid w:val="00196D58"/>
    <w:rsid w:val="00197B95"/>
    <w:rsid w:val="00197E3E"/>
    <w:rsid w:val="001A2140"/>
    <w:rsid w:val="001A3B87"/>
    <w:rsid w:val="001A6CA4"/>
    <w:rsid w:val="001A6D1C"/>
    <w:rsid w:val="001A7240"/>
    <w:rsid w:val="001B087D"/>
    <w:rsid w:val="001B1046"/>
    <w:rsid w:val="001B1638"/>
    <w:rsid w:val="001B1B77"/>
    <w:rsid w:val="001B3714"/>
    <w:rsid w:val="001B4F64"/>
    <w:rsid w:val="001B52A3"/>
    <w:rsid w:val="001B5E89"/>
    <w:rsid w:val="001C0F61"/>
    <w:rsid w:val="001C34AB"/>
    <w:rsid w:val="001C4797"/>
    <w:rsid w:val="001C50D5"/>
    <w:rsid w:val="001C51A5"/>
    <w:rsid w:val="001C6080"/>
    <w:rsid w:val="001C6554"/>
    <w:rsid w:val="001D0E82"/>
    <w:rsid w:val="001D3053"/>
    <w:rsid w:val="001D3673"/>
    <w:rsid w:val="001D42E3"/>
    <w:rsid w:val="001E0AE9"/>
    <w:rsid w:val="001E1502"/>
    <w:rsid w:val="001E19E7"/>
    <w:rsid w:val="001E2C8C"/>
    <w:rsid w:val="001E2CD3"/>
    <w:rsid w:val="001E3000"/>
    <w:rsid w:val="001E3715"/>
    <w:rsid w:val="001E37CB"/>
    <w:rsid w:val="001E56C7"/>
    <w:rsid w:val="001E6695"/>
    <w:rsid w:val="001F1314"/>
    <w:rsid w:val="001F3A3D"/>
    <w:rsid w:val="001F6E7E"/>
    <w:rsid w:val="002003B4"/>
    <w:rsid w:val="00202010"/>
    <w:rsid w:val="0020415F"/>
    <w:rsid w:val="00204A57"/>
    <w:rsid w:val="0020640E"/>
    <w:rsid w:val="00206BB1"/>
    <w:rsid w:val="00207119"/>
    <w:rsid w:val="00210AB5"/>
    <w:rsid w:val="00213621"/>
    <w:rsid w:val="00215767"/>
    <w:rsid w:val="00217564"/>
    <w:rsid w:val="00217601"/>
    <w:rsid w:val="00217F5E"/>
    <w:rsid w:val="00220C68"/>
    <w:rsid w:val="002219F4"/>
    <w:rsid w:val="00222425"/>
    <w:rsid w:val="00224C98"/>
    <w:rsid w:val="00224DBD"/>
    <w:rsid w:val="00225920"/>
    <w:rsid w:val="00225AB5"/>
    <w:rsid w:val="002262C3"/>
    <w:rsid w:val="00230572"/>
    <w:rsid w:val="00231868"/>
    <w:rsid w:val="002321D0"/>
    <w:rsid w:val="00232AB9"/>
    <w:rsid w:val="002343B2"/>
    <w:rsid w:val="00234BF6"/>
    <w:rsid w:val="00236689"/>
    <w:rsid w:val="00236777"/>
    <w:rsid w:val="00236BAF"/>
    <w:rsid w:val="00242F6C"/>
    <w:rsid w:val="00245E3E"/>
    <w:rsid w:val="00245EF3"/>
    <w:rsid w:val="00251006"/>
    <w:rsid w:val="00251393"/>
    <w:rsid w:val="00251CD9"/>
    <w:rsid w:val="0025394F"/>
    <w:rsid w:val="002567B6"/>
    <w:rsid w:val="002571C7"/>
    <w:rsid w:val="00260377"/>
    <w:rsid w:val="002636DA"/>
    <w:rsid w:val="00264738"/>
    <w:rsid w:val="00266B89"/>
    <w:rsid w:val="0027020E"/>
    <w:rsid w:val="00271530"/>
    <w:rsid w:val="0027738F"/>
    <w:rsid w:val="0028209B"/>
    <w:rsid w:val="002826F8"/>
    <w:rsid w:val="00284CAC"/>
    <w:rsid w:val="0028569B"/>
    <w:rsid w:val="0028692E"/>
    <w:rsid w:val="00290D11"/>
    <w:rsid w:val="00292B17"/>
    <w:rsid w:val="002931FA"/>
    <w:rsid w:val="00296015"/>
    <w:rsid w:val="002A08C8"/>
    <w:rsid w:val="002A3EAD"/>
    <w:rsid w:val="002A51D8"/>
    <w:rsid w:val="002A6AC4"/>
    <w:rsid w:val="002B11A0"/>
    <w:rsid w:val="002B4A94"/>
    <w:rsid w:val="002B6F15"/>
    <w:rsid w:val="002B714C"/>
    <w:rsid w:val="002C1DFD"/>
    <w:rsid w:val="002C1FF7"/>
    <w:rsid w:val="002C44F0"/>
    <w:rsid w:val="002C533E"/>
    <w:rsid w:val="002C5B0B"/>
    <w:rsid w:val="002D11B5"/>
    <w:rsid w:val="002D12F1"/>
    <w:rsid w:val="002D2477"/>
    <w:rsid w:val="002D39A5"/>
    <w:rsid w:val="002D617F"/>
    <w:rsid w:val="002D75F0"/>
    <w:rsid w:val="002D77EF"/>
    <w:rsid w:val="002D7BBA"/>
    <w:rsid w:val="002E16F9"/>
    <w:rsid w:val="002E1A68"/>
    <w:rsid w:val="002E240D"/>
    <w:rsid w:val="002E4FED"/>
    <w:rsid w:val="002E5ED8"/>
    <w:rsid w:val="002E6010"/>
    <w:rsid w:val="002F35E4"/>
    <w:rsid w:val="002F618A"/>
    <w:rsid w:val="002F676B"/>
    <w:rsid w:val="002F77E9"/>
    <w:rsid w:val="00303956"/>
    <w:rsid w:val="00303AA8"/>
    <w:rsid w:val="00303EFE"/>
    <w:rsid w:val="00305982"/>
    <w:rsid w:val="0030678C"/>
    <w:rsid w:val="00310A2B"/>
    <w:rsid w:val="00311891"/>
    <w:rsid w:val="003131E9"/>
    <w:rsid w:val="00314265"/>
    <w:rsid w:val="00317670"/>
    <w:rsid w:val="0031775A"/>
    <w:rsid w:val="00320076"/>
    <w:rsid w:val="00321A97"/>
    <w:rsid w:val="003233BA"/>
    <w:rsid w:val="00327810"/>
    <w:rsid w:val="0033101A"/>
    <w:rsid w:val="003311EF"/>
    <w:rsid w:val="0033294D"/>
    <w:rsid w:val="00334C9B"/>
    <w:rsid w:val="00334E16"/>
    <w:rsid w:val="003350E3"/>
    <w:rsid w:val="00341560"/>
    <w:rsid w:val="003428EC"/>
    <w:rsid w:val="003460CC"/>
    <w:rsid w:val="00347A14"/>
    <w:rsid w:val="0035051C"/>
    <w:rsid w:val="003512AA"/>
    <w:rsid w:val="00351516"/>
    <w:rsid w:val="003520ED"/>
    <w:rsid w:val="00354802"/>
    <w:rsid w:val="00354FC9"/>
    <w:rsid w:val="0035747C"/>
    <w:rsid w:val="00360174"/>
    <w:rsid w:val="003605BC"/>
    <w:rsid w:val="0036065A"/>
    <w:rsid w:val="00361CCA"/>
    <w:rsid w:val="0036222F"/>
    <w:rsid w:val="003623DA"/>
    <w:rsid w:val="00364EBB"/>
    <w:rsid w:val="003665D7"/>
    <w:rsid w:val="003666AE"/>
    <w:rsid w:val="00366D38"/>
    <w:rsid w:val="0037019E"/>
    <w:rsid w:val="00372585"/>
    <w:rsid w:val="0037279C"/>
    <w:rsid w:val="0037298D"/>
    <w:rsid w:val="003742CA"/>
    <w:rsid w:val="003745B7"/>
    <w:rsid w:val="0037540D"/>
    <w:rsid w:val="00380545"/>
    <w:rsid w:val="00380573"/>
    <w:rsid w:val="003819E7"/>
    <w:rsid w:val="00381A15"/>
    <w:rsid w:val="00381C60"/>
    <w:rsid w:val="00381F3A"/>
    <w:rsid w:val="00382093"/>
    <w:rsid w:val="00382924"/>
    <w:rsid w:val="003848CF"/>
    <w:rsid w:val="003851D2"/>
    <w:rsid w:val="0038744D"/>
    <w:rsid w:val="00387B26"/>
    <w:rsid w:val="00387DB2"/>
    <w:rsid w:val="00391BCF"/>
    <w:rsid w:val="00392664"/>
    <w:rsid w:val="00393FD4"/>
    <w:rsid w:val="003944AC"/>
    <w:rsid w:val="0039546B"/>
    <w:rsid w:val="003962FC"/>
    <w:rsid w:val="003A37E9"/>
    <w:rsid w:val="003A5BD1"/>
    <w:rsid w:val="003A63CF"/>
    <w:rsid w:val="003A7ECE"/>
    <w:rsid w:val="003B0900"/>
    <w:rsid w:val="003B584A"/>
    <w:rsid w:val="003B637C"/>
    <w:rsid w:val="003B72DD"/>
    <w:rsid w:val="003C16A3"/>
    <w:rsid w:val="003C18C0"/>
    <w:rsid w:val="003C1CBE"/>
    <w:rsid w:val="003C2C54"/>
    <w:rsid w:val="003C2E95"/>
    <w:rsid w:val="003C52D9"/>
    <w:rsid w:val="003C56A3"/>
    <w:rsid w:val="003D0A7C"/>
    <w:rsid w:val="003D0C5D"/>
    <w:rsid w:val="003D29D6"/>
    <w:rsid w:val="003D2E8F"/>
    <w:rsid w:val="003D457C"/>
    <w:rsid w:val="003E1521"/>
    <w:rsid w:val="003E1751"/>
    <w:rsid w:val="003E308A"/>
    <w:rsid w:val="003E6DD0"/>
    <w:rsid w:val="003E704A"/>
    <w:rsid w:val="003F074F"/>
    <w:rsid w:val="003F1377"/>
    <w:rsid w:val="003F1CF1"/>
    <w:rsid w:val="003F26CB"/>
    <w:rsid w:val="003F3EA6"/>
    <w:rsid w:val="003F5E0E"/>
    <w:rsid w:val="003F64B0"/>
    <w:rsid w:val="003F7949"/>
    <w:rsid w:val="004033D3"/>
    <w:rsid w:val="00404ACF"/>
    <w:rsid w:val="00405955"/>
    <w:rsid w:val="00406349"/>
    <w:rsid w:val="004064D9"/>
    <w:rsid w:val="004129F5"/>
    <w:rsid w:val="00413DEA"/>
    <w:rsid w:val="0041478E"/>
    <w:rsid w:val="00414DFC"/>
    <w:rsid w:val="00416718"/>
    <w:rsid w:val="00417924"/>
    <w:rsid w:val="00420616"/>
    <w:rsid w:val="00420B89"/>
    <w:rsid w:val="00421C5C"/>
    <w:rsid w:val="00421DBB"/>
    <w:rsid w:val="0042364E"/>
    <w:rsid w:val="0042786B"/>
    <w:rsid w:val="004300C6"/>
    <w:rsid w:val="00430880"/>
    <w:rsid w:val="004309BF"/>
    <w:rsid w:val="004317FB"/>
    <w:rsid w:val="00431F3E"/>
    <w:rsid w:val="00432C51"/>
    <w:rsid w:val="00433548"/>
    <w:rsid w:val="00433896"/>
    <w:rsid w:val="00434BF0"/>
    <w:rsid w:val="00436401"/>
    <w:rsid w:val="00436A6C"/>
    <w:rsid w:val="00440843"/>
    <w:rsid w:val="00442347"/>
    <w:rsid w:val="00443D9C"/>
    <w:rsid w:val="004440A1"/>
    <w:rsid w:val="00445797"/>
    <w:rsid w:val="00445921"/>
    <w:rsid w:val="0044705E"/>
    <w:rsid w:val="00447506"/>
    <w:rsid w:val="004521B5"/>
    <w:rsid w:val="004535C0"/>
    <w:rsid w:val="00457A97"/>
    <w:rsid w:val="004600BA"/>
    <w:rsid w:val="004606F3"/>
    <w:rsid w:val="00461397"/>
    <w:rsid w:val="004613EE"/>
    <w:rsid w:val="00461751"/>
    <w:rsid w:val="004637E1"/>
    <w:rsid w:val="00465470"/>
    <w:rsid w:val="00465D69"/>
    <w:rsid w:val="00465F3E"/>
    <w:rsid w:val="00470692"/>
    <w:rsid w:val="0047178C"/>
    <w:rsid w:val="00471D51"/>
    <w:rsid w:val="00472C07"/>
    <w:rsid w:val="00477553"/>
    <w:rsid w:val="004807AD"/>
    <w:rsid w:val="0048310A"/>
    <w:rsid w:val="004853BA"/>
    <w:rsid w:val="0048624A"/>
    <w:rsid w:val="00486F62"/>
    <w:rsid w:val="00491E52"/>
    <w:rsid w:val="00495035"/>
    <w:rsid w:val="00495FBE"/>
    <w:rsid w:val="004A49C0"/>
    <w:rsid w:val="004A5F14"/>
    <w:rsid w:val="004B1821"/>
    <w:rsid w:val="004B25C2"/>
    <w:rsid w:val="004B4485"/>
    <w:rsid w:val="004B50F9"/>
    <w:rsid w:val="004B5C15"/>
    <w:rsid w:val="004B726A"/>
    <w:rsid w:val="004C1379"/>
    <w:rsid w:val="004C2DE7"/>
    <w:rsid w:val="004C3268"/>
    <w:rsid w:val="004C7092"/>
    <w:rsid w:val="004D22A2"/>
    <w:rsid w:val="004D29C1"/>
    <w:rsid w:val="004D2FE7"/>
    <w:rsid w:val="004D3660"/>
    <w:rsid w:val="004E0649"/>
    <w:rsid w:val="004E08F6"/>
    <w:rsid w:val="004E09B5"/>
    <w:rsid w:val="004E0B75"/>
    <w:rsid w:val="004E113C"/>
    <w:rsid w:val="004E5157"/>
    <w:rsid w:val="004F0DA9"/>
    <w:rsid w:val="004F14E9"/>
    <w:rsid w:val="004F2ECE"/>
    <w:rsid w:val="004F3A38"/>
    <w:rsid w:val="004F5263"/>
    <w:rsid w:val="004F539E"/>
    <w:rsid w:val="004F5BCE"/>
    <w:rsid w:val="004F5FC4"/>
    <w:rsid w:val="004F6191"/>
    <w:rsid w:val="004F712E"/>
    <w:rsid w:val="004F7597"/>
    <w:rsid w:val="004F79B4"/>
    <w:rsid w:val="004F7CC0"/>
    <w:rsid w:val="005022C4"/>
    <w:rsid w:val="00502ACE"/>
    <w:rsid w:val="005064A5"/>
    <w:rsid w:val="0050792F"/>
    <w:rsid w:val="005104F4"/>
    <w:rsid w:val="005109C3"/>
    <w:rsid w:val="0051110D"/>
    <w:rsid w:val="00511E1B"/>
    <w:rsid w:val="00512A8D"/>
    <w:rsid w:val="00513761"/>
    <w:rsid w:val="005139A8"/>
    <w:rsid w:val="00517FA5"/>
    <w:rsid w:val="005200F2"/>
    <w:rsid w:val="005203B0"/>
    <w:rsid w:val="00522B47"/>
    <w:rsid w:val="00522DC4"/>
    <w:rsid w:val="00523040"/>
    <w:rsid w:val="00525B67"/>
    <w:rsid w:val="00527A98"/>
    <w:rsid w:val="0053012F"/>
    <w:rsid w:val="0053175A"/>
    <w:rsid w:val="00531D9D"/>
    <w:rsid w:val="00532619"/>
    <w:rsid w:val="00534891"/>
    <w:rsid w:val="0053776D"/>
    <w:rsid w:val="0054054A"/>
    <w:rsid w:val="00540F6E"/>
    <w:rsid w:val="0054155C"/>
    <w:rsid w:val="00541FAE"/>
    <w:rsid w:val="0054249D"/>
    <w:rsid w:val="00543B67"/>
    <w:rsid w:val="005447EF"/>
    <w:rsid w:val="0054764E"/>
    <w:rsid w:val="00551AAC"/>
    <w:rsid w:val="005544EF"/>
    <w:rsid w:val="00554929"/>
    <w:rsid w:val="00554B1A"/>
    <w:rsid w:val="00556197"/>
    <w:rsid w:val="00557C28"/>
    <w:rsid w:val="00561989"/>
    <w:rsid w:val="00562073"/>
    <w:rsid w:val="0056366E"/>
    <w:rsid w:val="005664FE"/>
    <w:rsid w:val="00567A35"/>
    <w:rsid w:val="00567FA1"/>
    <w:rsid w:val="00567FB2"/>
    <w:rsid w:val="005705B5"/>
    <w:rsid w:val="00570729"/>
    <w:rsid w:val="00571EF6"/>
    <w:rsid w:val="00572454"/>
    <w:rsid w:val="0057778F"/>
    <w:rsid w:val="00580CCA"/>
    <w:rsid w:val="00583A72"/>
    <w:rsid w:val="00583FB4"/>
    <w:rsid w:val="00584028"/>
    <w:rsid w:val="00585FE5"/>
    <w:rsid w:val="00590199"/>
    <w:rsid w:val="00590861"/>
    <w:rsid w:val="00591E5C"/>
    <w:rsid w:val="00592716"/>
    <w:rsid w:val="00593420"/>
    <w:rsid w:val="005A0043"/>
    <w:rsid w:val="005A0F6D"/>
    <w:rsid w:val="005A298B"/>
    <w:rsid w:val="005A6145"/>
    <w:rsid w:val="005A64B9"/>
    <w:rsid w:val="005B0F98"/>
    <w:rsid w:val="005B2DBA"/>
    <w:rsid w:val="005B563C"/>
    <w:rsid w:val="005B63CD"/>
    <w:rsid w:val="005B6D1C"/>
    <w:rsid w:val="005B7E62"/>
    <w:rsid w:val="005C0682"/>
    <w:rsid w:val="005C17D0"/>
    <w:rsid w:val="005C1ED4"/>
    <w:rsid w:val="005C44AC"/>
    <w:rsid w:val="005C52C7"/>
    <w:rsid w:val="005C5F94"/>
    <w:rsid w:val="005C738D"/>
    <w:rsid w:val="005C74DE"/>
    <w:rsid w:val="005D293E"/>
    <w:rsid w:val="005D2F94"/>
    <w:rsid w:val="005D4405"/>
    <w:rsid w:val="005D7728"/>
    <w:rsid w:val="005E07E3"/>
    <w:rsid w:val="005E33C8"/>
    <w:rsid w:val="005E3A86"/>
    <w:rsid w:val="005E43DD"/>
    <w:rsid w:val="005E4675"/>
    <w:rsid w:val="005E5FF5"/>
    <w:rsid w:val="005E60AC"/>
    <w:rsid w:val="005F1402"/>
    <w:rsid w:val="005F1D70"/>
    <w:rsid w:val="005F254B"/>
    <w:rsid w:val="005F730E"/>
    <w:rsid w:val="005F77A1"/>
    <w:rsid w:val="00601D0C"/>
    <w:rsid w:val="0060277B"/>
    <w:rsid w:val="00604374"/>
    <w:rsid w:val="0060768E"/>
    <w:rsid w:val="00607A67"/>
    <w:rsid w:val="00611673"/>
    <w:rsid w:val="006145AF"/>
    <w:rsid w:val="00614AA7"/>
    <w:rsid w:val="006165B1"/>
    <w:rsid w:val="006167D2"/>
    <w:rsid w:val="00616BED"/>
    <w:rsid w:val="00623939"/>
    <w:rsid w:val="00624A5B"/>
    <w:rsid w:val="00624E07"/>
    <w:rsid w:val="0062548A"/>
    <w:rsid w:val="006300FA"/>
    <w:rsid w:val="00635F4F"/>
    <w:rsid w:val="006373FE"/>
    <w:rsid w:val="00642630"/>
    <w:rsid w:val="00647CEF"/>
    <w:rsid w:val="00647DE7"/>
    <w:rsid w:val="0065150D"/>
    <w:rsid w:val="00653CAC"/>
    <w:rsid w:val="00654676"/>
    <w:rsid w:val="00656A27"/>
    <w:rsid w:val="00656C8B"/>
    <w:rsid w:val="00660B4C"/>
    <w:rsid w:val="00661205"/>
    <w:rsid w:val="00661229"/>
    <w:rsid w:val="00664211"/>
    <w:rsid w:val="00667C15"/>
    <w:rsid w:val="006727F5"/>
    <w:rsid w:val="00672A83"/>
    <w:rsid w:val="006747A0"/>
    <w:rsid w:val="006750E2"/>
    <w:rsid w:val="00676943"/>
    <w:rsid w:val="00680F9C"/>
    <w:rsid w:val="00681044"/>
    <w:rsid w:val="00681AB3"/>
    <w:rsid w:val="006825E0"/>
    <w:rsid w:val="006861C9"/>
    <w:rsid w:val="00692610"/>
    <w:rsid w:val="006930B8"/>
    <w:rsid w:val="0069431A"/>
    <w:rsid w:val="006969C7"/>
    <w:rsid w:val="00697E82"/>
    <w:rsid w:val="006A4631"/>
    <w:rsid w:val="006A76C4"/>
    <w:rsid w:val="006A7AD3"/>
    <w:rsid w:val="006A7DFD"/>
    <w:rsid w:val="006B320E"/>
    <w:rsid w:val="006B5505"/>
    <w:rsid w:val="006B6A5F"/>
    <w:rsid w:val="006C0337"/>
    <w:rsid w:val="006C2759"/>
    <w:rsid w:val="006C36CE"/>
    <w:rsid w:val="006C397E"/>
    <w:rsid w:val="006C4440"/>
    <w:rsid w:val="006C44FB"/>
    <w:rsid w:val="006C492A"/>
    <w:rsid w:val="006C7D37"/>
    <w:rsid w:val="006D0FBC"/>
    <w:rsid w:val="006D1486"/>
    <w:rsid w:val="006D37E5"/>
    <w:rsid w:val="006D4850"/>
    <w:rsid w:val="006D7A44"/>
    <w:rsid w:val="006E0150"/>
    <w:rsid w:val="006E0B6F"/>
    <w:rsid w:val="006E0EEB"/>
    <w:rsid w:val="006E1029"/>
    <w:rsid w:val="006E2D75"/>
    <w:rsid w:val="006E3B44"/>
    <w:rsid w:val="006E430B"/>
    <w:rsid w:val="006E77E0"/>
    <w:rsid w:val="006E782C"/>
    <w:rsid w:val="006E79FA"/>
    <w:rsid w:val="006F0A30"/>
    <w:rsid w:val="006F0AA9"/>
    <w:rsid w:val="006F36EB"/>
    <w:rsid w:val="006F6152"/>
    <w:rsid w:val="007012F0"/>
    <w:rsid w:val="0070130A"/>
    <w:rsid w:val="00702FE5"/>
    <w:rsid w:val="0070347C"/>
    <w:rsid w:val="00704E5C"/>
    <w:rsid w:val="00707CB7"/>
    <w:rsid w:val="00710537"/>
    <w:rsid w:val="00710FCB"/>
    <w:rsid w:val="00712E5B"/>
    <w:rsid w:val="007139D6"/>
    <w:rsid w:val="007141EE"/>
    <w:rsid w:val="00714694"/>
    <w:rsid w:val="00715A75"/>
    <w:rsid w:val="007166B8"/>
    <w:rsid w:val="00716B60"/>
    <w:rsid w:val="00722111"/>
    <w:rsid w:val="00723867"/>
    <w:rsid w:val="007246ED"/>
    <w:rsid w:val="00727E0B"/>
    <w:rsid w:val="00732047"/>
    <w:rsid w:val="0074053D"/>
    <w:rsid w:val="007434A4"/>
    <w:rsid w:val="00744078"/>
    <w:rsid w:val="00744619"/>
    <w:rsid w:val="00745838"/>
    <w:rsid w:val="00746330"/>
    <w:rsid w:val="00756E1C"/>
    <w:rsid w:val="00757B7D"/>
    <w:rsid w:val="0076256E"/>
    <w:rsid w:val="00762D6D"/>
    <w:rsid w:val="00763A94"/>
    <w:rsid w:val="007675EF"/>
    <w:rsid w:val="00771EE3"/>
    <w:rsid w:val="00780FC3"/>
    <w:rsid w:val="007822AE"/>
    <w:rsid w:val="00783F4E"/>
    <w:rsid w:val="00784A08"/>
    <w:rsid w:val="0078550A"/>
    <w:rsid w:val="007864E6"/>
    <w:rsid w:val="007900F7"/>
    <w:rsid w:val="00790A93"/>
    <w:rsid w:val="0079350C"/>
    <w:rsid w:val="00793DA1"/>
    <w:rsid w:val="0079420D"/>
    <w:rsid w:val="00795478"/>
    <w:rsid w:val="007A0414"/>
    <w:rsid w:val="007A256E"/>
    <w:rsid w:val="007A2F18"/>
    <w:rsid w:val="007A3031"/>
    <w:rsid w:val="007A388E"/>
    <w:rsid w:val="007A5405"/>
    <w:rsid w:val="007A7145"/>
    <w:rsid w:val="007A74E8"/>
    <w:rsid w:val="007B0D2B"/>
    <w:rsid w:val="007B10BE"/>
    <w:rsid w:val="007B1A55"/>
    <w:rsid w:val="007B2FFA"/>
    <w:rsid w:val="007B460C"/>
    <w:rsid w:val="007B58F2"/>
    <w:rsid w:val="007B613D"/>
    <w:rsid w:val="007C0733"/>
    <w:rsid w:val="007C3A4D"/>
    <w:rsid w:val="007C4964"/>
    <w:rsid w:val="007C547A"/>
    <w:rsid w:val="007C6AB3"/>
    <w:rsid w:val="007C7481"/>
    <w:rsid w:val="007C7EBD"/>
    <w:rsid w:val="007D14EC"/>
    <w:rsid w:val="007D5024"/>
    <w:rsid w:val="007D6069"/>
    <w:rsid w:val="007D6BCC"/>
    <w:rsid w:val="007D7692"/>
    <w:rsid w:val="007E028B"/>
    <w:rsid w:val="007E169F"/>
    <w:rsid w:val="007F226F"/>
    <w:rsid w:val="007F2791"/>
    <w:rsid w:val="007F28A3"/>
    <w:rsid w:val="007F4A9A"/>
    <w:rsid w:val="008002F1"/>
    <w:rsid w:val="00803247"/>
    <w:rsid w:val="00803337"/>
    <w:rsid w:val="00804381"/>
    <w:rsid w:val="00806C05"/>
    <w:rsid w:val="00807795"/>
    <w:rsid w:val="00810022"/>
    <w:rsid w:val="008100B9"/>
    <w:rsid w:val="00811B67"/>
    <w:rsid w:val="00816A04"/>
    <w:rsid w:val="00816E88"/>
    <w:rsid w:val="00817CA1"/>
    <w:rsid w:val="0082281F"/>
    <w:rsid w:val="00822B9C"/>
    <w:rsid w:val="00822C61"/>
    <w:rsid w:val="008258BF"/>
    <w:rsid w:val="00830713"/>
    <w:rsid w:val="008307E5"/>
    <w:rsid w:val="008307E6"/>
    <w:rsid w:val="00832068"/>
    <w:rsid w:val="00833020"/>
    <w:rsid w:val="00834981"/>
    <w:rsid w:val="00835F72"/>
    <w:rsid w:val="00837890"/>
    <w:rsid w:val="00842E17"/>
    <w:rsid w:val="00842F0B"/>
    <w:rsid w:val="00847D54"/>
    <w:rsid w:val="00853E73"/>
    <w:rsid w:val="00854F81"/>
    <w:rsid w:val="00855D27"/>
    <w:rsid w:val="00857081"/>
    <w:rsid w:val="00857616"/>
    <w:rsid w:val="00857A65"/>
    <w:rsid w:val="008603D0"/>
    <w:rsid w:val="00860A86"/>
    <w:rsid w:val="00861A4F"/>
    <w:rsid w:val="00861CFF"/>
    <w:rsid w:val="00861D1B"/>
    <w:rsid w:val="008637D8"/>
    <w:rsid w:val="008670F5"/>
    <w:rsid w:val="0086752E"/>
    <w:rsid w:val="00870A87"/>
    <w:rsid w:val="00873715"/>
    <w:rsid w:val="008768B9"/>
    <w:rsid w:val="00881311"/>
    <w:rsid w:val="00881658"/>
    <w:rsid w:val="00881ADB"/>
    <w:rsid w:val="00883CA5"/>
    <w:rsid w:val="008846B0"/>
    <w:rsid w:val="0088721E"/>
    <w:rsid w:val="00890B83"/>
    <w:rsid w:val="00890BEF"/>
    <w:rsid w:val="0089138E"/>
    <w:rsid w:val="008927FA"/>
    <w:rsid w:val="00896D06"/>
    <w:rsid w:val="008A2804"/>
    <w:rsid w:val="008A3BBD"/>
    <w:rsid w:val="008A468B"/>
    <w:rsid w:val="008A60B5"/>
    <w:rsid w:val="008A65A8"/>
    <w:rsid w:val="008B079E"/>
    <w:rsid w:val="008B1A8E"/>
    <w:rsid w:val="008B1C1B"/>
    <w:rsid w:val="008B2C32"/>
    <w:rsid w:val="008B34E9"/>
    <w:rsid w:val="008B46DF"/>
    <w:rsid w:val="008B506D"/>
    <w:rsid w:val="008B7E0F"/>
    <w:rsid w:val="008C09FF"/>
    <w:rsid w:val="008C0F0F"/>
    <w:rsid w:val="008C2EFB"/>
    <w:rsid w:val="008C30CB"/>
    <w:rsid w:val="008C3464"/>
    <w:rsid w:val="008C55CE"/>
    <w:rsid w:val="008D042F"/>
    <w:rsid w:val="008D352E"/>
    <w:rsid w:val="008D3C3A"/>
    <w:rsid w:val="008D46DF"/>
    <w:rsid w:val="008D59CA"/>
    <w:rsid w:val="008D5AAB"/>
    <w:rsid w:val="008D6393"/>
    <w:rsid w:val="008D6865"/>
    <w:rsid w:val="008D7434"/>
    <w:rsid w:val="008E0643"/>
    <w:rsid w:val="008E134F"/>
    <w:rsid w:val="008E32E9"/>
    <w:rsid w:val="008E471B"/>
    <w:rsid w:val="008E66CD"/>
    <w:rsid w:val="008F0FCA"/>
    <w:rsid w:val="008F3A24"/>
    <w:rsid w:val="008F538F"/>
    <w:rsid w:val="008F7597"/>
    <w:rsid w:val="00900F07"/>
    <w:rsid w:val="00904216"/>
    <w:rsid w:val="00906F09"/>
    <w:rsid w:val="0090748D"/>
    <w:rsid w:val="0091016D"/>
    <w:rsid w:val="00912332"/>
    <w:rsid w:val="00913BC6"/>
    <w:rsid w:val="009169B3"/>
    <w:rsid w:val="009240C6"/>
    <w:rsid w:val="009241B9"/>
    <w:rsid w:val="009257CF"/>
    <w:rsid w:val="009263BC"/>
    <w:rsid w:val="00927B22"/>
    <w:rsid w:val="00927F09"/>
    <w:rsid w:val="00931322"/>
    <w:rsid w:val="00932BAA"/>
    <w:rsid w:val="0093333B"/>
    <w:rsid w:val="00933CDE"/>
    <w:rsid w:val="0093636B"/>
    <w:rsid w:val="00936529"/>
    <w:rsid w:val="00937E7C"/>
    <w:rsid w:val="00942DF3"/>
    <w:rsid w:val="00943EF2"/>
    <w:rsid w:val="00946CEE"/>
    <w:rsid w:val="00951E21"/>
    <w:rsid w:val="00952B0A"/>
    <w:rsid w:val="00952B30"/>
    <w:rsid w:val="00955C5C"/>
    <w:rsid w:val="00957A79"/>
    <w:rsid w:val="00961E3A"/>
    <w:rsid w:val="009745D1"/>
    <w:rsid w:val="00975484"/>
    <w:rsid w:val="009760E3"/>
    <w:rsid w:val="00976C82"/>
    <w:rsid w:val="00983A8F"/>
    <w:rsid w:val="0098661A"/>
    <w:rsid w:val="00990DBD"/>
    <w:rsid w:val="00992D6F"/>
    <w:rsid w:val="009930B3"/>
    <w:rsid w:val="00993CB1"/>
    <w:rsid w:val="00997E23"/>
    <w:rsid w:val="009A1715"/>
    <w:rsid w:val="009A1AC4"/>
    <w:rsid w:val="009A4EAF"/>
    <w:rsid w:val="009A56A5"/>
    <w:rsid w:val="009A7F5F"/>
    <w:rsid w:val="009B0E62"/>
    <w:rsid w:val="009B3F26"/>
    <w:rsid w:val="009B672C"/>
    <w:rsid w:val="009C27AA"/>
    <w:rsid w:val="009C7F1F"/>
    <w:rsid w:val="009D021B"/>
    <w:rsid w:val="009D0846"/>
    <w:rsid w:val="009D47C2"/>
    <w:rsid w:val="009D5671"/>
    <w:rsid w:val="009D567F"/>
    <w:rsid w:val="009E07A1"/>
    <w:rsid w:val="009E1E26"/>
    <w:rsid w:val="009E439F"/>
    <w:rsid w:val="009E5A51"/>
    <w:rsid w:val="009F6327"/>
    <w:rsid w:val="009F6B5D"/>
    <w:rsid w:val="009F6EBE"/>
    <w:rsid w:val="009F7378"/>
    <w:rsid w:val="00A005B3"/>
    <w:rsid w:val="00A01F6E"/>
    <w:rsid w:val="00A024A7"/>
    <w:rsid w:val="00A0352D"/>
    <w:rsid w:val="00A039EC"/>
    <w:rsid w:val="00A0440B"/>
    <w:rsid w:val="00A05180"/>
    <w:rsid w:val="00A05E90"/>
    <w:rsid w:val="00A06203"/>
    <w:rsid w:val="00A065BF"/>
    <w:rsid w:val="00A07246"/>
    <w:rsid w:val="00A079C1"/>
    <w:rsid w:val="00A101AD"/>
    <w:rsid w:val="00A1734B"/>
    <w:rsid w:val="00A177FA"/>
    <w:rsid w:val="00A17BC5"/>
    <w:rsid w:val="00A21E32"/>
    <w:rsid w:val="00A2389F"/>
    <w:rsid w:val="00A25314"/>
    <w:rsid w:val="00A256AF"/>
    <w:rsid w:val="00A25B9A"/>
    <w:rsid w:val="00A32A24"/>
    <w:rsid w:val="00A33A10"/>
    <w:rsid w:val="00A34505"/>
    <w:rsid w:val="00A37305"/>
    <w:rsid w:val="00A4158C"/>
    <w:rsid w:val="00A42AFD"/>
    <w:rsid w:val="00A44980"/>
    <w:rsid w:val="00A44DD1"/>
    <w:rsid w:val="00A454D2"/>
    <w:rsid w:val="00A46C5A"/>
    <w:rsid w:val="00A4750C"/>
    <w:rsid w:val="00A50878"/>
    <w:rsid w:val="00A51FB9"/>
    <w:rsid w:val="00A521BA"/>
    <w:rsid w:val="00A532FA"/>
    <w:rsid w:val="00A53352"/>
    <w:rsid w:val="00A563D8"/>
    <w:rsid w:val="00A61692"/>
    <w:rsid w:val="00A64904"/>
    <w:rsid w:val="00A6611B"/>
    <w:rsid w:val="00A67776"/>
    <w:rsid w:val="00A7360A"/>
    <w:rsid w:val="00A7512A"/>
    <w:rsid w:val="00A771CA"/>
    <w:rsid w:val="00A800CB"/>
    <w:rsid w:val="00A85BDC"/>
    <w:rsid w:val="00A86462"/>
    <w:rsid w:val="00A86525"/>
    <w:rsid w:val="00A8716A"/>
    <w:rsid w:val="00A9238C"/>
    <w:rsid w:val="00A934C4"/>
    <w:rsid w:val="00A94D52"/>
    <w:rsid w:val="00A95C32"/>
    <w:rsid w:val="00A966C4"/>
    <w:rsid w:val="00AA227C"/>
    <w:rsid w:val="00AA531F"/>
    <w:rsid w:val="00AA5B3D"/>
    <w:rsid w:val="00AB1172"/>
    <w:rsid w:val="00AB3518"/>
    <w:rsid w:val="00AB371A"/>
    <w:rsid w:val="00AB669C"/>
    <w:rsid w:val="00AC0C2E"/>
    <w:rsid w:val="00AC127A"/>
    <w:rsid w:val="00AC2BF5"/>
    <w:rsid w:val="00AC615E"/>
    <w:rsid w:val="00AD08C7"/>
    <w:rsid w:val="00AD09FF"/>
    <w:rsid w:val="00AD17F4"/>
    <w:rsid w:val="00AD3146"/>
    <w:rsid w:val="00AD6449"/>
    <w:rsid w:val="00AE062B"/>
    <w:rsid w:val="00AE1839"/>
    <w:rsid w:val="00AE38A3"/>
    <w:rsid w:val="00AE6C0B"/>
    <w:rsid w:val="00AF4C57"/>
    <w:rsid w:val="00AF63F9"/>
    <w:rsid w:val="00AF747A"/>
    <w:rsid w:val="00B0204B"/>
    <w:rsid w:val="00B03A87"/>
    <w:rsid w:val="00B07C36"/>
    <w:rsid w:val="00B11A22"/>
    <w:rsid w:val="00B168DB"/>
    <w:rsid w:val="00B203E7"/>
    <w:rsid w:val="00B205FC"/>
    <w:rsid w:val="00B25101"/>
    <w:rsid w:val="00B257BE"/>
    <w:rsid w:val="00B316AD"/>
    <w:rsid w:val="00B32358"/>
    <w:rsid w:val="00B33342"/>
    <w:rsid w:val="00B35774"/>
    <w:rsid w:val="00B36293"/>
    <w:rsid w:val="00B37D36"/>
    <w:rsid w:val="00B43DD7"/>
    <w:rsid w:val="00B478D1"/>
    <w:rsid w:val="00B5183D"/>
    <w:rsid w:val="00B548BF"/>
    <w:rsid w:val="00B54A1F"/>
    <w:rsid w:val="00B57877"/>
    <w:rsid w:val="00B57913"/>
    <w:rsid w:val="00B5796C"/>
    <w:rsid w:val="00B615F4"/>
    <w:rsid w:val="00B66550"/>
    <w:rsid w:val="00B673D5"/>
    <w:rsid w:val="00B67B73"/>
    <w:rsid w:val="00B7038B"/>
    <w:rsid w:val="00B71988"/>
    <w:rsid w:val="00B73AEA"/>
    <w:rsid w:val="00B75F74"/>
    <w:rsid w:val="00B77161"/>
    <w:rsid w:val="00B77D27"/>
    <w:rsid w:val="00B80318"/>
    <w:rsid w:val="00B86D5C"/>
    <w:rsid w:val="00B87364"/>
    <w:rsid w:val="00B91041"/>
    <w:rsid w:val="00B915BA"/>
    <w:rsid w:val="00B9198C"/>
    <w:rsid w:val="00B932DB"/>
    <w:rsid w:val="00B93510"/>
    <w:rsid w:val="00B936A9"/>
    <w:rsid w:val="00B95187"/>
    <w:rsid w:val="00B95F84"/>
    <w:rsid w:val="00B97ABD"/>
    <w:rsid w:val="00BA1525"/>
    <w:rsid w:val="00BA36EA"/>
    <w:rsid w:val="00BA5D43"/>
    <w:rsid w:val="00BA5FCF"/>
    <w:rsid w:val="00BB0E9E"/>
    <w:rsid w:val="00BB1F14"/>
    <w:rsid w:val="00BB200B"/>
    <w:rsid w:val="00BB21A3"/>
    <w:rsid w:val="00BB2741"/>
    <w:rsid w:val="00BB29D7"/>
    <w:rsid w:val="00BB371F"/>
    <w:rsid w:val="00BB3A5D"/>
    <w:rsid w:val="00BB6E70"/>
    <w:rsid w:val="00BB71C3"/>
    <w:rsid w:val="00BB724B"/>
    <w:rsid w:val="00BB7A5A"/>
    <w:rsid w:val="00BC2624"/>
    <w:rsid w:val="00BC262C"/>
    <w:rsid w:val="00BC2D2C"/>
    <w:rsid w:val="00BC55B6"/>
    <w:rsid w:val="00BC625B"/>
    <w:rsid w:val="00BC739D"/>
    <w:rsid w:val="00BD0E73"/>
    <w:rsid w:val="00BD207E"/>
    <w:rsid w:val="00BD270A"/>
    <w:rsid w:val="00BD34E5"/>
    <w:rsid w:val="00BE1383"/>
    <w:rsid w:val="00BE2057"/>
    <w:rsid w:val="00BE223D"/>
    <w:rsid w:val="00BE35EB"/>
    <w:rsid w:val="00BE4EB5"/>
    <w:rsid w:val="00BE7076"/>
    <w:rsid w:val="00BE77E8"/>
    <w:rsid w:val="00BF14BF"/>
    <w:rsid w:val="00BF1958"/>
    <w:rsid w:val="00BF33A8"/>
    <w:rsid w:val="00BF3929"/>
    <w:rsid w:val="00BF6F7C"/>
    <w:rsid w:val="00C0005C"/>
    <w:rsid w:val="00C01492"/>
    <w:rsid w:val="00C0366A"/>
    <w:rsid w:val="00C03B05"/>
    <w:rsid w:val="00C0432E"/>
    <w:rsid w:val="00C05025"/>
    <w:rsid w:val="00C05772"/>
    <w:rsid w:val="00C060EF"/>
    <w:rsid w:val="00C06E1F"/>
    <w:rsid w:val="00C1077F"/>
    <w:rsid w:val="00C11AE3"/>
    <w:rsid w:val="00C12C17"/>
    <w:rsid w:val="00C136D3"/>
    <w:rsid w:val="00C14FA5"/>
    <w:rsid w:val="00C23DE2"/>
    <w:rsid w:val="00C23E8C"/>
    <w:rsid w:val="00C25B75"/>
    <w:rsid w:val="00C307D6"/>
    <w:rsid w:val="00C31606"/>
    <w:rsid w:val="00C345A0"/>
    <w:rsid w:val="00C34648"/>
    <w:rsid w:val="00C35704"/>
    <w:rsid w:val="00C4140C"/>
    <w:rsid w:val="00C43A02"/>
    <w:rsid w:val="00C44C77"/>
    <w:rsid w:val="00C46238"/>
    <w:rsid w:val="00C464DC"/>
    <w:rsid w:val="00C47381"/>
    <w:rsid w:val="00C511B5"/>
    <w:rsid w:val="00C52BA8"/>
    <w:rsid w:val="00C538CB"/>
    <w:rsid w:val="00C546DC"/>
    <w:rsid w:val="00C54716"/>
    <w:rsid w:val="00C57B3A"/>
    <w:rsid w:val="00C60D1B"/>
    <w:rsid w:val="00C63E73"/>
    <w:rsid w:val="00C648B2"/>
    <w:rsid w:val="00C64B9B"/>
    <w:rsid w:val="00C668B6"/>
    <w:rsid w:val="00C72100"/>
    <w:rsid w:val="00C72724"/>
    <w:rsid w:val="00C758B8"/>
    <w:rsid w:val="00C7719D"/>
    <w:rsid w:val="00C81DE2"/>
    <w:rsid w:val="00C81E8B"/>
    <w:rsid w:val="00C82DBA"/>
    <w:rsid w:val="00C87D80"/>
    <w:rsid w:val="00C97CE1"/>
    <w:rsid w:val="00CA395D"/>
    <w:rsid w:val="00CA433E"/>
    <w:rsid w:val="00CA44D5"/>
    <w:rsid w:val="00CA514B"/>
    <w:rsid w:val="00CA547A"/>
    <w:rsid w:val="00CA5536"/>
    <w:rsid w:val="00CA7291"/>
    <w:rsid w:val="00CB1ABC"/>
    <w:rsid w:val="00CB48FA"/>
    <w:rsid w:val="00CC14F0"/>
    <w:rsid w:val="00CC1FF3"/>
    <w:rsid w:val="00CC3DC6"/>
    <w:rsid w:val="00CC5028"/>
    <w:rsid w:val="00CC79AD"/>
    <w:rsid w:val="00CD05C4"/>
    <w:rsid w:val="00CD2EFB"/>
    <w:rsid w:val="00CD318E"/>
    <w:rsid w:val="00CD3BE2"/>
    <w:rsid w:val="00CD42FA"/>
    <w:rsid w:val="00CD5CF8"/>
    <w:rsid w:val="00CD6A67"/>
    <w:rsid w:val="00CD7FB4"/>
    <w:rsid w:val="00CE302D"/>
    <w:rsid w:val="00CE3CDD"/>
    <w:rsid w:val="00CE4698"/>
    <w:rsid w:val="00CE4A09"/>
    <w:rsid w:val="00CE5A35"/>
    <w:rsid w:val="00CE5E95"/>
    <w:rsid w:val="00CE6043"/>
    <w:rsid w:val="00CF1013"/>
    <w:rsid w:val="00CF5B51"/>
    <w:rsid w:val="00CF5F47"/>
    <w:rsid w:val="00CF6D59"/>
    <w:rsid w:val="00D01D80"/>
    <w:rsid w:val="00D02D3D"/>
    <w:rsid w:val="00D056F9"/>
    <w:rsid w:val="00D0594F"/>
    <w:rsid w:val="00D05950"/>
    <w:rsid w:val="00D05FD6"/>
    <w:rsid w:val="00D13611"/>
    <w:rsid w:val="00D14B83"/>
    <w:rsid w:val="00D15CCE"/>
    <w:rsid w:val="00D16068"/>
    <w:rsid w:val="00D1674A"/>
    <w:rsid w:val="00D17486"/>
    <w:rsid w:val="00D201EC"/>
    <w:rsid w:val="00D20C01"/>
    <w:rsid w:val="00D2236B"/>
    <w:rsid w:val="00D25EE2"/>
    <w:rsid w:val="00D27582"/>
    <w:rsid w:val="00D27DFF"/>
    <w:rsid w:val="00D30692"/>
    <w:rsid w:val="00D30847"/>
    <w:rsid w:val="00D30E73"/>
    <w:rsid w:val="00D328AA"/>
    <w:rsid w:val="00D34310"/>
    <w:rsid w:val="00D40CEC"/>
    <w:rsid w:val="00D43996"/>
    <w:rsid w:val="00D47324"/>
    <w:rsid w:val="00D53F15"/>
    <w:rsid w:val="00D56195"/>
    <w:rsid w:val="00D624B4"/>
    <w:rsid w:val="00D640D3"/>
    <w:rsid w:val="00D658F6"/>
    <w:rsid w:val="00D666E2"/>
    <w:rsid w:val="00D670BC"/>
    <w:rsid w:val="00D67403"/>
    <w:rsid w:val="00D721AD"/>
    <w:rsid w:val="00D733B0"/>
    <w:rsid w:val="00D759E8"/>
    <w:rsid w:val="00D771A9"/>
    <w:rsid w:val="00D84338"/>
    <w:rsid w:val="00D87AEF"/>
    <w:rsid w:val="00D90F53"/>
    <w:rsid w:val="00D9145C"/>
    <w:rsid w:val="00D92551"/>
    <w:rsid w:val="00D94688"/>
    <w:rsid w:val="00D94CBA"/>
    <w:rsid w:val="00D962A1"/>
    <w:rsid w:val="00DA2004"/>
    <w:rsid w:val="00DA21BB"/>
    <w:rsid w:val="00DA5A55"/>
    <w:rsid w:val="00DB0447"/>
    <w:rsid w:val="00DB0451"/>
    <w:rsid w:val="00DB15FC"/>
    <w:rsid w:val="00DB17B9"/>
    <w:rsid w:val="00DB1F2E"/>
    <w:rsid w:val="00DB2E6A"/>
    <w:rsid w:val="00DB38DD"/>
    <w:rsid w:val="00DB5099"/>
    <w:rsid w:val="00DB75A5"/>
    <w:rsid w:val="00DB7FB2"/>
    <w:rsid w:val="00DB7FD7"/>
    <w:rsid w:val="00DC0D34"/>
    <w:rsid w:val="00DC23A9"/>
    <w:rsid w:val="00DC2F3E"/>
    <w:rsid w:val="00DC2FA1"/>
    <w:rsid w:val="00DC35CD"/>
    <w:rsid w:val="00DC3C92"/>
    <w:rsid w:val="00DC4337"/>
    <w:rsid w:val="00DC56F9"/>
    <w:rsid w:val="00DD10CC"/>
    <w:rsid w:val="00DD15AB"/>
    <w:rsid w:val="00DD2517"/>
    <w:rsid w:val="00DD4BAB"/>
    <w:rsid w:val="00DD69AE"/>
    <w:rsid w:val="00DD79D6"/>
    <w:rsid w:val="00DE1DFC"/>
    <w:rsid w:val="00DE3288"/>
    <w:rsid w:val="00DF0919"/>
    <w:rsid w:val="00DF09FD"/>
    <w:rsid w:val="00DF0E4F"/>
    <w:rsid w:val="00DF3286"/>
    <w:rsid w:val="00DF3F49"/>
    <w:rsid w:val="00DF4229"/>
    <w:rsid w:val="00DF52F4"/>
    <w:rsid w:val="00DF64BB"/>
    <w:rsid w:val="00E01AC7"/>
    <w:rsid w:val="00E02077"/>
    <w:rsid w:val="00E02906"/>
    <w:rsid w:val="00E0308A"/>
    <w:rsid w:val="00E121A0"/>
    <w:rsid w:val="00E12360"/>
    <w:rsid w:val="00E12636"/>
    <w:rsid w:val="00E12DC7"/>
    <w:rsid w:val="00E206A0"/>
    <w:rsid w:val="00E20BB6"/>
    <w:rsid w:val="00E21113"/>
    <w:rsid w:val="00E230E9"/>
    <w:rsid w:val="00E266AD"/>
    <w:rsid w:val="00E27DFF"/>
    <w:rsid w:val="00E30186"/>
    <w:rsid w:val="00E30272"/>
    <w:rsid w:val="00E31992"/>
    <w:rsid w:val="00E3527B"/>
    <w:rsid w:val="00E35626"/>
    <w:rsid w:val="00E374CF"/>
    <w:rsid w:val="00E37520"/>
    <w:rsid w:val="00E40F12"/>
    <w:rsid w:val="00E417D4"/>
    <w:rsid w:val="00E41B78"/>
    <w:rsid w:val="00E426C4"/>
    <w:rsid w:val="00E44EAC"/>
    <w:rsid w:val="00E4548F"/>
    <w:rsid w:val="00E50504"/>
    <w:rsid w:val="00E52AC4"/>
    <w:rsid w:val="00E53782"/>
    <w:rsid w:val="00E5564E"/>
    <w:rsid w:val="00E55D26"/>
    <w:rsid w:val="00E56A1C"/>
    <w:rsid w:val="00E6286A"/>
    <w:rsid w:val="00E62C20"/>
    <w:rsid w:val="00E66280"/>
    <w:rsid w:val="00E66E1A"/>
    <w:rsid w:val="00E70786"/>
    <w:rsid w:val="00E71ADC"/>
    <w:rsid w:val="00E72895"/>
    <w:rsid w:val="00E751D2"/>
    <w:rsid w:val="00E751FE"/>
    <w:rsid w:val="00E75545"/>
    <w:rsid w:val="00E7691A"/>
    <w:rsid w:val="00E7717C"/>
    <w:rsid w:val="00E80C49"/>
    <w:rsid w:val="00E87015"/>
    <w:rsid w:val="00E8742A"/>
    <w:rsid w:val="00E87F04"/>
    <w:rsid w:val="00E92575"/>
    <w:rsid w:val="00E929B7"/>
    <w:rsid w:val="00E92C37"/>
    <w:rsid w:val="00E92EEE"/>
    <w:rsid w:val="00E951E6"/>
    <w:rsid w:val="00E97CA1"/>
    <w:rsid w:val="00E97D71"/>
    <w:rsid w:val="00EA4465"/>
    <w:rsid w:val="00EA59DF"/>
    <w:rsid w:val="00EB0A70"/>
    <w:rsid w:val="00EB14D9"/>
    <w:rsid w:val="00EB3118"/>
    <w:rsid w:val="00EB433F"/>
    <w:rsid w:val="00EB4678"/>
    <w:rsid w:val="00EB51D3"/>
    <w:rsid w:val="00EB788D"/>
    <w:rsid w:val="00EC2FC9"/>
    <w:rsid w:val="00EC38DD"/>
    <w:rsid w:val="00EC3F48"/>
    <w:rsid w:val="00EC42BB"/>
    <w:rsid w:val="00EC7B5D"/>
    <w:rsid w:val="00ED0E69"/>
    <w:rsid w:val="00ED12CA"/>
    <w:rsid w:val="00ED4A46"/>
    <w:rsid w:val="00ED6399"/>
    <w:rsid w:val="00EE08BC"/>
    <w:rsid w:val="00EE2F4B"/>
    <w:rsid w:val="00EE47AE"/>
    <w:rsid w:val="00EE65EA"/>
    <w:rsid w:val="00EE7448"/>
    <w:rsid w:val="00EF363F"/>
    <w:rsid w:val="00EF4F20"/>
    <w:rsid w:val="00F00F5B"/>
    <w:rsid w:val="00F01E7E"/>
    <w:rsid w:val="00F04631"/>
    <w:rsid w:val="00F04A32"/>
    <w:rsid w:val="00F04E65"/>
    <w:rsid w:val="00F05FFC"/>
    <w:rsid w:val="00F06518"/>
    <w:rsid w:val="00F07ABB"/>
    <w:rsid w:val="00F12602"/>
    <w:rsid w:val="00F13052"/>
    <w:rsid w:val="00F13320"/>
    <w:rsid w:val="00F15B1D"/>
    <w:rsid w:val="00F165C1"/>
    <w:rsid w:val="00F16F63"/>
    <w:rsid w:val="00F179C2"/>
    <w:rsid w:val="00F17D85"/>
    <w:rsid w:val="00F17E79"/>
    <w:rsid w:val="00F24877"/>
    <w:rsid w:val="00F268AB"/>
    <w:rsid w:val="00F268D4"/>
    <w:rsid w:val="00F27B1F"/>
    <w:rsid w:val="00F3107C"/>
    <w:rsid w:val="00F323E5"/>
    <w:rsid w:val="00F33A01"/>
    <w:rsid w:val="00F34868"/>
    <w:rsid w:val="00F357C4"/>
    <w:rsid w:val="00F3633B"/>
    <w:rsid w:val="00F373D2"/>
    <w:rsid w:val="00F37774"/>
    <w:rsid w:val="00F407EB"/>
    <w:rsid w:val="00F40C58"/>
    <w:rsid w:val="00F41C06"/>
    <w:rsid w:val="00F429DA"/>
    <w:rsid w:val="00F42DC7"/>
    <w:rsid w:val="00F44D63"/>
    <w:rsid w:val="00F4542A"/>
    <w:rsid w:val="00F47FAA"/>
    <w:rsid w:val="00F5057A"/>
    <w:rsid w:val="00F52313"/>
    <w:rsid w:val="00F54693"/>
    <w:rsid w:val="00F56031"/>
    <w:rsid w:val="00F57275"/>
    <w:rsid w:val="00F57323"/>
    <w:rsid w:val="00F57D54"/>
    <w:rsid w:val="00F60F03"/>
    <w:rsid w:val="00F6117B"/>
    <w:rsid w:val="00F61EF5"/>
    <w:rsid w:val="00F63D26"/>
    <w:rsid w:val="00F66468"/>
    <w:rsid w:val="00F678EB"/>
    <w:rsid w:val="00F67C4B"/>
    <w:rsid w:val="00F7025F"/>
    <w:rsid w:val="00F73136"/>
    <w:rsid w:val="00F73287"/>
    <w:rsid w:val="00F73DC4"/>
    <w:rsid w:val="00F74540"/>
    <w:rsid w:val="00F74946"/>
    <w:rsid w:val="00F74FA4"/>
    <w:rsid w:val="00F765AA"/>
    <w:rsid w:val="00F774B5"/>
    <w:rsid w:val="00F77B97"/>
    <w:rsid w:val="00F80BA3"/>
    <w:rsid w:val="00F85BEE"/>
    <w:rsid w:val="00F86AEB"/>
    <w:rsid w:val="00F871CA"/>
    <w:rsid w:val="00F90020"/>
    <w:rsid w:val="00F90B6D"/>
    <w:rsid w:val="00F94B0C"/>
    <w:rsid w:val="00F94B6D"/>
    <w:rsid w:val="00F94B9A"/>
    <w:rsid w:val="00F9515E"/>
    <w:rsid w:val="00F969D5"/>
    <w:rsid w:val="00F973BD"/>
    <w:rsid w:val="00F97D2B"/>
    <w:rsid w:val="00FA0D31"/>
    <w:rsid w:val="00FA1D03"/>
    <w:rsid w:val="00FA3765"/>
    <w:rsid w:val="00FA3B08"/>
    <w:rsid w:val="00FA4D44"/>
    <w:rsid w:val="00FB1BF8"/>
    <w:rsid w:val="00FB2568"/>
    <w:rsid w:val="00FB2807"/>
    <w:rsid w:val="00FB2885"/>
    <w:rsid w:val="00FB4D27"/>
    <w:rsid w:val="00FB546D"/>
    <w:rsid w:val="00FB5E31"/>
    <w:rsid w:val="00FC010E"/>
    <w:rsid w:val="00FC22FD"/>
    <w:rsid w:val="00FC354A"/>
    <w:rsid w:val="00FC3E82"/>
    <w:rsid w:val="00FC4B37"/>
    <w:rsid w:val="00FD08A3"/>
    <w:rsid w:val="00FD1989"/>
    <w:rsid w:val="00FD1E11"/>
    <w:rsid w:val="00FD20AE"/>
    <w:rsid w:val="00FD3D7A"/>
    <w:rsid w:val="00FD7896"/>
    <w:rsid w:val="00FE4619"/>
    <w:rsid w:val="00FE57C7"/>
    <w:rsid w:val="00FF1532"/>
    <w:rsid w:val="00FF158B"/>
    <w:rsid w:val="00FF1E95"/>
    <w:rsid w:val="00FF1EEE"/>
    <w:rsid w:val="00FF4C3A"/>
    <w:rsid w:val="00FF6114"/>
    <w:rsid w:val="00FF6386"/>
    <w:rsid w:val="00FF75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79BCD6C9"/>
  <w15:docId w15:val="{1B4A5F96-E844-4719-BBA9-3B0F29B3FE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C1DFD"/>
    <w:pPr>
      <w:jc w:val="both"/>
    </w:pPr>
  </w:style>
  <w:style w:type="paragraph" w:styleId="Titolo1">
    <w:name w:val="heading 1"/>
    <w:basedOn w:val="Normale"/>
    <w:next w:val="Normale"/>
    <w:link w:val="Titolo1Carattere"/>
    <w:uiPriority w:val="9"/>
    <w:qFormat/>
    <w:rsid w:val="004D29C1"/>
    <w:pPr>
      <w:keepNext/>
      <w:keepLines/>
      <w:spacing w:before="240" w:after="12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8B7E0F"/>
    <w:pPr>
      <w:keepNext/>
      <w:keepLines/>
      <w:spacing w:before="40" w:after="12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83206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88131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9241B9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241B9"/>
  </w:style>
  <w:style w:type="paragraph" w:styleId="Pidipagina">
    <w:name w:val="footer"/>
    <w:basedOn w:val="Normale"/>
    <w:link w:val="PidipaginaCarattere"/>
    <w:uiPriority w:val="99"/>
    <w:unhideWhenUsed/>
    <w:rsid w:val="009241B9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241B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241B9"/>
    <w:pPr>
      <w:spacing w:after="0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241B9"/>
    <w:rPr>
      <w:rFonts w:ascii="Tahoma" w:hAnsi="Tahoma" w:cs="Tahoma"/>
      <w:sz w:val="16"/>
      <w:szCs w:val="16"/>
    </w:rPr>
  </w:style>
  <w:style w:type="paragraph" w:styleId="Titolo">
    <w:name w:val="Title"/>
    <w:basedOn w:val="Normale"/>
    <w:next w:val="Normale"/>
    <w:link w:val="TitoloCarattere"/>
    <w:uiPriority w:val="10"/>
    <w:qFormat/>
    <w:rsid w:val="001F3A3D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1F3A3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ormaleWeb">
    <w:name w:val="Normal (Web)"/>
    <w:basedOn w:val="Normale"/>
    <w:uiPriority w:val="99"/>
    <w:unhideWhenUsed/>
    <w:rsid w:val="001F3A3D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table" w:styleId="Tabellagriglia4-colore3">
    <w:name w:val="Grid Table 4 Accent 3"/>
    <w:basedOn w:val="Tabellanormale"/>
    <w:uiPriority w:val="49"/>
    <w:rsid w:val="001F3A3D"/>
    <w:pPr>
      <w:spacing w:after="0"/>
    </w:pPr>
    <w:rPr>
      <w:sz w:val="24"/>
      <w:szCs w:val="24"/>
    </w:r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character" w:customStyle="1" w:styleId="Titolo1Carattere">
    <w:name w:val="Titolo 1 Carattere"/>
    <w:basedOn w:val="Carpredefinitoparagrafo"/>
    <w:link w:val="Titolo1"/>
    <w:uiPriority w:val="9"/>
    <w:rsid w:val="004D29C1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Paragrafoelenco">
    <w:name w:val="List Paragraph"/>
    <w:aliases w:val="Elenco puntato,Titolo Paragrafo"/>
    <w:basedOn w:val="Normale"/>
    <w:link w:val="ParagrafoelencoCarattere"/>
    <w:uiPriority w:val="34"/>
    <w:qFormat/>
    <w:rsid w:val="00C31606"/>
    <w:pPr>
      <w:spacing w:after="160" w:line="259" w:lineRule="auto"/>
      <w:ind w:left="720"/>
      <w:contextualSpacing/>
    </w:pPr>
  </w:style>
  <w:style w:type="character" w:customStyle="1" w:styleId="Titolo2Carattere">
    <w:name w:val="Titolo 2 Carattere"/>
    <w:basedOn w:val="Carpredefinitoparagrafo"/>
    <w:link w:val="Titolo2"/>
    <w:uiPriority w:val="9"/>
    <w:rsid w:val="008B7E0F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Default">
    <w:name w:val="Default"/>
    <w:rsid w:val="00E62C20"/>
    <w:pPr>
      <w:autoSpaceDE w:val="0"/>
      <w:autoSpaceDN w:val="0"/>
      <w:adjustRightInd w:val="0"/>
      <w:spacing w:after="0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Titolo3Carattere">
    <w:name w:val="Titolo 3 Carattere"/>
    <w:basedOn w:val="Carpredefinitoparagrafo"/>
    <w:link w:val="Titolo3"/>
    <w:uiPriority w:val="9"/>
    <w:rsid w:val="00832068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itolosommario">
    <w:name w:val="TOC Heading"/>
    <w:basedOn w:val="Titolo1"/>
    <w:next w:val="Normale"/>
    <w:uiPriority w:val="39"/>
    <w:unhideWhenUsed/>
    <w:qFormat/>
    <w:rsid w:val="00A86462"/>
    <w:pPr>
      <w:spacing w:line="259" w:lineRule="auto"/>
      <w:jc w:val="left"/>
      <w:outlineLvl w:val="9"/>
    </w:pPr>
    <w:rPr>
      <w:lang w:eastAsia="it-IT"/>
    </w:rPr>
  </w:style>
  <w:style w:type="paragraph" w:styleId="Sommario1">
    <w:name w:val="toc 1"/>
    <w:basedOn w:val="Normale"/>
    <w:next w:val="Normale"/>
    <w:autoRedefine/>
    <w:uiPriority w:val="39"/>
    <w:unhideWhenUsed/>
    <w:rsid w:val="00225920"/>
    <w:pPr>
      <w:tabs>
        <w:tab w:val="right" w:leader="dot" w:pos="9628"/>
      </w:tabs>
      <w:spacing w:after="100"/>
    </w:pPr>
  </w:style>
  <w:style w:type="paragraph" w:styleId="Sommario2">
    <w:name w:val="toc 2"/>
    <w:basedOn w:val="Normale"/>
    <w:next w:val="Normale"/>
    <w:autoRedefine/>
    <w:uiPriority w:val="39"/>
    <w:unhideWhenUsed/>
    <w:rsid w:val="00225920"/>
    <w:pPr>
      <w:tabs>
        <w:tab w:val="right" w:leader="dot" w:pos="9628"/>
      </w:tabs>
      <w:spacing w:after="100"/>
      <w:ind w:left="220"/>
    </w:pPr>
  </w:style>
  <w:style w:type="paragraph" w:styleId="Sommario3">
    <w:name w:val="toc 3"/>
    <w:basedOn w:val="Normale"/>
    <w:next w:val="Normale"/>
    <w:autoRedefine/>
    <w:uiPriority w:val="39"/>
    <w:unhideWhenUsed/>
    <w:rsid w:val="00A86462"/>
    <w:pPr>
      <w:spacing w:after="100"/>
      <w:ind w:left="440"/>
    </w:pPr>
  </w:style>
  <w:style w:type="character" w:styleId="Collegamentoipertestuale">
    <w:name w:val="Hyperlink"/>
    <w:basedOn w:val="Carpredefinitoparagrafo"/>
    <w:uiPriority w:val="99"/>
    <w:unhideWhenUsed/>
    <w:rsid w:val="00A86462"/>
    <w:rPr>
      <w:color w:val="0000FF" w:themeColor="hyperlink"/>
      <w:u w:val="single"/>
    </w:rPr>
  </w:style>
  <w:style w:type="table" w:styleId="Grigliatabellachiara">
    <w:name w:val="Grid Table Light"/>
    <w:basedOn w:val="Tabellanormale"/>
    <w:uiPriority w:val="40"/>
    <w:rsid w:val="00822C61"/>
    <w:pPr>
      <w:spacing w:after="0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stonotaapidipagina">
    <w:name w:val="footnote text"/>
    <w:aliases w:val="stile 1,Footnote1,Footnote2,Footnote3,Footnote4,Footnote5,Footnote6,Footnote7,Footnote8,Footnote9,Footnote10,Footnote11,Footnote21,Footnote31,Footnote41,Footnote51,Footnote61,Footnote71,Footnote81,Footnote91,stile 111,- Report"/>
    <w:basedOn w:val="Normale"/>
    <w:link w:val="TestonotaapidipaginaCarattere"/>
    <w:uiPriority w:val="99"/>
    <w:unhideWhenUsed/>
    <w:rsid w:val="00C0366A"/>
    <w:pPr>
      <w:spacing w:after="0"/>
    </w:pPr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1 Carattere,Footnote2 Carattere,Footnote3 Carattere,Footnote4 Carattere,Footnote5 Carattere,Footnote6 Carattere,Footnote7 Carattere,Footnote8 Carattere,Footnote9 Carattere,- Report Carattere"/>
    <w:basedOn w:val="Carpredefinitoparagrafo"/>
    <w:link w:val="Testonotaapidipagina"/>
    <w:uiPriority w:val="99"/>
    <w:rsid w:val="00C0366A"/>
    <w:rPr>
      <w:sz w:val="20"/>
      <w:szCs w:val="20"/>
    </w:rPr>
  </w:style>
  <w:style w:type="character" w:styleId="Rimandonotaapidipagina">
    <w:name w:val="footnote reference"/>
    <w:aliases w:val="Footnote symbol,Footnote,BVI fnr,(Footnote Reference),SUPERS,Times 10 Point,Exposant 3 Point,Voetnootverwijzing,Footnote reference number,note TESI,Footnote Reference Superscript,Footnote Reference Number,BVI fnr Car Car"/>
    <w:basedOn w:val="Carpredefinitoparagrafo"/>
    <w:link w:val="Nota"/>
    <w:uiPriority w:val="99"/>
    <w:unhideWhenUsed/>
    <w:rsid w:val="00C0366A"/>
    <w:rPr>
      <w:vertAlign w:val="superscript"/>
    </w:rPr>
  </w:style>
  <w:style w:type="character" w:customStyle="1" w:styleId="Titolo4Carattere">
    <w:name w:val="Titolo 4 Carattere"/>
    <w:basedOn w:val="Carpredefinitoparagrafo"/>
    <w:link w:val="Titolo4"/>
    <w:uiPriority w:val="9"/>
    <w:rsid w:val="00881311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table" w:styleId="Grigliatabella">
    <w:name w:val="Table Grid"/>
    <w:aliases w:val="valentina1"/>
    <w:basedOn w:val="Tabellanormale"/>
    <w:uiPriority w:val="39"/>
    <w:rsid w:val="003D0A7C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basedOn w:val="Carpredefinitoparagrafo"/>
    <w:uiPriority w:val="99"/>
    <w:semiHidden/>
    <w:unhideWhenUsed/>
    <w:rsid w:val="00A46C5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A46C5A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A46C5A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46C5A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46C5A"/>
    <w:rPr>
      <w:b/>
      <w:bCs/>
      <w:sz w:val="20"/>
      <w:szCs w:val="20"/>
    </w:rPr>
  </w:style>
  <w:style w:type="character" w:customStyle="1" w:styleId="ParagrafoelencoCarattere">
    <w:name w:val="Paragrafo elenco Carattere"/>
    <w:aliases w:val="Elenco puntato Carattere,Titolo Paragrafo Carattere"/>
    <w:link w:val="Paragrafoelenco"/>
    <w:uiPriority w:val="34"/>
    <w:rsid w:val="00D94CBA"/>
  </w:style>
  <w:style w:type="paragraph" w:styleId="Revisione">
    <w:name w:val="Revision"/>
    <w:hidden/>
    <w:uiPriority w:val="99"/>
    <w:semiHidden/>
    <w:rsid w:val="004A49C0"/>
    <w:pPr>
      <w:spacing w:after="0"/>
    </w:pPr>
  </w:style>
  <w:style w:type="paragraph" w:customStyle="1" w:styleId="Fontetabellagrafico">
    <w:name w:val="Fonte tabella/grafico"/>
    <w:basedOn w:val="Normale"/>
    <w:qFormat/>
    <w:rsid w:val="00FB2885"/>
    <w:pPr>
      <w:spacing w:after="60"/>
      <w:jc w:val="left"/>
    </w:pPr>
    <w:rPr>
      <w:i/>
      <w:sz w:val="17"/>
      <w:szCs w:val="17"/>
    </w:rPr>
  </w:style>
  <w:style w:type="paragraph" w:customStyle="1" w:styleId="Titolotab-grafReport">
    <w:name w:val="Titolo tab-graf Report"/>
    <w:basedOn w:val="Normale"/>
    <w:qFormat/>
    <w:rsid w:val="00A25B9A"/>
    <w:pPr>
      <w:keepNext/>
      <w:numPr>
        <w:numId w:val="3"/>
      </w:numPr>
      <w:tabs>
        <w:tab w:val="left" w:pos="993"/>
      </w:tabs>
      <w:spacing w:before="200" w:after="0"/>
    </w:pPr>
    <w:rPr>
      <w:rFonts w:ascii="Calibri" w:eastAsia="Calibri" w:hAnsi="Calibri" w:cs="Cambria"/>
      <w:b/>
      <w:b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6750E2"/>
    <w:rPr>
      <w:color w:val="800080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043C64"/>
    <w:rPr>
      <w:b/>
      <w:bCs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043C64"/>
    <w:rPr>
      <w:color w:val="605E5C"/>
      <w:shd w:val="clear" w:color="auto" w:fill="E1DFDD"/>
    </w:rPr>
  </w:style>
  <w:style w:type="paragraph" w:customStyle="1" w:styleId="Titolofig">
    <w:name w:val="Titolo fig"/>
    <w:basedOn w:val="Normale"/>
    <w:link w:val="TitolofigCarattere"/>
    <w:qFormat/>
    <w:rsid w:val="005E3A86"/>
    <w:pPr>
      <w:keepNext/>
      <w:numPr>
        <w:numId w:val="20"/>
      </w:numPr>
      <w:spacing w:before="120" w:after="60"/>
      <w:ind w:left="226" w:hanging="113"/>
    </w:pPr>
    <w:rPr>
      <w:rFonts w:ascii="Calibri" w:eastAsia="Calibri" w:hAnsi="Calibri" w:cs="Cambria"/>
      <w:b/>
      <w:bCs/>
    </w:rPr>
  </w:style>
  <w:style w:type="paragraph" w:styleId="Didascalia">
    <w:name w:val="caption"/>
    <w:basedOn w:val="Normale"/>
    <w:next w:val="Normale"/>
    <w:uiPriority w:val="35"/>
    <w:unhideWhenUsed/>
    <w:qFormat/>
    <w:rsid w:val="006C444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Fontetab-grafReport">
    <w:name w:val="Fonte tab-graf Report"/>
    <w:basedOn w:val="Normale"/>
    <w:link w:val="Fontetab-grafReportCarattere"/>
    <w:qFormat/>
    <w:rsid w:val="00554B1A"/>
    <w:pPr>
      <w:spacing w:before="60" w:after="120" w:line="264" w:lineRule="auto"/>
    </w:pPr>
    <w:rPr>
      <w:i/>
      <w:sz w:val="18"/>
      <w:szCs w:val="18"/>
      <w:lang w:eastAsia="it-IT"/>
    </w:rPr>
  </w:style>
  <w:style w:type="character" w:customStyle="1" w:styleId="Fontetab-grafReportCarattere">
    <w:name w:val="Fonte tab-graf Report Carattere"/>
    <w:basedOn w:val="Carpredefinitoparagrafo"/>
    <w:link w:val="Fontetab-grafReport"/>
    <w:rsid w:val="00554B1A"/>
    <w:rPr>
      <w:i/>
      <w:sz w:val="18"/>
      <w:szCs w:val="18"/>
      <w:lang w:eastAsia="it-IT"/>
    </w:rPr>
  </w:style>
  <w:style w:type="paragraph" w:customStyle="1" w:styleId="Nota">
    <w:name w:val="Nota"/>
    <w:aliases w:val="Footnote number,Char1,Char,Voetnootmarkering,fr,o,(NECG) Footnote Reference,FR"/>
    <w:basedOn w:val="Normale"/>
    <w:link w:val="Rimandonotaapidipagina"/>
    <w:uiPriority w:val="99"/>
    <w:rsid w:val="00554B1A"/>
    <w:pPr>
      <w:spacing w:after="160" w:line="240" w:lineRule="exact"/>
      <w:jc w:val="left"/>
    </w:pPr>
    <w:rPr>
      <w:vertAlign w:val="superscript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FD1E11"/>
    <w:rPr>
      <w:color w:val="605E5C"/>
      <w:shd w:val="clear" w:color="auto" w:fill="E1DFDD"/>
    </w:rPr>
  </w:style>
  <w:style w:type="table" w:styleId="Tabellasemplice-1">
    <w:name w:val="Plain Table 1"/>
    <w:basedOn w:val="Tabellanormale"/>
    <w:uiPriority w:val="41"/>
    <w:rsid w:val="00F3107C"/>
    <w:pPr>
      <w:spacing w:after="0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PreformattatoHTML">
    <w:name w:val="HTML Preformatted"/>
    <w:basedOn w:val="Normale"/>
    <w:link w:val="PreformattatoHTMLCarattere"/>
    <w:uiPriority w:val="99"/>
    <w:semiHidden/>
    <w:unhideWhenUsed/>
    <w:rsid w:val="00EE47A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  <w:jc w:val="left"/>
    </w:pPr>
    <w:rPr>
      <w:rFonts w:ascii="Courier New" w:eastAsia="Times New Roman" w:hAnsi="Courier New" w:cs="Courier New"/>
      <w:sz w:val="20"/>
      <w:szCs w:val="20"/>
      <w:lang w:eastAsia="it-IT" w:bidi="gu-IN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semiHidden/>
    <w:rsid w:val="00EE47AE"/>
    <w:rPr>
      <w:rFonts w:ascii="Courier New" w:eastAsia="Times New Roman" w:hAnsi="Courier New" w:cs="Courier New"/>
      <w:sz w:val="20"/>
      <w:szCs w:val="20"/>
      <w:lang w:eastAsia="it-IT" w:bidi="gu-IN"/>
    </w:rPr>
  </w:style>
  <w:style w:type="paragraph" w:styleId="Testonormale">
    <w:name w:val="Plain Text"/>
    <w:basedOn w:val="Normale"/>
    <w:link w:val="TestonormaleCarattere"/>
    <w:uiPriority w:val="99"/>
    <w:unhideWhenUsed/>
    <w:rsid w:val="008D352E"/>
    <w:pPr>
      <w:spacing w:after="0"/>
      <w:jc w:val="left"/>
    </w:pPr>
    <w:rPr>
      <w:rFonts w:ascii="Calibr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8D352E"/>
    <w:rPr>
      <w:rFonts w:ascii="Calibri" w:hAnsi="Calibri"/>
      <w:szCs w:val="21"/>
    </w:rPr>
  </w:style>
  <w:style w:type="character" w:customStyle="1" w:styleId="TitolofigCarattere">
    <w:name w:val="Titolo fig Carattere"/>
    <w:basedOn w:val="Carpredefinitoparagrafo"/>
    <w:link w:val="Titolofig"/>
    <w:rsid w:val="005E3A86"/>
    <w:rPr>
      <w:rFonts w:ascii="Calibri" w:eastAsia="Calibri" w:hAnsi="Calibri" w:cs="Cambria"/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6B550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34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3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11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75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53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29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97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2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6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1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05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75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87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5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9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4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2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3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8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1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17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81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33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89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66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2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2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1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8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1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3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07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33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4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89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8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3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3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2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7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3.xml"/><Relationship Id="rId18" Type="http://schemas.openxmlformats.org/officeDocument/2006/relationships/image" Target="media/image2.png"/><Relationship Id="rId26" Type="http://schemas.openxmlformats.org/officeDocument/2006/relationships/hyperlink" Target="http://www.ismeamercati.it/osservatori-rrn/indicatori-competitivita/agroalimentare/consumi-intermedi-agricoli" TargetMode="External"/><Relationship Id="rId21" Type="http://schemas.openxmlformats.org/officeDocument/2006/relationships/chart" Target="charts/chart5.xml"/><Relationship Id="rId34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chart" Target="charts/chart2.xml"/><Relationship Id="rId17" Type="http://schemas.openxmlformats.org/officeDocument/2006/relationships/image" Target="media/image1.png"/><Relationship Id="rId25" Type="http://schemas.openxmlformats.org/officeDocument/2006/relationships/chart" Target="charts/chart6.xml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ismeamercati.it/osservatori-rrn/indicatori-competitivita/agroalimentare/produzione-agricola-per-comparto" TargetMode="External"/><Relationship Id="rId20" Type="http://schemas.openxmlformats.org/officeDocument/2006/relationships/hyperlink" Target="http://www.ismeamercati.it/osservatori-rrn/indicatori-competitivita/agroalimentare/produzione-agricola-per-comparto" TargetMode="External"/><Relationship Id="rId29" Type="http://schemas.openxmlformats.org/officeDocument/2006/relationships/hyperlink" Target="http://www.ismeamercati.it/osservatori-rrn/indicatori-competitivita/agroalimentare/produzione-consumi-intermedi-valore-aggiunto-agricolo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hart" Target="charts/chart1.xml"/><Relationship Id="rId24" Type="http://schemas.openxmlformats.org/officeDocument/2006/relationships/hyperlink" Target="http://www.ismeamercati.it/osservatori-rrn/indicatori-competitivita/agroalimentare/produzione-consumi-intermedi-valore-aggiunto-agricolo" TargetMode="External"/><Relationship Id="rId32" Type="http://schemas.openxmlformats.org/officeDocument/2006/relationships/chart" Target="charts/chart7.xml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chart" Target="charts/chart4.xml"/><Relationship Id="rId23" Type="http://schemas.openxmlformats.org/officeDocument/2006/relationships/image" Target="media/image5.png"/><Relationship Id="rId28" Type="http://schemas.openxmlformats.org/officeDocument/2006/relationships/image" Target="media/image7.pn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hyperlink" Target="http://www.ismeamercati.it/osservatori-rrn/indicatori-competitivita/agroalimentare/produzione-consumi-intermedi-valore-aggiunto-agricolo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ismeamercati.it/osservatori-rrn/indicatori-competitivita/agroalimentare/produzione-agricola-per-comparto" TargetMode="External"/><Relationship Id="rId22" Type="http://schemas.openxmlformats.org/officeDocument/2006/relationships/image" Target="media/image4.png"/><Relationship Id="rId27" Type="http://schemas.openxmlformats.org/officeDocument/2006/relationships/image" Target="media/image6.png"/><Relationship Id="rId30" Type="http://schemas.openxmlformats.org/officeDocument/2006/relationships/image" Target="media/image8.png"/><Relationship Id="rId35" Type="http://schemas.openxmlformats.org/officeDocument/2006/relationships/footer" Target="footer2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svg"/><Relationship Id="rId1" Type="http://schemas.openxmlformats.org/officeDocument/2006/relationships/image" Target="media/image9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finizia\AppData\Local\Temp\Temp1_AgroalimentareD2.zip\AgroalimentareD2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package" Target="../embeddings/Microsoft_Excel_Worksheet3.xlsx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6.xml"/><Relationship Id="rId1" Type="http://schemas.microsoft.com/office/2011/relationships/chartStyle" Target="style6.xml"/><Relationship Id="rId4" Type="http://schemas.openxmlformats.org/officeDocument/2006/relationships/package" Target="../embeddings/Microsoft_Excel_Worksheet4.xlsx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5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 b="1"/>
              <a:t>Italia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title>
    <c:autoTitleDeleted val="0"/>
    <c:plotArea>
      <c:layout>
        <c:manualLayout>
          <c:layoutTarget val="inner"/>
          <c:xMode val="edge"/>
          <c:yMode val="edge"/>
          <c:x val="0.19487417014049715"/>
          <c:y val="0.28721487644233151"/>
          <c:w val="0.59195121198085532"/>
          <c:h val="0.71201678799584012"/>
        </c:manualLayout>
      </c:layout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AFC6-463D-8D41-E9A7FA2E3C89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AFC6-463D-8D41-E9A7FA2E3C89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AFC6-463D-8D41-E9A7FA2E3C89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AFC6-463D-8D41-E9A7FA2E3C89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AFC6-463D-8D41-E9A7FA2E3C89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B-AFC6-463D-8D41-E9A7FA2E3C89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D-AFC6-463D-8D41-E9A7FA2E3C89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F-AFC6-463D-8D41-E9A7FA2E3C89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1-AFC6-463D-8D41-E9A7FA2E3C89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3-AFC6-463D-8D41-E9A7FA2E3C89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5-AFC6-463D-8D41-E9A7FA2E3C89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7-AFC6-463D-8D41-E9A7FA2E3C89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9-AFC6-463D-8D41-E9A7FA2E3C89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B-AFC6-463D-8D41-E9A7FA2E3C89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D-AFC6-463D-8D41-E9A7FA2E3C89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F-AFC6-463D-8D41-E9A7FA2E3C89}"/>
              </c:ext>
            </c:extLst>
          </c:dPt>
          <c:dLbls>
            <c:dLbl>
              <c:idx val="0"/>
              <c:layout>
                <c:manualLayout>
                  <c:x val="2.984676285095067E-2"/>
                  <c:y val="1.8832317140241417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AFC6-463D-8D41-E9A7FA2E3C89}"/>
                </c:ext>
              </c:extLst>
            </c:dLbl>
            <c:dLbl>
              <c:idx val="1"/>
              <c:layout>
                <c:manualLayout>
                  <c:x val="1.5025375537753276E-2"/>
                  <c:y val="-9.6697922430876021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AFC6-463D-8D41-E9A7FA2E3C89}"/>
                </c:ext>
              </c:extLst>
            </c:dLbl>
            <c:dLbl>
              <c:idx val="2"/>
              <c:layout>
                <c:manualLayout>
                  <c:x val="7.0658112397336034E-2"/>
                  <c:y val="-0.1393939393939394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AFC6-463D-8D41-E9A7FA2E3C89}"/>
                </c:ext>
              </c:extLst>
            </c:dLbl>
            <c:dLbl>
              <c:idx val="3"/>
              <c:layout>
                <c:manualLayout>
                  <c:x val="-5.6672180732513571E-3"/>
                  <c:y val="-6.1465721040189127E-3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AFC6-463D-8D41-E9A7FA2E3C89}"/>
                </c:ext>
              </c:extLst>
            </c:dLbl>
            <c:dLbl>
              <c:idx val="4"/>
              <c:layout>
                <c:manualLayout>
                  <c:x val="-7.5610634507596419E-2"/>
                  <c:y val="-2.6970684039087946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AFC6-463D-8D41-E9A7FA2E3C89}"/>
                </c:ext>
              </c:extLst>
            </c:dLbl>
            <c:dLbl>
              <c:idx val="5"/>
              <c:layout>
                <c:manualLayout>
                  <c:x val="-4.373395385662629E-2"/>
                  <c:y val="-4.977121752289107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AFC6-463D-8D41-E9A7FA2E3C89}"/>
                </c:ext>
              </c:extLst>
            </c:dLbl>
            <c:dLbl>
              <c:idx val="6"/>
              <c:layout>
                <c:manualLayout>
                  <c:x val="-3.5566991894253559E-2"/>
                  <c:y val="-3.0748159737361822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AFC6-463D-8D41-E9A7FA2E3C89}"/>
                </c:ext>
              </c:extLst>
            </c:dLbl>
            <c:dLbl>
              <c:idx val="14"/>
              <c:layout>
                <c:manualLayout>
                  <c:x val="0.15451474448046934"/>
                  <c:y val="-7.0649234883375447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AFC6-463D-8D41-E9A7FA2E3C89}"/>
                </c:ext>
              </c:extLst>
            </c:dLbl>
            <c:dLbl>
              <c:idx val="15"/>
              <c:layout>
                <c:manualLayout>
                  <c:x val="0.11465201207764905"/>
                  <c:y val="1.3575865879434316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AFC6-463D-8D41-E9A7FA2E3C8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LegendKey val="0"/>
            <c:showVal val="1"/>
            <c:showCatName val="1"/>
            <c:showSerName val="0"/>
            <c:showPercent val="0"/>
            <c:showBubbleSize val="0"/>
            <c:separator>
</c:separator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'PPB settori 2'!$H$30:$H$45</c:f>
              <c:strCache>
                <c:ptCount val="16"/>
                <c:pt idx="0">
                  <c:v>Vitivinicoltura</c:v>
                </c:pt>
                <c:pt idx="1">
                  <c:v>Ortaggi</c:v>
                </c:pt>
                <c:pt idx="2">
                  <c:v>Latte</c:v>
                </c:pt>
                <c:pt idx="3">
                  <c:v>Frutta e agrumi</c:v>
                </c:pt>
                <c:pt idx="4">
                  <c:v>Cereali</c:v>
                </c:pt>
                <c:pt idx="5">
                  <c:v>Carni suine</c:v>
                </c:pt>
                <c:pt idx="6">
                  <c:v>Carni bovine</c:v>
                </c:pt>
                <c:pt idx="7">
                  <c:v>Florovivaismo</c:v>
                </c:pt>
                <c:pt idx="8">
                  <c:v>Pollame</c:v>
                </c:pt>
                <c:pt idx="9">
                  <c:v>Coltivazioni foraggere</c:v>
                </c:pt>
                <c:pt idx="10">
                  <c:v>Uova</c:v>
                </c:pt>
                <c:pt idx="11">
                  <c:v>Olivicoltura</c:v>
                </c:pt>
                <c:pt idx="12">
                  <c:v>Coltivazioni industriali</c:v>
                </c:pt>
                <c:pt idx="13">
                  <c:v>Patate</c:v>
                </c:pt>
                <c:pt idx="14">
                  <c:v>Carni ovicaprine</c:v>
                </c:pt>
                <c:pt idx="15">
                  <c:v>Altri prodotti</c:v>
                </c:pt>
              </c:strCache>
            </c:strRef>
          </c:cat>
          <c:val>
            <c:numRef>
              <c:f>'PPB settori 2'!$J$30:$J$45</c:f>
              <c:numCache>
                <c:formatCode>0.0%</c:formatCode>
                <c:ptCount val="16"/>
                <c:pt idx="0">
                  <c:v>0.20081725173302856</c:v>
                </c:pt>
                <c:pt idx="1">
                  <c:v>0.13419246274065594</c:v>
                </c:pt>
                <c:pt idx="2">
                  <c:v>0.10318195998133768</c:v>
                </c:pt>
                <c:pt idx="3">
                  <c:v>9.7678188760856183E-2</c:v>
                </c:pt>
                <c:pt idx="4">
                  <c:v>7.8466911859175481E-2</c:v>
                </c:pt>
                <c:pt idx="5">
                  <c:v>6.4382252275612006E-2</c:v>
                </c:pt>
                <c:pt idx="6">
                  <c:v>6.325355126712881E-2</c:v>
                </c:pt>
                <c:pt idx="7">
                  <c:v>5.3999477166155621E-2</c:v>
                </c:pt>
                <c:pt idx="8">
                  <c:v>5.3107559153807653E-2</c:v>
                </c:pt>
                <c:pt idx="9">
                  <c:v>3.8585859744193665E-2</c:v>
                </c:pt>
                <c:pt idx="10">
                  <c:v>2.863693903931511E-2</c:v>
                </c:pt>
                <c:pt idx="11">
                  <c:v>2.2746032929188292E-2</c:v>
                </c:pt>
                <c:pt idx="12">
                  <c:v>1.7658490114469183E-2</c:v>
                </c:pt>
                <c:pt idx="13">
                  <c:v>1.3081039458240505E-2</c:v>
                </c:pt>
                <c:pt idx="14">
                  <c:v>3.4570317435744201E-3</c:v>
                </c:pt>
                <c:pt idx="15">
                  <c:v>2.6755204394692474E-2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0-AFC6-463D-8D41-E9A7FA2E3C8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 b="1"/>
              <a:t>UE-28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title>
    <c:autoTitleDeleted val="0"/>
    <c:plotArea>
      <c:layout>
        <c:manualLayout>
          <c:layoutTarget val="inner"/>
          <c:xMode val="edge"/>
          <c:yMode val="edge"/>
          <c:x val="0.19487417014049715"/>
          <c:y val="0.28721487644233151"/>
          <c:w val="0.59195121198085532"/>
          <c:h val="0.71201678799584012"/>
        </c:manualLayout>
      </c:layout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16D2-4AB9-AB34-90EE124F3E16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16D2-4AB9-AB34-90EE124F3E16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16D2-4AB9-AB34-90EE124F3E16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16D2-4AB9-AB34-90EE124F3E16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16D2-4AB9-AB34-90EE124F3E16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B-16D2-4AB9-AB34-90EE124F3E16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D-16D2-4AB9-AB34-90EE124F3E16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F-16D2-4AB9-AB34-90EE124F3E16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1-16D2-4AB9-AB34-90EE124F3E16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3-16D2-4AB9-AB34-90EE124F3E16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5-16D2-4AB9-AB34-90EE124F3E16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7-16D2-4AB9-AB34-90EE124F3E16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9-16D2-4AB9-AB34-90EE124F3E16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B-16D2-4AB9-AB34-90EE124F3E16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D-16D2-4AB9-AB34-90EE124F3E16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F-16D2-4AB9-AB34-90EE124F3E16}"/>
              </c:ext>
            </c:extLst>
          </c:dPt>
          <c:dLbls>
            <c:dLbl>
              <c:idx val="0"/>
              <c:layout>
                <c:manualLayout>
                  <c:x val="7.2649070979119426E-3"/>
                  <c:y val="4.6390318026677986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16D2-4AB9-AB34-90EE124F3E16}"/>
                </c:ext>
              </c:extLst>
            </c:dLbl>
            <c:dLbl>
              <c:idx val="1"/>
              <c:layout>
                <c:manualLayout>
                  <c:x val="8.9451855173186857E-3"/>
                  <c:y val="2.1703577168386685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16D2-4AB9-AB34-90EE124F3E16}"/>
                </c:ext>
              </c:extLst>
            </c:dLbl>
            <c:dLbl>
              <c:idx val="2"/>
              <c:layout>
                <c:manualLayout>
                  <c:x val="2.7467702060166001E-2"/>
                  <c:y val="-6.2647785201432618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16D2-4AB9-AB34-90EE124F3E16}"/>
                </c:ext>
              </c:extLst>
            </c:dLbl>
            <c:dLbl>
              <c:idx val="3"/>
              <c:layout>
                <c:manualLayout>
                  <c:x val="-3.5494414223891782E-2"/>
                  <c:y val="-8.1324734921613615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16D2-4AB9-AB34-90EE124F3E16}"/>
                </c:ext>
              </c:extLst>
            </c:dLbl>
            <c:dLbl>
              <c:idx val="4"/>
              <c:layout>
                <c:manualLayout>
                  <c:x val="6.9890120365376923E-2"/>
                  <c:y val="-1.7030380830124092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16D2-4AB9-AB34-90EE124F3E16}"/>
                </c:ext>
              </c:extLst>
            </c:dLbl>
            <c:dLbl>
              <c:idx val="5"/>
              <c:layout>
                <c:manualLayout>
                  <c:x val="-6.9414907936418316E-2"/>
                  <c:y val="-3.1236628155755244E-3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16D2-4AB9-AB34-90EE124F3E16}"/>
                </c:ext>
              </c:extLst>
            </c:dLbl>
            <c:dLbl>
              <c:idx val="6"/>
              <c:layout>
                <c:manualLayout>
                  <c:x val="-6.5756548955088714E-2"/>
                  <c:y val="-5.4132257858011651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16D2-4AB9-AB34-90EE124F3E1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LegendKey val="0"/>
            <c:showVal val="1"/>
            <c:showCatName val="1"/>
            <c:showSerName val="0"/>
            <c:showPercent val="0"/>
            <c:showBubbleSize val="0"/>
            <c:separator>
</c:separator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'PPB settori 2'!$H$30:$H$45</c:f>
              <c:strCache>
                <c:ptCount val="16"/>
                <c:pt idx="0">
                  <c:v>Vitivinicoltura</c:v>
                </c:pt>
                <c:pt idx="1">
                  <c:v>Ortaggi</c:v>
                </c:pt>
                <c:pt idx="2">
                  <c:v>Latte</c:v>
                </c:pt>
                <c:pt idx="3">
                  <c:v>Frutta e agrumi</c:v>
                </c:pt>
                <c:pt idx="4">
                  <c:v>Cereali</c:v>
                </c:pt>
                <c:pt idx="5">
                  <c:v>Carni suine</c:v>
                </c:pt>
                <c:pt idx="6">
                  <c:v>Carni bovine</c:v>
                </c:pt>
                <c:pt idx="7">
                  <c:v>Florovivaismo</c:v>
                </c:pt>
                <c:pt idx="8">
                  <c:v>Pollame</c:v>
                </c:pt>
                <c:pt idx="9">
                  <c:v>Coltivazioni foraggere</c:v>
                </c:pt>
                <c:pt idx="10">
                  <c:v>Uova</c:v>
                </c:pt>
                <c:pt idx="11">
                  <c:v>Olivicoltura</c:v>
                </c:pt>
                <c:pt idx="12">
                  <c:v>Coltivazioni industriali</c:v>
                </c:pt>
                <c:pt idx="13">
                  <c:v>Patate</c:v>
                </c:pt>
                <c:pt idx="14">
                  <c:v>Carni ovicaprine</c:v>
                </c:pt>
                <c:pt idx="15">
                  <c:v>Altri prodotti</c:v>
                </c:pt>
              </c:strCache>
            </c:strRef>
          </c:cat>
          <c:val>
            <c:numRef>
              <c:f>'PPB settori 2'!$I$30:$I$45</c:f>
              <c:numCache>
                <c:formatCode>0.0%</c:formatCode>
                <c:ptCount val="16"/>
                <c:pt idx="0">
                  <c:v>7.0010478173241963E-2</c:v>
                </c:pt>
                <c:pt idx="1">
                  <c:v>8.8481989241893377E-2</c:v>
                </c:pt>
                <c:pt idx="2">
                  <c:v>0.14616882236533107</c:v>
                </c:pt>
                <c:pt idx="3">
                  <c:v>7.3783428812820184E-2</c:v>
                </c:pt>
                <c:pt idx="4">
                  <c:v>0.12128881505774466</c:v>
                </c:pt>
                <c:pt idx="5">
                  <c:v>9.1779163594122609E-2</c:v>
                </c:pt>
                <c:pt idx="6">
                  <c:v>8.6659861949571773E-2</c:v>
                </c:pt>
                <c:pt idx="7">
                  <c:v>5.4868497457368083E-2</c:v>
                </c:pt>
                <c:pt idx="8">
                  <c:v>5.6592100853528199E-2</c:v>
                </c:pt>
                <c:pt idx="9">
                  <c:v>5.4946237204224667E-2</c:v>
                </c:pt>
                <c:pt idx="10">
                  <c:v>2.6127257078916836E-2</c:v>
                </c:pt>
                <c:pt idx="11">
                  <c:v>1.082078538430507E-2</c:v>
                </c:pt>
                <c:pt idx="12">
                  <c:v>4.9326158049247948E-2</c:v>
                </c:pt>
                <c:pt idx="13">
                  <c:v>3.0490171318873004E-2</c:v>
                </c:pt>
                <c:pt idx="14">
                  <c:v>1.4864532403957211E-2</c:v>
                </c:pt>
                <c:pt idx="15">
                  <c:v>2.3791701054853294E-2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0-16D2-4AB9-AB34-90EE124F3E1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4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200"/>
              <a:t>Produzione a prezzi base</a:t>
            </a:r>
            <a:r>
              <a:rPr lang="en-US" sz="1200" baseline="0"/>
              <a:t> a</a:t>
            </a:r>
            <a:r>
              <a:rPr lang="en-US" sz="1200"/>
              <a:t> valori correnti</a:t>
            </a:r>
            <a:r>
              <a:rPr lang="en-US" sz="1200" baseline="0"/>
              <a:t> </a:t>
            </a:r>
            <a:r>
              <a:rPr lang="en-US" sz="1200"/>
              <a:t>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Foglio1!$A$13</c:f>
              <c:strCache>
                <c:ptCount val="1"/>
                <c:pt idx="0">
                  <c:v>Coltivazioni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numRef>
              <c:f>Foglio1!$C$12:$N$12</c:f>
              <c:numCache>
                <c:formatCode>General</c:formatCode>
                <c:ptCount val="12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</c:numCache>
            </c:numRef>
          </c:cat>
          <c:val>
            <c:numRef>
              <c:f>Foglio1!$C$13:$N$13</c:f>
              <c:numCache>
                <c:formatCode>#,##0</c:formatCode>
                <c:ptCount val="12"/>
                <c:pt idx="0">
                  <c:v>26899.245019999998</c:v>
                </c:pt>
                <c:pt idx="1">
                  <c:v>28357.66059</c:v>
                </c:pt>
                <c:pt idx="2">
                  <c:v>25145.230159999999</c:v>
                </c:pt>
                <c:pt idx="3">
                  <c:v>25624.482190000002</c:v>
                </c:pt>
                <c:pt idx="4">
                  <c:v>27468.601999999999</c:v>
                </c:pt>
                <c:pt idx="5">
                  <c:v>27361.27234</c:v>
                </c:pt>
                <c:pt idx="6">
                  <c:v>29309.095730000001</c:v>
                </c:pt>
                <c:pt idx="7">
                  <c:v>26890.916140000001</c:v>
                </c:pt>
                <c:pt idx="8">
                  <c:v>28853.957899999998</c:v>
                </c:pt>
                <c:pt idx="9">
                  <c:v>27229.672010000002</c:v>
                </c:pt>
                <c:pt idx="10">
                  <c:v>27782.113420000001</c:v>
                </c:pt>
                <c:pt idx="11">
                  <c:v>29073.552960000001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582B-482F-8211-09B744E1D7FB}"/>
            </c:ext>
          </c:extLst>
        </c:ser>
        <c:ser>
          <c:idx val="1"/>
          <c:order val="1"/>
          <c:tx>
            <c:strRef>
              <c:f>Foglio1!$A$14</c:f>
              <c:strCache>
                <c:ptCount val="1"/>
                <c:pt idx="0">
                  <c:v>Allevamenti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numRef>
              <c:f>Foglio1!$C$12:$N$12</c:f>
              <c:numCache>
                <c:formatCode>General</c:formatCode>
                <c:ptCount val="12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</c:numCache>
            </c:numRef>
          </c:cat>
          <c:val>
            <c:numRef>
              <c:f>Foglio1!$C$14:$N$14</c:f>
              <c:numCache>
                <c:formatCode>#,##0</c:formatCode>
                <c:ptCount val="12"/>
                <c:pt idx="0">
                  <c:v>14895.426670000001</c:v>
                </c:pt>
                <c:pt idx="1">
                  <c:v>15856.609899999999</c:v>
                </c:pt>
                <c:pt idx="2">
                  <c:v>14960.715980000001</c:v>
                </c:pt>
                <c:pt idx="3">
                  <c:v>14811.139570000001</c:v>
                </c:pt>
                <c:pt idx="4">
                  <c:v>16336.873669999999</c:v>
                </c:pt>
                <c:pt idx="5">
                  <c:v>17390.810260000002</c:v>
                </c:pt>
                <c:pt idx="6">
                  <c:v>17433.45262</c:v>
                </c:pt>
                <c:pt idx="7">
                  <c:v>16993.29681</c:v>
                </c:pt>
                <c:pt idx="8">
                  <c:v>16219.15683</c:v>
                </c:pt>
                <c:pt idx="9">
                  <c:v>15600.349550000001</c:v>
                </c:pt>
                <c:pt idx="10">
                  <c:v>16711.211039999998</c:v>
                </c:pt>
                <c:pt idx="11">
                  <c:v>16245.204880000001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582B-482F-8211-09B744E1D7FB}"/>
            </c:ext>
          </c:extLst>
        </c:ser>
        <c:ser>
          <c:idx val="2"/>
          <c:order val="2"/>
          <c:tx>
            <c:strRef>
              <c:f>Foglio1!$A$15</c:f>
              <c:strCache>
                <c:ptCount val="1"/>
                <c:pt idx="0">
                  <c:v>Attività di supporto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numRef>
              <c:f>Foglio1!$C$12:$N$12</c:f>
              <c:numCache>
                <c:formatCode>General</c:formatCode>
                <c:ptCount val="12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</c:numCache>
            </c:numRef>
          </c:cat>
          <c:val>
            <c:numRef>
              <c:f>Foglio1!$C$15:$N$15</c:f>
              <c:numCache>
                <c:formatCode>#,##0</c:formatCode>
                <c:ptCount val="12"/>
                <c:pt idx="0">
                  <c:v>5181.6797130000004</c:v>
                </c:pt>
                <c:pt idx="1">
                  <c:v>5445.973602</c:v>
                </c:pt>
                <c:pt idx="2">
                  <c:v>5527.2448030000005</c:v>
                </c:pt>
                <c:pt idx="3">
                  <c:v>5734.0927499999998</c:v>
                </c:pt>
                <c:pt idx="4">
                  <c:v>5898.7844519999999</c:v>
                </c:pt>
                <c:pt idx="5">
                  <c:v>6217.8338169999997</c:v>
                </c:pt>
                <c:pt idx="6">
                  <c:v>6390.2788920000003</c:v>
                </c:pt>
                <c:pt idx="7">
                  <c:v>6524.0411960000001</c:v>
                </c:pt>
                <c:pt idx="8">
                  <c:v>6587.1292750000002</c:v>
                </c:pt>
                <c:pt idx="9">
                  <c:v>6773.7357460000003</c:v>
                </c:pt>
                <c:pt idx="10">
                  <c:v>6831.701</c:v>
                </c:pt>
                <c:pt idx="11">
                  <c:v>6857.106914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582B-482F-8211-09B744E1D7FB}"/>
            </c:ext>
          </c:extLst>
        </c:ser>
        <c:ser>
          <c:idx val="3"/>
          <c:order val="3"/>
          <c:tx>
            <c:strRef>
              <c:f>Foglio1!$A$16</c:f>
              <c:strCache>
                <c:ptCount val="1"/>
                <c:pt idx="0">
                  <c:v>Attività secondarie (saldo)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cat>
            <c:numRef>
              <c:f>Foglio1!$C$12:$N$12</c:f>
              <c:numCache>
                <c:formatCode>General</c:formatCode>
                <c:ptCount val="12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</c:numCache>
            </c:numRef>
          </c:cat>
          <c:val>
            <c:numRef>
              <c:f>Foglio1!$C$16:$N$16</c:f>
              <c:numCache>
                <c:formatCode>#,##0</c:formatCode>
                <c:ptCount val="12"/>
                <c:pt idx="0">
                  <c:v>1629.2921610000001</c:v>
                </c:pt>
                <c:pt idx="1">
                  <c:v>1801.5976289999999</c:v>
                </c:pt>
                <c:pt idx="2">
                  <c:v>1823.0501470000002</c:v>
                </c:pt>
                <c:pt idx="3">
                  <c:v>1945.922131</c:v>
                </c:pt>
                <c:pt idx="4">
                  <c:v>2663.6976680000002</c:v>
                </c:pt>
                <c:pt idx="5">
                  <c:v>3229.6094040000003</c:v>
                </c:pt>
                <c:pt idx="6">
                  <c:v>3328.072146</c:v>
                </c:pt>
                <c:pt idx="7">
                  <c:v>3288.2482880000002</c:v>
                </c:pt>
                <c:pt idx="8">
                  <c:v>3360</c:v>
                </c:pt>
                <c:pt idx="9">
                  <c:v>3362.409889</c:v>
                </c:pt>
                <c:pt idx="10">
                  <c:v>3613.2420240000001</c:v>
                </c:pt>
                <c:pt idx="11">
                  <c:v>3703.4296239999999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582B-482F-8211-09B744E1D7F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286659088"/>
        <c:axId val="1286663248"/>
        <c:extLst/>
      </c:lineChart>
      <c:catAx>
        <c:axId val="128665908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286663248"/>
        <c:crosses val="autoZero"/>
        <c:auto val="1"/>
        <c:lblAlgn val="ctr"/>
        <c:lblOffset val="100"/>
        <c:noMultiLvlLbl val="0"/>
      </c:catAx>
      <c:valAx>
        <c:axId val="12866632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28665908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tx>
            <c:strRef>
              <c:f>Foglio1!$A$3</c:f>
              <c:strCache>
                <c:ptCount val="1"/>
                <c:pt idx="0">
                  <c:v>Coltivazioni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numRef>
              <c:f>Foglio1!$C$2:$N$2</c:f>
              <c:numCache>
                <c:formatCode>General</c:formatCode>
                <c:ptCount val="12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</c:numCache>
            </c:numRef>
          </c:cat>
          <c:val>
            <c:numRef>
              <c:f>Foglio1!$C$3:$N$3</c:f>
              <c:numCache>
                <c:formatCode>General</c:formatCode>
                <c:ptCount val="12"/>
                <c:pt idx="0">
                  <c:v>26459.150249999999</c:v>
                </c:pt>
                <c:pt idx="1">
                  <c:v>26938.983629999999</c:v>
                </c:pt>
                <c:pt idx="2">
                  <c:v>25900.42037</c:v>
                </c:pt>
                <c:pt idx="3">
                  <c:v>25624.482190000002</c:v>
                </c:pt>
                <c:pt idx="4">
                  <c:v>25656.976739999998</c:v>
                </c:pt>
                <c:pt idx="5">
                  <c:v>24125.875410000001</c:v>
                </c:pt>
                <c:pt idx="6">
                  <c:v>24469.108769999999</c:v>
                </c:pt>
                <c:pt idx="7">
                  <c:v>23750.02087</c:v>
                </c:pt>
                <c:pt idx="8">
                  <c:v>25008.919850000002</c:v>
                </c:pt>
                <c:pt idx="9">
                  <c:v>24704.1482</c:v>
                </c:pt>
                <c:pt idx="10">
                  <c:v>23625.502230000002</c:v>
                </c:pt>
                <c:pt idx="11">
                  <c:v>23938.039920000003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981E-492F-8155-8FCE30844507}"/>
            </c:ext>
          </c:extLst>
        </c:ser>
        <c:ser>
          <c:idx val="1"/>
          <c:order val="1"/>
          <c:tx>
            <c:strRef>
              <c:f>Foglio1!$A$4</c:f>
              <c:strCache>
                <c:ptCount val="1"/>
                <c:pt idx="0">
                  <c:v>Allevamenti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numRef>
              <c:f>Foglio1!$C$2:$N$2</c:f>
              <c:numCache>
                <c:formatCode>General</c:formatCode>
                <c:ptCount val="12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</c:numCache>
            </c:numRef>
          </c:cat>
          <c:val>
            <c:numRef>
              <c:f>Foglio1!$C$4:$N$4</c:f>
              <c:numCache>
                <c:formatCode>General</c:formatCode>
                <c:ptCount val="12"/>
                <c:pt idx="0">
                  <c:v>14654.406509999999</c:v>
                </c:pt>
                <c:pt idx="1">
                  <c:v>14772.249089999999</c:v>
                </c:pt>
                <c:pt idx="2">
                  <c:v>14815.918220000001</c:v>
                </c:pt>
                <c:pt idx="3">
                  <c:v>14811.139570000001</c:v>
                </c:pt>
                <c:pt idx="4">
                  <c:v>14838.16777</c:v>
                </c:pt>
                <c:pt idx="5">
                  <c:v>14786.563779999999</c:v>
                </c:pt>
                <c:pt idx="6">
                  <c:v>14516.105230000001</c:v>
                </c:pt>
                <c:pt idx="7">
                  <c:v>14406.899960000001</c:v>
                </c:pt>
                <c:pt idx="8">
                  <c:v>14455.863810000001</c:v>
                </c:pt>
                <c:pt idx="9">
                  <c:v>14743.636390000001</c:v>
                </c:pt>
                <c:pt idx="10">
                  <c:v>14689.72762</c:v>
                </c:pt>
                <c:pt idx="11">
                  <c:v>14607.515529999999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981E-492F-8155-8FCE30844507}"/>
            </c:ext>
          </c:extLst>
        </c:ser>
        <c:ser>
          <c:idx val="2"/>
          <c:order val="2"/>
          <c:tx>
            <c:strRef>
              <c:f>Foglio1!$A$5</c:f>
              <c:strCache>
                <c:ptCount val="1"/>
                <c:pt idx="0">
                  <c:v>Attività di supporto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numRef>
              <c:f>Foglio1!$C$2:$N$2</c:f>
              <c:numCache>
                <c:formatCode>General</c:formatCode>
                <c:ptCount val="12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</c:numCache>
            </c:numRef>
          </c:cat>
          <c:val>
            <c:numRef>
              <c:f>Foglio1!$C$5:$N$5</c:f>
              <c:numCache>
                <c:formatCode>General</c:formatCode>
                <c:ptCount val="12"/>
                <c:pt idx="0">
                  <c:v>5619.7242079999996</c:v>
                </c:pt>
                <c:pt idx="1">
                  <c:v>5737.5652049999999</c:v>
                </c:pt>
                <c:pt idx="2">
                  <c:v>5672.3947709999993</c:v>
                </c:pt>
                <c:pt idx="3">
                  <c:v>5734.0927499999998</c:v>
                </c:pt>
                <c:pt idx="4">
                  <c:v>5745.1698299999998</c:v>
                </c:pt>
                <c:pt idx="5">
                  <c:v>5706.3648290000001</c:v>
                </c:pt>
                <c:pt idx="6">
                  <c:v>5833.4638600000008</c:v>
                </c:pt>
                <c:pt idx="7">
                  <c:v>5807.8250259999995</c:v>
                </c:pt>
                <c:pt idx="8">
                  <c:v>5816.7775650000003</c:v>
                </c:pt>
                <c:pt idx="9">
                  <c:v>5893.7416880000001</c:v>
                </c:pt>
                <c:pt idx="10">
                  <c:v>5870.1642039999997</c:v>
                </c:pt>
                <c:pt idx="11">
                  <c:v>5891.6820640000005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981E-492F-8155-8FCE30844507}"/>
            </c:ext>
          </c:extLst>
        </c:ser>
        <c:ser>
          <c:idx val="3"/>
          <c:order val="3"/>
          <c:tx>
            <c:strRef>
              <c:f>Foglio1!$A$6</c:f>
              <c:strCache>
                <c:ptCount val="1"/>
                <c:pt idx="0">
                  <c:v>(+) Attività secondarie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cat>
            <c:numRef>
              <c:f>Foglio1!$C$2:$N$2</c:f>
              <c:numCache>
                <c:formatCode>General</c:formatCode>
                <c:ptCount val="12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</c:numCache>
            </c:numRef>
          </c:cat>
          <c:val>
            <c:numRef>
              <c:f>Foglio1!$C$6:$N$6</c:f>
              <c:numCache>
                <c:formatCode>General</c:formatCode>
                <c:ptCount val="12"/>
                <c:pt idx="0">
                  <c:v>2785.948402</c:v>
                </c:pt>
                <c:pt idx="1">
                  <c:v>2793.9132480000003</c:v>
                </c:pt>
                <c:pt idx="2">
                  <c:v>2814.762725</c:v>
                </c:pt>
                <c:pt idx="3">
                  <c:v>2860.880627</c:v>
                </c:pt>
                <c:pt idx="4">
                  <c:v>3529.6853450000003</c:v>
                </c:pt>
                <c:pt idx="5">
                  <c:v>4035.1772550000001</c:v>
                </c:pt>
                <c:pt idx="6">
                  <c:v>4143.1818910000002</c:v>
                </c:pt>
                <c:pt idx="7">
                  <c:v>4149.4290149999997</c:v>
                </c:pt>
                <c:pt idx="8">
                  <c:v>4298.9028310000003</c:v>
                </c:pt>
                <c:pt idx="9">
                  <c:v>4363.2531330000002</c:v>
                </c:pt>
                <c:pt idx="10">
                  <c:v>4569.8077910000002</c:v>
                </c:pt>
                <c:pt idx="11">
                  <c:v>4613.0372450000004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981E-492F-8155-8FCE3084450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286659088"/>
        <c:axId val="1286663248"/>
        <c:extLst>
          <c:ext xmlns:c15="http://schemas.microsoft.com/office/drawing/2012/chart" uri="{02D57815-91ED-43cb-92C2-25804820EDAC}">
            <c15:filteredLineSeries>
              <c15:ser>
                <c:idx val="4"/>
                <c:order val="4"/>
                <c:tx>
                  <c:strRef>
                    <c:extLst>
                      <c:ext uri="{02D57815-91ED-43cb-92C2-25804820EDAC}">
                        <c15:formulaRef>
                          <c15:sqref>Foglio1!$A$7</c15:sqref>
                        </c15:formulaRef>
                      </c:ext>
                    </c:extLst>
                    <c:strCache>
                      <c:ptCount val="1"/>
                      <c:pt idx="0">
                        <c:v>Attività secondarie (saldo)</c:v>
                      </c:pt>
                    </c:strCache>
                  </c:strRef>
                </c:tx>
                <c:spPr>
                  <a:ln w="28575" cap="rnd">
                    <a:solidFill>
                      <a:schemeClr val="accent5"/>
                    </a:solidFill>
                    <a:round/>
                  </a:ln>
                  <a:effectLst/>
                </c:spPr>
                <c:marker>
                  <c:symbol val="none"/>
                </c:marker>
                <c:cat>
                  <c:numRef>
                    <c:extLst>
                      <c:ext uri="{02D57815-91ED-43cb-92C2-25804820EDAC}">
                        <c15:formulaRef>
                          <c15:sqref>Foglio1!$C$2:$N$2</c15:sqref>
                        </c15:formulaRef>
                      </c:ext>
                    </c:extLst>
                    <c:numCache>
                      <c:formatCode>General</c:formatCode>
                      <c:ptCount val="12"/>
                      <c:pt idx="0">
                        <c:v>2007</c:v>
                      </c:pt>
                      <c:pt idx="1">
                        <c:v>2008</c:v>
                      </c:pt>
                      <c:pt idx="2">
                        <c:v>2009</c:v>
                      </c:pt>
                      <c:pt idx="3">
                        <c:v>2010</c:v>
                      </c:pt>
                      <c:pt idx="4">
                        <c:v>2011</c:v>
                      </c:pt>
                      <c:pt idx="5">
                        <c:v>2012</c:v>
                      </c:pt>
                      <c:pt idx="6">
                        <c:v>2013</c:v>
                      </c:pt>
                      <c:pt idx="7">
                        <c:v>2014</c:v>
                      </c:pt>
                      <c:pt idx="8">
                        <c:v>2015</c:v>
                      </c:pt>
                      <c:pt idx="9">
                        <c:v>2016</c:v>
                      </c:pt>
                      <c:pt idx="10">
                        <c:v>2017</c:v>
                      </c:pt>
                      <c:pt idx="11">
                        <c:v>2018</c:v>
                      </c:pt>
                    </c:numCache>
                  </c:numRef>
                </c:cat>
                <c:val>
                  <c:numRef>
                    <c:extLst>
                      <c:ext uri="{02D57815-91ED-43cb-92C2-25804820EDAC}">
                        <c15:formulaRef>
                          <c15:sqref>Foglio1!$C$7:$N$7</c15:sqref>
                        </c15:formulaRef>
                      </c:ext>
                    </c:extLst>
                    <c:numCache>
                      <c:formatCode>General</c:formatCode>
                      <c:ptCount val="12"/>
                      <c:pt idx="0">
                        <c:v>1718.0646740000002</c:v>
                      </c:pt>
                      <c:pt idx="1">
                        <c:v>1798.163609</c:v>
                      </c:pt>
                      <c:pt idx="2">
                        <c:v>1848.6489080000001</c:v>
                      </c:pt>
                      <c:pt idx="3">
                        <c:v>1945.922131</c:v>
                      </c:pt>
                      <c:pt idx="4">
                        <c:v>2622.1889449999999</c:v>
                      </c:pt>
                      <c:pt idx="5">
                        <c:v>3184.1282659999997</c:v>
                      </c:pt>
                      <c:pt idx="6">
                        <c:v>3303.1039460000002</c:v>
                      </c:pt>
                      <c:pt idx="7">
                        <c:v>3313.7079520000002</c:v>
                      </c:pt>
                      <c:pt idx="8">
                        <c:v>3422.1917699999999</c:v>
                      </c:pt>
                      <c:pt idx="9">
                        <c:v>3496.1298270000002</c:v>
                      </c:pt>
                      <c:pt idx="10">
                        <c:v>3739.0731370000003</c:v>
                      </c:pt>
                      <c:pt idx="11">
                        <c:v>3774.9609769999997</c:v>
                      </c:pt>
                    </c:numCache>
                  </c:numRef>
                </c:val>
                <c:smooth val="0"/>
                <c:extLst>
                  <c:ext xmlns:c16="http://schemas.microsoft.com/office/drawing/2014/chart" uri="{C3380CC4-5D6E-409C-BE32-E72D297353CC}">
                    <c16:uniqueId val="{00000004-981E-492F-8155-8FCE30844507}"/>
                  </c:ext>
                </c:extLst>
              </c15:ser>
            </c15:filteredLineSeries>
          </c:ext>
        </c:extLst>
      </c:lineChart>
      <c:catAx>
        <c:axId val="128665908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286663248"/>
        <c:crosses val="autoZero"/>
        <c:auto val="1"/>
        <c:lblAlgn val="ctr"/>
        <c:lblOffset val="100"/>
        <c:noMultiLvlLbl val="0"/>
      </c:catAx>
      <c:valAx>
        <c:axId val="12866632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it-IT"/>
                  <a:t>milioni di</a:t>
                </a:r>
                <a:r>
                  <a:rPr lang="it-IT" baseline="0"/>
                  <a:t> euro</a:t>
                </a:r>
                <a:endParaRPr lang="it-IT"/>
              </a:p>
            </c:rich>
          </c:tx>
          <c:layout>
            <c:manualLayout>
              <c:xMode val="edge"/>
              <c:yMode val="edge"/>
              <c:x val="1.4907890533489511E-2"/>
              <c:y val="0.279581415959368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it-IT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28665908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 sz="1200"/>
              <a:t>Incidenza</a:t>
            </a:r>
            <a:r>
              <a:rPr lang="it-IT" sz="1200" baseline="0"/>
              <a:t> del VA lordo</a:t>
            </a:r>
            <a:r>
              <a:rPr lang="it-IT" sz="1200"/>
              <a:t> e dei consumi</a:t>
            </a:r>
            <a:r>
              <a:rPr lang="it-IT" sz="1200" baseline="0"/>
              <a:t> intermedi sulla produzione agricola (%)</a:t>
            </a:r>
            <a:endParaRPr lang="it-IT" sz="1200"/>
          </a:p>
        </c:rich>
      </c:tx>
      <c:layout>
        <c:manualLayout>
          <c:xMode val="edge"/>
          <c:yMode val="edge"/>
          <c:x val="0.1405650667292962"/>
          <c:y val="2.089864158829676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title>
    <c:autoTitleDeleted val="0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'VA-CONS UE'!$A$13</c:f>
              <c:strCache>
                <c:ptCount val="1"/>
                <c:pt idx="0">
                  <c:v>Valore aggiunto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'VA-CONS UE'!$B$10:$G$11</c:f>
              <c:multiLvlStrCache>
                <c:ptCount val="6"/>
                <c:lvl>
                  <c:pt idx="0">
                    <c:v>2007</c:v>
                  </c:pt>
                  <c:pt idx="1">
                    <c:v>2015</c:v>
                  </c:pt>
                  <c:pt idx="2">
                    <c:v>2018</c:v>
                  </c:pt>
                  <c:pt idx="3">
                    <c:v>2007</c:v>
                  </c:pt>
                  <c:pt idx="4">
                    <c:v>2015</c:v>
                  </c:pt>
                  <c:pt idx="5">
                    <c:v>2018</c:v>
                  </c:pt>
                </c:lvl>
                <c:lvl>
                  <c:pt idx="0">
                    <c:v>UE 28</c:v>
                  </c:pt>
                  <c:pt idx="3">
                    <c:v>Italia</c:v>
                  </c:pt>
                </c:lvl>
              </c:multiLvlStrCache>
            </c:multiLvlStrRef>
          </c:cat>
          <c:val>
            <c:numRef>
              <c:f>'VA-CONS UE'!$B$13:$G$13</c:f>
              <c:numCache>
                <c:formatCode>0%</c:formatCode>
                <c:ptCount val="6"/>
                <c:pt idx="0">
                  <c:v>0.43809052018508587</c:v>
                </c:pt>
                <c:pt idx="1">
                  <c:v>0.40581388194322654</c:v>
                </c:pt>
                <c:pt idx="2">
                  <c:v>0.41829501843412981</c:v>
                </c:pt>
                <c:pt idx="3">
                  <c:v>0.58029097227158744</c:v>
                </c:pt>
                <c:pt idx="4">
                  <c:v>0.58274056504391858</c:v>
                </c:pt>
                <c:pt idx="5">
                  <c:v>0.56818499913096787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8BD-457C-A59E-6172F4CCF25B}"/>
            </c:ext>
          </c:extLst>
        </c:ser>
        <c:ser>
          <c:idx val="1"/>
          <c:order val="1"/>
          <c:tx>
            <c:strRef>
              <c:f>'VA-CONS UE'!$A$12</c:f>
              <c:strCache>
                <c:ptCount val="1"/>
                <c:pt idx="0">
                  <c:v>Consumi intermedi</c:v>
                </c:pt>
              </c:strCache>
            </c:strRef>
          </c:tx>
          <c:spPr>
            <a:solidFill>
              <a:schemeClr val="bg1">
                <a:lumMod val="6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'VA-CONS UE'!$B$10:$G$11</c:f>
              <c:multiLvlStrCache>
                <c:ptCount val="6"/>
                <c:lvl>
                  <c:pt idx="0">
                    <c:v>2007</c:v>
                  </c:pt>
                  <c:pt idx="1">
                    <c:v>2015</c:v>
                  </c:pt>
                  <c:pt idx="2">
                    <c:v>2018</c:v>
                  </c:pt>
                  <c:pt idx="3">
                    <c:v>2007</c:v>
                  </c:pt>
                  <c:pt idx="4">
                    <c:v>2015</c:v>
                  </c:pt>
                  <c:pt idx="5">
                    <c:v>2018</c:v>
                  </c:pt>
                </c:lvl>
                <c:lvl>
                  <c:pt idx="0">
                    <c:v>UE 28</c:v>
                  </c:pt>
                  <c:pt idx="3">
                    <c:v>Italia</c:v>
                  </c:pt>
                </c:lvl>
              </c:multiLvlStrCache>
            </c:multiLvlStrRef>
          </c:cat>
          <c:val>
            <c:numRef>
              <c:f>'VA-CONS UE'!$B$12:$G$12</c:f>
              <c:numCache>
                <c:formatCode>0%</c:formatCode>
                <c:ptCount val="6"/>
                <c:pt idx="0">
                  <c:v>0.56190947981491424</c:v>
                </c:pt>
                <c:pt idx="1">
                  <c:v>0.59418614202593023</c:v>
                </c:pt>
                <c:pt idx="2">
                  <c:v>0.58170498156587014</c:v>
                </c:pt>
                <c:pt idx="3">
                  <c:v>0.41970902772841268</c:v>
                </c:pt>
                <c:pt idx="4">
                  <c:v>0.417259256254424</c:v>
                </c:pt>
                <c:pt idx="5">
                  <c:v>0.43181500086903213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8BD-457C-A59E-6172F4CCF25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891114495"/>
        <c:axId val="1891113247"/>
      </c:barChart>
      <c:catAx>
        <c:axId val="189111449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891113247"/>
        <c:crosses val="autoZero"/>
        <c:auto val="1"/>
        <c:lblAlgn val="ctr"/>
        <c:lblOffset val="100"/>
        <c:noMultiLvlLbl val="0"/>
      </c:catAx>
      <c:valAx>
        <c:axId val="189111324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891114495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4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EXPORT!$D$624</c:f>
              <c:strCache>
                <c:ptCount val="1"/>
                <c:pt idx="0">
                  <c:v>mangimi e spese varie per il bestiame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EXPORT!$E$623:$F$623</c:f>
              <c:numCache>
                <c:formatCode>General</c:formatCode>
                <c:ptCount val="2"/>
                <c:pt idx="0">
                  <c:v>2007</c:v>
                </c:pt>
                <c:pt idx="1">
                  <c:v>2018</c:v>
                </c:pt>
              </c:numCache>
            </c:numRef>
          </c:cat>
          <c:val>
            <c:numRef>
              <c:f>EXPORT!$E$624:$F$624</c:f>
              <c:numCache>
                <c:formatCode>0.0</c:formatCode>
                <c:ptCount val="2"/>
                <c:pt idx="0">
                  <c:v>26.283578360784102</c:v>
                </c:pt>
                <c:pt idx="1">
                  <c:v>27.516044020511401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A83-44C4-8AA3-DEFBE5600EA4}"/>
            </c:ext>
          </c:extLst>
        </c:ser>
        <c:ser>
          <c:idx val="1"/>
          <c:order val="1"/>
          <c:tx>
            <c:strRef>
              <c:f>EXPORT!$D$625</c:f>
              <c:strCache>
                <c:ptCount val="1"/>
                <c:pt idx="0">
                  <c:v>energia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EXPORT!$E$623:$F$623</c:f>
              <c:numCache>
                <c:formatCode>General</c:formatCode>
                <c:ptCount val="2"/>
                <c:pt idx="0">
                  <c:v>2007</c:v>
                </c:pt>
                <c:pt idx="1">
                  <c:v>2018</c:v>
                </c:pt>
              </c:numCache>
            </c:numRef>
          </c:cat>
          <c:val>
            <c:numRef>
              <c:f>EXPORT!$E$625:$F$625</c:f>
              <c:numCache>
                <c:formatCode>0.0</c:formatCode>
                <c:ptCount val="2"/>
                <c:pt idx="0">
                  <c:v>13.815369559485299</c:v>
                </c:pt>
                <c:pt idx="1">
                  <c:v>14.1746920350416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A83-44C4-8AA3-DEFBE5600EA4}"/>
            </c:ext>
          </c:extLst>
        </c:ser>
        <c:ser>
          <c:idx val="2"/>
          <c:order val="2"/>
          <c:tx>
            <c:strRef>
              <c:f>EXPORT!$D$626</c:f>
              <c:strCache>
                <c:ptCount val="1"/>
                <c:pt idx="0">
                  <c:v>reimpieghi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EXPORT!$E$623:$F$623</c:f>
              <c:numCache>
                <c:formatCode>General</c:formatCode>
                <c:ptCount val="2"/>
                <c:pt idx="0">
                  <c:v>2007</c:v>
                </c:pt>
                <c:pt idx="1">
                  <c:v>2018</c:v>
                </c:pt>
              </c:numCache>
            </c:numRef>
          </c:cat>
          <c:val>
            <c:numRef>
              <c:f>EXPORT!$E$626:$F$626</c:f>
              <c:numCache>
                <c:formatCode>0.0</c:formatCode>
                <c:ptCount val="2"/>
                <c:pt idx="0">
                  <c:v>11.5362835813111</c:v>
                </c:pt>
                <c:pt idx="1">
                  <c:v>9.0876067131824101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A83-44C4-8AA3-DEFBE5600EA4}"/>
            </c:ext>
          </c:extLst>
        </c:ser>
        <c:ser>
          <c:idx val="3"/>
          <c:order val="3"/>
          <c:tx>
            <c:strRef>
              <c:f>EXPORT!$D$627</c:f>
              <c:strCache>
                <c:ptCount val="1"/>
                <c:pt idx="0">
                  <c:v>concimi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EXPORT!$E$623:$F$623</c:f>
              <c:numCache>
                <c:formatCode>General</c:formatCode>
                <c:ptCount val="2"/>
                <c:pt idx="0">
                  <c:v>2007</c:v>
                </c:pt>
                <c:pt idx="1">
                  <c:v>2018</c:v>
                </c:pt>
              </c:numCache>
            </c:numRef>
          </c:cat>
          <c:val>
            <c:numRef>
              <c:f>EXPORT!$E$627:$F$627</c:f>
              <c:numCache>
                <c:formatCode>0.0</c:formatCode>
                <c:ptCount val="2"/>
                <c:pt idx="0">
                  <c:v>6.4315692914088496</c:v>
                </c:pt>
                <c:pt idx="1">
                  <c:v>5.8765418868174004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7A83-44C4-8AA3-DEFBE5600EA4}"/>
            </c:ext>
          </c:extLst>
        </c:ser>
        <c:ser>
          <c:idx val="4"/>
          <c:order val="4"/>
          <c:tx>
            <c:strRef>
              <c:f>EXPORT!$D$628</c:f>
              <c:strCache>
                <c:ptCount val="1"/>
                <c:pt idx="0">
                  <c:v>sementi e piantine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EXPORT!$E$623:$F$623</c:f>
              <c:numCache>
                <c:formatCode>General</c:formatCode>
                <c:ptCount val="2"/>
                <c:pt idx="0">
                  <c:v>2007</c:v>
                </c:pt>
                <c:pt idx="1">
                  <c:v>2018</c:v>
                </c:pt>
              </c:numCache>
            </c:numRef>
          </c:cat>
          <c:val>
            <c:numRef>
              <c:f>EXPORT!$E$628:$F$628</c:f>
              <c:numCache>
                <c:formatCode>0.0</c:formatCode>
                <c:ptCount val="2"/>
                <c:pt idx="0">
                  <c:v>5.7458776476880997</c:v>
                </c:pt>
                <c:pt idx="1">
                  <c:v>5.6361149473692898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7A83-44C4-8AA3-DEFBE5600EA4}"/>
            </c:ext>
          </c:extLst>
        </c:ser>
        <c:ser>
          <c:idx val="5"/>
          <c:order val="5"/>
          <c:tx>
            <c:strRef>
              <c:f>EXPORT!$D$629</c:f>
              <c:strCache>
                <c:ptCount val="1"/>
                <c:pt idx="0">
                  <c:v>fitosanitari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EXPORT!$E$623:$F$623</c:f>
              <c:numCache>
                <c:formatCode>General</c:formatCode>
                <c:ptCount val="2"/>
                <c:pt idx="0">
                  <c:v>2007</c:v>
                </c:pt>
                <c:pt idx="1">
                  <c:v>2018</c:v>
                </c:pt>
              </c:numCache>
            </c:numRef>
          </c:cat>
          <c:val>
            <c:numRef>
              <c:f>EXPORT!$E$629:$F$629</c:f>
              <c:numCache>
                <c:formatCode>0.0</c:formatCode>
                <c:ptCount val="2"/>
                <c:pt idx="0">
                  <c:v>3.5285200000631902</c:v>
                </c:pt>
                <c:pt idx="1">
                  <c:v>3.7584062707000401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7A83-44C4-8AA3-DEFBE5600EA4}"/>
            </c:ext>
          </c:extLst>
        </c:ser>
        <c:ser>
          <c:idx val="6"/>
          <c:order val="6"/>
          <c:tx>
            <c:strRef>
              <c:f>EXPORT!$D$630</c:f>
              <c:strCache>
                <c:ptCount val="1"/>
                <c:pt idx="0">
                  <c:v>altri beni e servizi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EXPORT!$E$623:$F$623</c:f>
              <c:numCache>
                <c:formatCode>General</c:formatCode>
                <c:ptCount val="2"/>
                <c:pt idx="0">
                  <c:v>2007</c:v>
                </c:pt>
                <c:pt idx="1">
                  <c:v>2018</c:v>
                </c:pt>
              </c:numCache>
            </c:numRef>
          </c:cat>
          <c:val>
            <c:numRef>
              <c:f>EXPORT!$E$630:$F$630</c:f>
              <c:numCache>
                <c:formatCode>0.0</c:formatCode>
                <c:ptCount val="2"/>
                <c:pt idx="0">
                  <c:v>32.658801559259103</c:v>
                </c:pt>
                <c:pt idx="1">
                  <c:v>33.950594126377801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7A83-44C4-8AA3-DEFBE5600EA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451619992"/>
        <c:axId val="451625568"/>
      </c:barChart>
      <c:catAx>
        <c:axId val="4516199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451625568"/>
        <c:crosses val="autoZero"/>
        <c:auto val="1"/>
        <c:lblAlgn val="ctr"/>
        <c:lblOffset val="100"/>
        <c:noMultiLvlLbl val="0"/>
      </c:catAx>
      <c:valAx>
        <c:axId val="45162556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4516199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1382536907837404"/>
          <c:y val="0.70852817951591673"/>
          <c:w val="0.87712967116831442"/>
          <c:h val="0.2744323784840372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4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Foglio2!$G$12</c:f>
              <c:strCache>
                <c:ptCount val="1"/>
                <c:pt idx="0">
                  <c:v>valori concatenati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Foglio2!$F$13:$F$20</c:f>
              <c:strCache>
                <c:ptCount val="8"/>
                <c:pt idx="0">
                  <c:v>Reimpieghi</c:v>
                </c:pt>
                <c:pt idx="1">
                  <c:v>Concimi</c:v>
                </c:pt>
                <c:pt idx="2">
                  <c:v>Sementi e piantine</c:v>
                </c:pt>
                <c:pt idx="3">
                  <c:v>Consumi intermedi totali</c:v>
                </c:pt>
                <c:pt idx="4">
                  <c:v>Energia</c:v>
                </c:pt>
                <c:pt idx="5">
                  <c:v>Altri beni e servizi</c:v>
                </c:pt>
                <c:pt idx="6">
                  <c:v>Mangimi e spese varie per il bestiame</c:v>
                </c:pt>
                <c:pt idx="7">
                  <c:v>Fitosanitari</c:v>
                </c:pt>
              </c:strCache>
            </c:strRef>
          </c:cat>
          <c:val>
            <c:numRef>
              <c:f>Foglio2!$G$13:$G$20</c:f>
              <c:numCache>
                <c:formatCode>0.00</c:formatCode>
                <c:ptCount val="8"/>
                <c:pt idx="0">
                  <c:v>-13.315282306348774</c:v>
                </c:pt>
                <c:pt idx="1">
                  <c:v>-16.620215073048783</c:v>
                </c:pt>
                <c:pt idx="2">
                  <c:v>-10.384698351418587</c:v>
                </c:pt>
                <c:pt idx="3">
                  <c:v>-2.2206399798141985</c:v>
                </c:pt>
                <c:pt idx="4">
                  <c:v>-3.0710547233791297</c:v>
                </c:pt>
                <c:pt idx="5">
                  <c:v>5.7139179637702098</c:v>
                </c:pt>
                <c:pt idx="6">
                  <c:v>-0.72351581484239036</c:v>
                </c:pt>
                <c:pt idx="7">
                  <c:v>-6.7285684134815611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4AF-424F-A019-D8693EDF4F9D}"/>
            </c:ext>
          </c:extLst>
        </c:ser>
        <c:ser>
          <c:idx val="1"/>
          <c:order val="1"/>
          <c:tx>
            <c:strRef>
              <c:f>Foglio2!$H$12</c:f>
              <c:strCache>
                <c:ptCount val="1"/>
                <c:pt idx="0">
                  <c:v>valori correnti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Foglio2!$F$13:$F$20</c:f>
              <c:strCache>
                <c:ptCount val="8"/>
                <c:pt idx="0">
                  <c:v>Reimpieghi</c:v>
                </c:pt>
                <c:pt idx="1">
                  <c:v>Concimi</c:v>
                </c:pt>
                <c:pt idx="2">
                  <c:v>Sementi e piantine</c:v>
                </c:pt>
                <c:pt idx="3">
                  <c:v>Consumi intermedi totali</c:v>
                </c:pt>
                <c:pt idx="4">
                  <c:v>Energia</c:v>
                </c:pt>
                <c:pt idx="5">
                  <c:v>Altri beni e servizi</c:v>
                </c:pt>
                <c:pt idx="6">
                  <c:v>Mangimi e spese varie per il bestiame</c:v>
                </c:pt>
                <c:pt idx="7">
                  <c:v>Fitosanitari</c:v>
                </c:pt>
              </c:strCache>
            </c:strRef>
          </c:cat>
          <c:val>
            <c:numRef>
              <c:f>Foglio2!$H$13:$H$20</c:f>
              <c:numCache>
                <c:formatCode>0.0</c:formatCode>
                <c:ptCount val="8"/>
                <c:pt idx="0">
                  <c:v>-4.291623110967679</c:v>
                </c:pt>
                <c:pt idx="1">
                  <c:v>11.012334026886151</c:v>
                </c:pt>
                <c:pt idx="2">
                  <c:v>19.176278206768348</c:v>
                </c:pt>
                <c:pt idx="3">
                  <c:v>21.497222728317912</c:v>
                </c:pt>
                <c:pt idx="4">
                  <c:v>24.657231054984763</c:v>
                </c:pt>
                <c:pt idx="5">
                  <c:v>26.302947425876845</c:v>
                </c:pt>
                <c:pt idx="6">
                  <c:v>27.194360032434428</c:v>
                </c:pt>
                <c:pt idx="7">
                  <c:v>29.412876720713509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4AF-424F-A019-D8693EDF4F9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563980056"/>
        <c:axId val="563989568"/>
      </c:barChart>
      <c:catAx>
        <c:axId val="56398005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low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563989568"/>
        <c:crosses val="autoZero"/>
        <c:auto val="1"/>
        <c:lblAlgn val="ctr"/>
        <c:lblOffset val="100"/>
        <c:noMultiLvlLbl val="0"/>
      </c:catAx>
      <c:valAx>
        <c:axId val="56398956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5639800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2">
  <a:schemeClr val="accent2"/>
  <a:schemeClr val="accent4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8BE86B06E6FC844806CA23FA6E11A6E" ma:contentTypeVersion="6" ma:contentTypeDescription="Creare un nuovo documento." ma:contentTypeScope="" ma:versionID="19846635b374aa4e8513bfb57bf4138f">
  <xsd:schema xmlns:xsd="http://www.w3.org/2001/XMLSchema" xmlns:xs="http://www.w3.org/2001/XMLSchema" xmlns:p="http://schemas.microsoft.com/office/2006/metadata/properties" xmlns:ns2="5f36f88f-a6e1-4dbf-96d7-c7955eafa125" xmlns:ns3="bf207097-3e21-48b5-a618-0f552df6adad" targetNamespace="http://schemas.microsoft.com/office/2006/metadata/properties" ma:root="true" ma:fieldsID="2eb27dbba831a294d5384fea1499393c" ns2:_="" ns3:_="">
    <xsd:import namespace="5f36f88f-a6e1-4dbf-96d7-c7955eafa125"/>
    <xsd:import namespace="bf207097-3e21-48b5-a618-0f552df6a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36f88f-a6e1-4dbf-96d7-c7955eafa12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f207097-3e21-48b5-a618-0f552df6a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6855EAC-3A29-42DB-99CA-13F3C764AEC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27D0BD1-000C-4790-8F12-53C2B808FCE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EE0A63E-8A84-4B9C-BFC6-999DA702177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D682FA4-0FA0-4418-A9A1-FE926243FE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f36f88f-a6e1-4dbf-96d7-c7955eafa125"/>
    <ds:schemaRef ds:uri="bf207097-3e21-48b5-a618-0f552df6a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11</Pages>
  <Words>2090</Words>
  <Characters>11916</Characters>
  <Application>Microsoft Office Word</Application>
  <DocSecurity>0</DocSecurity>
  <Lines>99</Lines>
  <Paragraphs>27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Pietro Manzoni di Chiosca</cp:lastModifiedBy>
  <cp:revision>10</cp:revision>
  <cp:lastPrinted>2019-06-10T16:30:00Z</cp:lastPrinted>
  <dcterms:created xsi:type="dcterms:W3CDTF">2020-11-03T17:59:00Z</dcterms:created>
  <dcterms:modified xsi:type="dcterms:W3CDTF">2021-09-14T10:50:00Z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0x01010048BE86B06E6FC844806CA23FA6E11A6E</vt:lpwstr>
  </property>
</Properties>
</file>