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E1D9F" w14:textId="3FF7AF6F" w:rsidR="00875AFE" w:rsidRPr="00875AFE" w:rsidRDefault="00F624CF" w:rsidP="00E63D4C">
      <w:pPr>
        <w:pStyle w:val="Titolo"/>
        <w:jc w:val="center"/>
        <w:rPr>
          <w:sz w:val="28"/>
          <w:szCs w:val="28"/>
        </w:rPr>
      </w:pPr>
      <w:r>
        <w:rPr>
          <w:sz w:val="28"/>
          <w:szCs w:val="28"/>
        </w:rPr>
        <w:t xml:space="preserve"> </w:t>
      </w:r>
    </w:p>
    <w:p w14:paraId="6DBA780C" w14:textId="44D01B8D" w:rsidR="007F28A3" w:rsidRDefault="001F3A3D" w:rsidP="5B813BCF">
      <w:pPr>
        <w:pStyle w:val="Titolo"/>
        <w:jc w:val="center"/>
        <w:rPr>
          <w:sz w:val="52"/>
          <w:szCs w:val="52"/>
        </w:rPr>
      </w:pPr>
      <w:r w:rsidRPr="5B813BCF">
        <w:rPr>
          <w:sz w:val="52"/>
          <w:szCs w:val="52"/>
        </w:rPr>
        <w:t xml:space="preserve">L’Italia e la </w:t>
      </w:r>
      <w:proofErr w:type="spellStart"/>
      <w:r w:rsidRPr="5B813BCF">
        <w:rPr>
          <w:sz w:val="52"/>
          <w:szCs w:val="52"/>
        </w:rPr>
        <w:t>Pac</w:t>
      </w:r>
      <w:proofErr w:type="spellEnd"/>
      <w:r w:rsidRPr="5B813BCF">
        <w:rPr>
          <w:sz w:val="52"/>
          <w:szCs w:val="52"/>
        </w:rPr>
        <w:t xml:space="preserve"> post 2020</w:t>
      </w:r>
      <w:r w:rsidR="005A0F6D" w:rsidRPr="5B813BCF">
        <w:rPr>
          <w:sz w:val="52"/>
          <w:szCs w:val="52"/>
        </w:rPr>
        <w:t xml:space="preserve"> -</w:t>
      </w:r>
      <w:r w:rsidRPr="5B813BCF">
        <w:rPr>
          <w:sz w:val="52"/>
          <w:szCs w:val="52"/>
        </w:rPr>
        <w:t xml:space="preserve"> P</w:t>
      </w:r>
      <w:r w:rsidR="00CE0814">
        <w:rPr>
          <w:sz w:val="52"/>
          <w:szCs w:val="52"/>
        </w:rPr>
        <w:t>B</w:t>
      </w:r>
      <w:r w:rsidRPr="5B813BCF">
        <w:rPr>
          <w:sz w:val="52"/>
          <w:szCs w:val="52"/>
        </w:rPr>
        <w:t xml:space="preserve"> </w:t>
      </w:r>
      <w:r w:rsidR="003658D2" w:rsidRPr="5B813BCF">
        <w:rPr>
          <w:sz w:val="52"/>
          <w:szCs w:val="52"/>
        </w:rPr>
        <w:t>7</w:t>
      </w:r>
    </w:p>
    <w:p w14:paraId="7EBDC497" w14:textId="512BC2ED" w:rsidR="00CE0814" w:rsidRDefault="00CE0814" w:rsidP="00CE0814"/>
    <w:p w14:paraId="16E1D17F" w14:textId="77777777" w:rsidR="00CE0814" w:rsidRPr="00CE0814" w:rsidRDefault="00CE0814" w:rsidP="00CE0814"/>
    <w:p w14:paraId="259C6457" w14:textId="6049E97C" w:rsidR="00E63D4C" w:rsidRDefault="001F3A3D" w:rsidP="00CE0814">
      <w:pPr>
        <w:pStyle w:val="Titolosommario"/>
        <w:jc w:val="both"/>
        <w:rPr>
          <w:color w:val="auto"/>
          <w:sz w:val="48"/>
          <w:szCs w:val="48"/>
        </w:rPr>
      </w:pPr>
      <w:r w:rsidRPr="00E63D4C">
        <w:rPr>
          <w:color w:val="auto"/>
          <w:sz w:val="44"/>
          <w:szCs w:val="44"/>
        </w:rPr>
        <w:t>OS</w:t>
      </w:r>
      <w:r w:rsidR="005A0F6D" w:rsidRPr="00E63D4C">
        <w:rPr>
          <w:color w:val="auto"/>
          <w:sz w:val="44"/>
          <w:szCs w:val="44"/>
        </w:rPr>
        <w:t xml:space="preserve"> </w:t>
      </w:r>
      <w:r w:rsidR="00D05429">
        <w:rPr>
          <w:color w:val="auto"/>
          <w:sz w:val="44"/>
          <w:szCs w:val="44"/>
        </w:rPr>
        <w:t>7</w:t>
      </w:r>
      <w:r w:rsidR="005A0F6D" w:rsidRPr="00E63D4C">
        <w:rPr>
          <w:color w:val="auto"/>
          <w:sz w:val="48"/>
          <w:szCs w:val="48"/>
        </w:rPr>
        <w:t xml:space="preserve">: </w:t>
      </w:r>
      <w:r w:rsidR="00FF75A9">
        <w:rPr>
          <w:color w:val="auto"/>
          <w:sz w:val="48"/>
          <w:szCs w:val="48"/>
        </w:rPr>
        <w:t>A</w:t>
      </w:r>
      <w:r w:rsidR="00FF75A9" w:rsidRPr="00FF75A9">
        <w:rPr>
          <w:color w:val="auto"/>
          <w:sz w:val="48"/>
          <w:szCs w:val="48"/>
        </w:rPr>
        <w:t>ttrarre e sostenere i giovani agricoltori e altri nuovi agricoltori e facilitare lo sviluppo sostenibile delle imprese nelle zone rurali</w:t>
      </w:r>
    </w:p>
    <w:p w14:paraId="0E8F274C" w14:textId="24E33BA5" w:rsidR="00CE0814" w:rsidRDefault="00CE0814">
      <w:pPr>
        <w:jc w:val="left"/>
        <w:rPr>
          <w:lang w:eastAsia="it-IT"/>
        </w:rPr>
      </w:pPr>
      <w:r>
        <w:rPr>
          <w:lang w:eastAsia="it-IT"/>
        </w:rPr>
        <w:br w:type="page"/>
      </w:r>
    </w:p>
    <w:p w14:paraId="3C73E2C9" w14:textId="77777777" w:rsidR="00CE0814" w:rsidRPr="00CE0814" w:rsidRDefault="00CE0814" w:rsidP="00CE0814">
      <w:pPr>
        <w:rPr>
          <w:lang w:eastAsia="it-IT"/>
        </w:rPr>
      </w:pPr>
    </w:p>
    <w:sdt>
      <w:sdtPr>
        <w:rPr>
          <w:rFonts w:asciiTheme="minorHAnsi" w:eastAsiaTheme="minorHAnsi" w:hAnsiTheme="minorHAnsi" w:cstheme="minorBidi"/>
          <w:color w:val="auto"/>
          <w:sz w:val="22"/>
          <w:szCs w:val="22"/>
          <w:lang w:eastAsia="en-US"/>
        </w:rPr>
        <w:id w:val="-624847371"/>
        <w:docPartObj>
          <w:docPartGallery w:val="Table of Contents"/>
          <w:docPartUnique/>
        </w:docPartObj>
      </w:sdtPr>
      <w:sdtEndPr>
        <w:rPr>
          <w:b/>
          <w:bCs/>
        </w:rPr>
      </w:sdtEndPr>
      <w:sdtContent>
        <w:p w14:paraId="7BC21A5E" w14:textId="77777777" w:rsidR="00D67BFB" w:rsidRDefault="00D67BFB">
          <w:pPr>
            <w:pStyle w:val="Titolosommario"/>
          </w:pPr>
          <w:r>
            <w:t>Sommario</w:t>
          </w:r>
        </w:p>
        <w:p w14:paraId="2EFDCB80" w14:textId="55528794" w:rsidR="004A2D6C" w:rsidRDefault="00D67BFB">
          <w:pPr>
            <w:pStyle w:val="Sommario1"/>
            <w:tabs>
              <w:tab w:val="right" w:leader="dot" w:pos="9628"/>
            </w:tabs>
            <w:rPr>
              <w:rFonts w:eastAsiaTheme="minorEastAsia"/>
              <w:lang w:eastAsia="it-IT"/>
            </w:rPr>
          </w:pPr>
          <w:r>
            <w:fldChar w:fldCharType="begin"/>
          </w:r>
          <w:r>
            <w:instrText xml:space="preserve"> TOC \o "1-3" \h \z \u </w:instrText>
          </w:r>
          <w:r>
            <w:fldChar w:fldCharType="separate"/>
          </w:r>
          <w:hyperlink w:anchor="_Toc22736697" w:history="1">
            <w:r w:rsidR="004A2D6C" w:rsidRPr="000D047D">
              <w:rPr>
                <w:rStyle w:val="Collegamentoipertestuale"/>
              </w:rPr>
              <w:t>Scopo del documento</w:t>
            </w:r>
            <w:r w:rsidR="004A2D6C">
              <w:rPr>
                <w:webHidden/>
              </w:rPr>
              <w:tab/>
            </w:r>
            <w:r w:rsidR="004A2D6C">
              <w:rPr>
                <w:webHidden/>
              </w:rPr>
              <w:fldChar w:fldCharType="begin"/>
            </w:r>
            <w:r w:rsidR="004A2D6C">
              <w:rPr>
                <w:webHidden/>
              </w:rPr>
              <w:instrText xml:space="preserve"> PAGEREF _Toc22736697 \h </w:instrText>
            </w:r>
            <w:r w:rsidR="004A2D6C">
              <w:rPr>
                <w:webHidden/>
              </w:rPr>
            </w:r>
            <w:r w:rsidR="004A2D6C">
              <w:rPr>
                <w:webHidden/>
              </w:rPr>
              <w:fldChar w:fldCharType="separate"/>
            </w:r>
            <w:r w:rsidR="00544E80">
              <w:rPr>
                <w:noProof/>
                <w:webHidden/>
              </w:rPr>
              <w:t>2</w:t>
            </w:r>
            <w:r w:rsidR="004A2D6C">
              <w:rPr>
                <w:webHidden/>
              </w:rPr>
              <w:fldChar w:fldCharType="end"/>
            </w:r>
          </w:hyperlink>
        </w:p>
        <w:p w14:paraId="5974BC79" w14:textId="265BE4DB" w:rsidR="004A2D6C" w:rsidRDefault="00CE0814">
          <w:pPr>
            <w:pStyle w:val="Sommario1"/>
            <w:tabs>
              <w:tab w:val="right" w:leader="dot" w:pos="9628"/>
            </w:tabs>
            <w:rPr>
              <w:rFonts w:eastAsiaTheme="minorEastAsia"/>
              <w:lang w:eastAsia="it-IT"/>
            </w:rPr>
          </w:pPr>
          <w:hyperlink w:anchor="_Toc22736698" w:history="1">
            <w:r w:rsidR="004A2D6C" w:rsidRPr="000D047D">
              <w:rPr>
                <w:rStyle w:val="Collegamentoipertestuale"/>
              </w:rPr>
              <w:t>Inquadramento: l’obiettivo e gli strumenti</w:t>
            </w:r>
            <w:r w:rsidR="004A2D6C">
              <w:rPr>
                <w:webHidden/>
              </w:rPr>
              <w:tab/>
            </w:r>
            <w:r w:rsidR="004A2D6C">
              <w:rPr>
                <w:webHidden/>
              </w:rPr>
              <w:fldChar w:fldCharType="begin"/>
            </w:r>
            <w:r w:rsidR="004A2D6C">
              <w:rPr>
                <w:webHidden/>
              </w:rPr>
              <w:instrText xml:space="preserve"> PAGEREF _Toc22736698 \h </w:instrText>
            </w:r>
            <w:r w:rsidR="004A2D6C">
              <w:rPr>
                <w:webHidden/>
              </w:rPr>
            </w:r>
            <w:r w:rsidR="004A2D6C">
              <w:rPr>
                <w:webHidden/>
              </w:rPr>
              <w:fldChar w:fldCharType="separate"/>
            </w:r>
            <w:r w:rsidR="00544E80">
              <w:rPr>
                <w:noProof/>
                <w:webHidden/>
              </w:rPr>
              <w:t>3</w:t>
            </w:r>
            <w:r w:rsidR="004A2D6C">
              <w:rPr>
                <w:webHidden/>
              </w:rPr>
              <w:fldChar w:fldCharType="end"/>
            </w:r>
          </w:hyperlink>
        </w:p>
        <w:p w14:paraId="6E6F5907" w14:textId="505362F9" w:rsidR="004A2D6C" w:rsidRDefault="00CE0814">
          <w:pPr>
            <w:pStyle w:val="Sommario1"/>
            <w:tabs>
              <w:tab w:val="left" w:pos="851"/>
              <w:tab w:val="right" w:leader="dot" w:pos="9628"/>
            </w:tabs>
            <w:rPr>
              <w:rFonts w:eastAsiaTheme="minorEastAsia"/>
              <w:lang w:eastAsia="it-IT"/>
            </w:rPr>
          </w:pPr>
          <w:hyperlink w:anchor="_Toc22736699" w:history="1">
            <w:r w:rsidR="004A2D6C" w:rsidRPr="000D047D">
              <w:rPr>
                <w:rStyle w:val="Collegamentoipertestuale"/>
              </w:rPr>
              <w:t>1.</w:t>
            </w:r>
            <w:r w:rsidR="004A2D6C">
              <w:rPr>
                <w:rFonts w:eastAsiaTheme="minorEastAsia"/>
                <w:lang w:eastAsia="it-IT"/>
              </w:rPr>
              <w:tab/>
            </w:r>
            <w:r w:rsidR="004A2D6C" w:rsidRPr="000D047D">
              <w:rPr>
                <w:rStyle w:val="Collegamentoipertestuale"/>
              </w:rPr>
              <w:t>L’imprenditoria giovanile: il quadro italiano ed europeo</w:t>
            </w:r>
            <w:r w:rsidR="004A2D6C">
              <w:rPr>
                <w:webHidden/>
              </w:rPr>
              <w:tab/>
            </w:r>
            <w:r w:rsidR="004A2D6C">
              <w:rPr>
                <w:webHidden/>
              </w:rPr>
              <w:fldChar w:fldCharType="begin"/>
            </w:r>
            <w:r w:rsidR="004A2D6C">
              <w:rPr>
                <w:webHidden/>
              </w:rPr>
              <w:instrText xml:space="preserve"> PAGEREF _Toc22736699 \h </w:instrText>
            </w:r>
            <w:r w:rsidR="004A2D6C">
              <w:rPr>
                <w:webHidden/>
              </w:rPr>
            </w:r>
            <w:r w:rsidR="004A2D6C">
              <w:rPr>
                <w:webHidden/>
              </w:rPr>
              <w:fldChar w:fldCharType="separate"/>
            </w:r>
            <w:r w:rsidR="00544E80">
              <w:rPr>
                <w:noProof/>
                <w:webHidden/>
              </w:rPr>
              <w:t>5</w:t>
            </w:r>
            <w:r w:rsidR="004A2D6C">
              <w:rPr>
                <w:webHidden/>
              </w:rPr>
              <w:fldChar w:fldCharType="end"/>
            </w:r>
          </w:hyperlink>
        </w:p>
        <w:p w14:paraId="40B75109" w14:textId="2CF22E32" w:rsidR="004A2D6C" w:rsidRDefault="00CE0814">
          <w:pPr>
            <w:pStyle w:val="Sommario2"/>
            <w:tabs>
              <w:tab w:val="left" w:pos="851"/>
              <w:tab w:val="right" w:leader="dot" w:pos="9628"/>
            </w:tabs>
            <w:rPr>
              <w:rFonts w:eastAsiaTheme="minorEastAsia"/>
              <w:lang w:eastAsia="it-IT"/>
            </w:rPr>
          </w:pPr>
          <w:hyperlink w:anchor="_Toc22736700" w:history="1">
            <w:r w:rsidR="004A2D6C" w:rsidRPr="000D047D">
              <w:rPr>
                <w:rStyle w:val="Collegamentoipertestuale"/>
              </w:rPr>
              <w:t>1.1</w:t>
            </w:r>
            <w:r w:rsidR="004A2D6C">
              <w:rPr>
                <w:rFonts w:eastAsiaTheme="minorEastAsia"/>
                <w:lang w:eastAsia="it-IT"/>
              </w:rPr>
              <w:tab/>
            </w:r>
            <w:r w:rsidR="004A2D6C" w:rsidRPr="000D047D">
              <w:rPr>
                <w:rStyle w:val="Collegamentoipertestuale"/>
              </w:rPr>
              <w:t>La presenza dei giovani in agricoltura</w:t>
            </w:r>
            <w:r w:rsidR="004A2D6C">
              <w:rPr>
                <w:webHidden/>
              </w:rPr>
              <w:tab/>
            </w:r>
            <w:r w:rsidR="004A2D6C">
              <w:rPr>
                <w:webHidden/>
              </w:rPr>
              <w:fldChar w:fldCharType="begin"/>
            </w:r>
            <w:r w:rsidR="004A2D6C">
              <w:rPr>
                <w:webHidden/>
              </w:rPr>
              <w:instrText xml:space="preserve"> PAGEREF _Toc22736700 \h </w:instrText>
            </w:r>
            <w:r w:rsidR="004A2D6C">
              <w:rPr>
                <w:webHidden/>
              </w:rPr>
            </w:r>
            <w:r w:rsidR="004A2D6C">
              <w:rPr>
                <w:webHidden/>
              </w:rPr>
              <w:fldChar w:fldCharType="separate"/>
            </w:r>
            <w:r w:rsidR="00544E80">
              <w:rPr>
                <w:noProof/>
                <w:webHidden/>
              </w:rPr>
              <w:t>5</w:t>
            </w:r>
            <w:r w:rsidR="004A2D6C">
              <w:rPr>
                <w:webHidden/>
              </w:rPr>
              <w:fldChar w:fldCharType="end"/>
            </w:r>
          </w:hyperlink>
        </w:p>
        <w:p w14:paraId="53ACAAE6" w14:textId="5F048961" w:rsidR="004A2D6C" w:rsidRDefault="00CE0814">
          <w:pPr>
            <w:pStyle w:val="Sommario3"/>
            <w:rPr>
              <w:rFonts w:eastAsiaTheme="minorEastAsia"/>
              <w:lang w:eastAsia="it-IT"/>
            </w:rPr>
          </w:pPr>
          <w:hyperlink w:anchor="_Toc22736701" w:history="1">
            <w:r w:rsidR="004A2D6C" w:rsidRPr="000D047D">
              <w:rPr>
                <w:rStyle w:val="Collegamentoipertestuale"/>
              </w:rPr>
              <w:t>I principali aspetti</w:t>
            </w:r>
            <w:r w:rsidR="004A2D6C">
              <w:rPr>
                <w:webHidden/>
              </w:rPr>
              <w:tab/>
            </w:r>
            <w:r w:rsidR="004A2D6C">
              <w:rPr>
                <w:webHidden/>
              </w:rPr>
              <w:fldChar w:fldCharType="begin"/>
            </w:r>
            <w:r w:rsidR="004A2D6C">
              <w:rPr>
                <w:webHidden/>
              </w:rPr>
              <w:instrText xml:space="preserve"> PAGEREF _Toc22736701 \h </w:instrText>
            </w:r>
            <w:r w:rsidR="004A2D6C">
              <w:rPr>
                <w:webHidden/>
              </w:rPr>
            </w:r>
            <w:r w:rsidR="004A2D6C">
              <w:rPr>
                <w:webHidden/>
              </w:rPr>
              <w:fldChar w:fldCharType="separate"/>
            </w:r>
            <w:r w:rsidR="00544E80">
              <w:rPr>
                <w:noProof/>
                <w:webHidden/>
              </w:rPr>
              <w:t>5</w:t>
            </w:r>
            <w:r w:rsidR="004A2D6C">
              <w:rPr>
                <w:webHidden/>
              </w:rPr>
              <w:fldChar w:fldCharType="end"/>
            </w:r>
          </w:hyperlink>
        </w:p>
        <w:p w14:paraId="22251139" w14:textId="301B90EC" w:rsidR="004A2D6C" w:rsidRDefault="00CE0814">
          <w:pPr>
            <w:pStyle w:val="Sommario2"/>
            <w:tabs>
              <w:tab w:val="left" w:pos="851"/>
              <w:tab w:val="right" w:leader="dot" w:pos="9628"/>
            </w:tabs>
            <w:rPr>
              <w:rFonts w:eastAsiaTheme="minorEastAsia"/>
              <w:lang w:eastAsia="it-IT"/>
            </w:rPr>
          </w:pPr>
          <w:hyperlink w:anchor="_Toc22736702" w:history="1">
            <w:r w:rsidR="004A2D6C" w:rsidRPr="000D047D">
              <w:rPr>
                <w:rStyle w:val="Collegamentoipertestuale"/>
              </w:rPr>
              <w:t>1.2</w:t>
            </w:r>
            <w:r w:rsidR="004A2D6C">
              <w:rPr>
                <w:rFonts w:eastAsiaTheme="minorEastAsia"/>
                <w:lang w:eastAsia="it-IT"/>
              </w:rPr>
              <w:tab/>
            </w:r>
            <w:r w:rsidR="004A2D6C" w:rsidRPr="000D047D">
              <w:rPr>
                <w:rStyle w:val="Collegamentoipertestuale"/>
              </w:rPr>
              <w:t>La formazione dei giovani in agricoltura</w:t>
            </w:r>
            <w:r w:rsidR="004A2D6C">
              <w:rPr>
                <w:webHidden/>
              </w:rPr>
              <w:tab/>
            </w:r>
            <w:r w:rsidR="004A2D6C">
              <w:rPr>
                <w:webHidden/>
              </w:rPr>
              <w:fldChar w:fldCharType="begin"/>
            </w:r>
            <w:r w:rsidR="004A2D6C">
              <w:rPr>
                <w:webHidden/>
              </w:rPr>
              <w:instrText xml:space="preserve"> PAGEREF _Toc22736702 \h </w:instrText>
            </w:r>
            <w:r w:rsidR="004A2D6C">
              <w:rPr>
                <w:webHidden/>
              </w:rPr>
            </w:r>
            <w:r w:rsidR="004A2D6C">
              <w:rPr>
                <w:webHidden/>
              </w:rPr>
              <w:fldChar w:fldCharType="separate"/>
            </w:r>
            <w:r w:rsidR="00544E80">
              <w:rPr>
                <w:noProof/>
                <w:webHidden/>
              </w:rPr>
              <w:t>8</w:t>
            </w:r>
            <w:r w:rsidR="004A2D6C">
              <w:rPr>
                <w:webHidden/>
              </w:rPr>
              <w:fldChar w:fldCharType="end"/>
            </w:r>
          </w:hyperlink>
        </w:p>
        <w:p w14:paraId="03127F1E" w14:textId="2EE81090" w:rsidR="004A2D6C" w:rsidRDefault="00CE0814">
          <w:pPr>
            <w:pStyle w:val="Sommario3"/>
            <w:rPr>
              <w:rFonts w:eastAsiaTheme="minorEastAsia"/>
              <w:lang w:eastAsia="it-IT"/>
            </w:rPr>
          </w:pPr>
          <w:hyperlink w:anchor="_Toc22736703" w:history="1">
            <w:r w:rsidR="004A2D6C" w:rsidRPr="000D047D">
              <w:rPr>
                <w:rStyle w:val="Collegamentoipertestuale"/>
              </w:rPr>
              <w:t>I principali aspetti</w:t>
            </w:r>
            <w:r w:rsidR="004A2D6C">
              <w:rPr>
                <w:webHidden/>
              </w:rPr>
              <w:tab/>
            </w:r>
            <w:r w:rsidR="004A2D6C">
              <w:rPr>
                <w:webHidden/>
              </w:rPr>
              <w:fldChar w:fldCharType="begin"/>
            </w:r>
            <w:r w:rsidR="004A2D6C">
              <w:rPr>
                <w:webHidden/>
              </w:rPr>
              <w:instrText xml:space="preserve"> PAGEREF _Toc22736703 \h </w:instrText>
            </w:r>
            <w:r w:rsidR="004A2D6C">
              <w:rPr>
                <w:webHidden/>
              </w:rPr>
            </w:r>
            <w:r w:rsidR="004A2D6C">
              <w:rPr>
                <w:webHidden/>
              </w:rPr>
              <w:fldChar w:fldCharType="separate"/>
            </w:r>
            <w:r w:rsidR="00544E80">
              <w:rPr>
                <w:noProof/>
                <w:webHidden/>
              </w:rPr>
              <w:t>8</w:t>
            </w:r>
            <w:r w:rsidR="004A2D6C">
              <w:rPr>
                <w:webHidden/>
              </w:rPr>
              <w:fldChar w:fldCharType="end"/>
            </w:r>
          </w:hyperlink>
        </w:p>
        <w:p w14:paraId="77A35958" w14:textId="2A96F3B9" w:rsidR="004A2D6C" w:rsidRDefault="00CE0814">
          <w:pPr>
            <w:pStyle w:val="Sommario2"/>
            <w:tabs>
              <w:tab w:val="left" w:pos="851"/>
              <w:tab w:val="right" w:leader="dot" w:pos="9628"/>
            </w:tabs>
            <w:rPr>
              <w:rFonts w:eastAsiaTheme="minorEastAsia"/>
              <w:lang w:eastAsia="it-IT"/>
            </w:rPr>
          </w:pPr>
          <w:hyperlink w:anchor="_Toc22736704" w:history="1">
            <w:r w:rsidR="004A2D6C" w:rsidRPr="000D047D">
              <w:rPr>
                <w:rStyle w:val="Collegamentoipertestuale"/>
              </w:rPr>
              <w:t>1.3</w:t>
            </w:r>
            <w:r w:rsidR="004A2D6C">
              <w:rPr>
                <w:rFonts w:eastAsiaTheme="minorEastAsia"/>
                <w:lang w:eastAsia="it-IT"/>
              </w:rPr>
              <w:tab/>
            </w:r>
            <w:r w:rsidR="004A2D6C" w:rsidRPr="000D047D">
              <w:rPr>
                <w:rStyle w:val="Collegamentoipertestuale"/>
              </w:rPr>
              <w:t>Le caratteristiche delle aziende dei giovani</w:t>
            </w:r>
            <w:r w:rsidR="004A2D6C">
              <w:rPr>
                <w:webHidden/>
              </w:rPr>
              <w:tab/>
            </w:r>
            <w:r w:rsidR="004A2D6C">
              <w:rPr>
                <w:webHidden/>
              </w:rPr>
              <w:fldChar w:fldCharType="begin"/>
            </w:r>
            <w:r w:rsidR="004A2D6C">
              <w:rPr>
                <w:webHidden/>
              </w:rPr>
              <w:instrText xml:space="preserve"> PAGEREF _Toc22736704 \h </w:instrText>
            </w:r>
            <w:r w:rsidR="004A2D6C">
              <w:rPr>
                <w:webHidden/>
              </w:rPr>
            </w:r>
            <w:r w:rsidR="004A2D6C">
              <w:rPr>
                <w:webHidden/>
              </w:rPr>
              <w:fldChar w:fldCharType="separate"/>
            </w:r>
            <w:r w:rsidR="00544E80">
              <w:rPr>
                <w:noProof/>
                <w:webHidden/>
              </w:rPr>
              <w:t>10</w:t>
            </w:r>
            <w:r w:rsidR="004A2D6C">
              <w:rPr>
                <w:webHidden/>
              </w:rPr>
              <w:fldChar w:fldCharType="end"/>
            </w:r>
          </w:hyperlink>
        </w:p>
        <w:p w14:paraId="50A76EB2" w14:textId="29008448" w:rsidR="004A2D6C" w:rsidRDefault="00CE0814">
          <w:pPr>
            <w:pStyle w:val="Sommario2"/>
            <w:tabs>
              <w:tab w:val="left" w:pos="851"/>
              <w:tab w:val="right" w:leader="dot" w:pos="9628"/>
            </w:tabs>
            <w:rPr>
              <w:rFonts w:eastAsiaTheme="minorEastAsia"/>
              <w:lang w:eastAsia="it-IT"/>
            </w:rPr>
          </w:pPr>
          <w:hyperlink w:anchor="_Toc22736705" w:history="1">
            <w:r w:rsidR="004A2D6C" w:rsidRPr="000D047D">
              <w:rPr>
                <w:rStyle w:val="Collegamentoipertestuale"/>
              </w:rPr>
              <w:t>1.4</w:t>
            </w:r>
            <w:r w:rsidR="004A2D6C">
              <w:rPr>
                <w:rFonts w:eastAsiaTheme="minorEastAsia"/>
                <w:lang w:eastAsia="it-IT"/>
              </w:rPr>
              <w:tab/>
            </w:r>
            <w:r w:rsidR="004A2D6C" w:rsidRPr="000D047D">
              <w:rPr>
                <w:rStyle w:val="Collegamentoipertestuale"/>
              </w:rPr>
              <w:t>Le dinamiche delle imprese agricole in Italia</w:t>
            </w:r>
            <w:r w:rsidR="004A2D6C">
              <w:rPr>
                <w:webHidden/>
              </w:rPr>
              <w:tab/>
            </w:r>
            <w:r w:rsidR="004A2D6C">
              <w:rPr>
                <w:webHidden/>
              </w:rPr>
              <w:fldChar w:fldCharType="begin"/>
            </w:r>
            <w:r w:rsidR="004A2D6C">
              <w:rPr>
                <w:webHidden/>
              </w:rPr>
              <w:instrText xml:space="preserve"> PAGEREF _Toc22736705 \h </w:instrText>
            </w:r>
            <w:r w:rsidR="004A2D6C">
              <w:rPr>
                <w:webHidden/>
              </w:rPr>
            </w:r>
            <w:r w:rsidR="004A2D6C">
              <w:rPr>
                <w:webHidden/>
              </w:rPr>
              <w:fldChar w:fldCharType="separate"/>
            </w:r>
            <w:r w:rsidR="00544E80">
              <w:rPr>
                <w:noProof/>
                <w:webHidden/>
              </w:rPr>
              <w:t>14</w:t>
            </w:r>
            <w:r w:rsidR="004A2D6C">
              <w:rPr>
                <w:webHidden/>
              </w:rPr>
              <w:fldChar w:fldCharType="end"/>
            </w:r>
          </w:hyperlink>
        </w:p>
        <w:p w14:paraId="424E7875" w14:textId="00560BAA" w:rsidR="004A2D6C" w:rsidRDefault="00CE0814">
          <w:pPr>
            <w:pStyle w:val="Sommario1"/>
            <w:tabs>
              <w:tab w:val="left" w:pos="851"/>
              <w:tab w:val="right" w:leader="dot" w:pos="9628"/>
            </w:tabs>
            <w:rPr>
              <w:rFonts w:eastAsiaTheme="minorEastAsia"/>
              <w:lang w:eastAsia="it-IT"/>
            </w:rPr>
          </w:pPr>
          <w:hyperlink w:anchor="_Toc22736706" w:history="1">
            <w:r w:rsidR="004A2D6C" w:rsidRPr="000D047D">
              <w:rPr>
                <w:rStyle w:val="Collegamentoipertestuale"/>
              </w:rPr>
              <w:t>2.</w:t>
            </w:r>
            <w:r w:rsidR="004A2D6C">
              <w:rPr>
                <w:rFonts w:eastAsiaTheme="minorEastAsia"/>
                <w:lang w:eastAsia="it-IT"/>
              </w:rPr>
              <w:tab/>
            </w:r>
            <w:r w:rsidR="004A2D6C" w:rsidRPr="000D047D">
              <w:rPr>
                <w:rStyle w:val="Collegamentoipertestuale"/>
              </w:rPr>
              <w:t>I fabbisogni dei giovani imprenditori</w:t>
            </w:r>
            <w:r w:rsidR="004A2D6C">
              <w:rPr>
                <w:webHidden/>
              </w:rPr>
              <w:tab/>
            </w:r>
            <w:r w:rsidR="004A2D6C">
              <w:rPr>
                <w:webHidden/>
              </w:rPr>
              <w:fldChar w:fldCharType="begin"/>
            </w:r>
            <w:r w:rsidR="004A2D6C">
              <w:rPr>
                <w:webHidden/>
              </w:rPr>
              <w:instrText xml:space="preserve"> PAGEREF _Toc22736706 \h </w:instrText>
            </w:r>
            <w:r w:rsidR="004A2D6C">
              <w:rPr>
                <w:webHidden/>
              </w:rPr>
            </w:r>
            <w:r w:rsidR="004A2D6C">
              <w:rPr>
                <w:webHidden/>
              </w:rPr>
              <w:fldChar w:fldCharType="separate"/>
            </w:r>
            <w:r w:rsidR="00544E80">
              <w:rPr>
                <w:noProof/>
                <w:webHidden/>
              </w:rPr>
              <w:t>17</w:t>
            </w:r>
            <w:r w:rsidR="004A2D6C">
              <w:rPr>
                <w:webHidden/>
              </w:rPr>
              <w:fldChar w:fldCharType="end"/>
            </w:r>
          </w:hyperlink>
        </w:p>
        <w:p w14:paraId="576FF985" w14:textId="1E75AC52" w:rsidR="004A2D6C" w:rsidRDefault="00CE0814">
          <w:pPr>
            <w:pStyle w:val="Sommario2"/>
            <w:tabs>
              <w:tab w:val="left" w:pos="851"/>
              <w:tab w:val="right" w:leader="dot" w:pos="9628"/>
            </w:tabs>
            <w:rPr>
              <w:rFonts w:eastAsiaTheme="minorEastAsia"/>
              <w:lang w:eastAsia="it-IT"/>
            </w:rPr>
          </w:pPr>
          <w:hyperlink w:anchor="_Toc22736707" w:history="1">
            <w:r w:rsidR="004A2D6C" w:rsidRPr="000D047D">
              <w:rPr>
                <w:rStyle w:val="Collegamentoipertestuale"/>
              </w:rPr>
              <w:t>2.1</w:t>
            </w:r>
            <w:r w:rsidR="004A2D6C">
              <w:rPr>
                <w:rFonts w:eastAsiaTheme="minorEastAsia"/>
                <w:lang w:eastAsia="it-IT"/>
              </w:rPr>
              <w:tab/>
            </w:r>
            <w:r w:rsidR="004A2D6C" w:rsidRPr="000D047D">
              <w:rPr>
                <w:rStyle w:val="Collegamentoipertestuale"/>
              </w:rPr>
              <w:t>Accesso alla Terra</w:t>
            </w:r>
            <w:r w:rsidR="004A2D6C">
              <w:rPr>
                <w:webHidden/>
              </w:rPr>
              <w:tab/>
            </w:r>
            <w:r w:rsidR="004A2D6C">
              <w:rPr>
                <w:webHidden/>
              </w:rPr>
              <w:fldChar w:fldCharType="begin"/>
            </w:r>
            <w:r w:rsidR="004A2D6C">
              <w:rPr>
                <w:webHidden/>
              </w:rPr>
              <w:instrText xml:space="preserve"> PAGEREF _Toc22736707 \h </w:instrText>
            </w:r>
            <w:r w:rsidR="004A2D6C">
              <w:rPr>
                <w:webHidden/>
              </w:rPr>
            </w:r>
            <w:r w:rsidR="004A2D6C">
              <w:rPr>
                <w:webHidden/>
              </w:rPr>
              <w:fldChar w:fldCharType="separate"/>
            </w:r>
            <w:r w:rsidR="00544E80">
              <w:rPr>
                <w:noProof/>
                <w:webHidden/>
              </w:rPr>
              <w:t>17</w:t>
            </w:r>
            <w:r w:rsidR="004A2D6C">
              <w:rPr>
                <w:webHidden/>
              </w:rPr>
              <w:fldChar w:fldCharType="end"/>
            </w:r>
          </w:hyperlink>
        </w:p>
        <w:p w14:paraId="7DC4350F" w14:textId="4AD2D2FB" w:rsidR="004A2D6C" w:rsidRDefault="00CE0814">
          <w:pPr>
            <w:pStyle w:val="Sommario2"/>
            <w:tabs>
              <w:tab w:val="left" w:pos="851"/>
              <w:tab w:val="right" w:leader="dot" w:pos="9628"/>
            </w:tabs>
            <w:rPr>
              <w:rFonts w:eastAsiaTheme="minorEastAsia"/>
              <w:lang w:eastAsia="it-IT"/>
            </w:rPr>
          </w:pPr>
          <w:hyperlink w:anchor="_Toc22736708" w:history="1">
            <w:r w:rsidR="004A2D6C" w:rsidRPr="000D047D">
              <w:rPr>
                <w:rStyle w:val="Collegamentoipertestuale"/>
              </w:rPr>
              <w:t>2.2</w:t>
            </w:r>
            <w:r w:rsidR="004A2D6C">
              <w:rPr>
                <w:rFonts w:eastAsiaTheme="minorEastAsia"/>
                <w:lang w:eastAsia="it-IT"/>
              </w:rPr>
              <w:tab/>
            </w:r>
            <w:r w:rsidR="004A2D6C" w:rsidRPr="000D047D">
              <w:rPr>
                <w:rStyle w:val="Collegamentoipertestuale"/>
              </w:rPr>
              <w:t>Accesso al credito</w:t>
            </w:r>
            <w:r w:rsidR="004A2D6C">
              <w:rPr>
                <w:webHidden/>
              </w:rPr>
              <w:tab/>
            </w:r>
            <w:r w:rsidR="004A2D6C">
              <w:rPr>
                <w:webHidden/>
              </w:rPr>
              <w:fldChar w:fldCharType="begin"/>
            </w:r>
            <w:r w:rsidR="004A2D6C">
              <w:rPr>
                <w:webHidden/>
              </w:rPr>
              <w:instrText xml:space="preserve"> PAGEREF _Toc22736708 \h </w:instrText>
            </w:r>
            <w:r w:rsidR="004A2D6C">
              <w:rPr>
                <w:webHidden/>
              </w:rPr>
            </w:r>
            <w:r w:rsidR="004A2D6C">
              <w:rPr>
                <w:webHidden/>
              </w:rPr>
              <w:fldChar w:fldCharType="separate"/>
            </w:r>
            <w:r w:rsidR="00544E80">
              <w:rPr>
                <w:noProof/>
                <w:webHidden/>
              </w:rPr>
              <w:t>21</w:t>
            </w:r>
            <w:r w:rsidR="004A2D6C">
              <w:rPr>
                <w:webHidden/>
              </w:rPr>
              <w:fldChar w:fldCharType="end"/>
            </w:r>
          </w:hyperlink>
        </w:p>
        <w:p w14:paraId="6B34872B" w14:textId="0BF43C7C" w:rsidR="004A2D6C" w:rsidRDefault="00CE0814">
          <w:pPr>
            <w:pStyle w:val="Sommario2"/>
            <w:tabs>
              <w:tab w:val="left" w:pos="851"/>
              <w:tab w:val="right" w:leader="dot" w:pos="9628"/>
            </w:tabs>
            <w:rPr>
              <w:rFonts w:eastAsiaTheme="minorEastAsia"/>
              <w:lang w:eastAsia="it-IT"/>
            </w:rPr>
          </w:pPr>
          <w:hyperlink w:anchor="_Toc22736709" w:history="1">
            <w:r w:rsidR="004A2D6C" w:rsidRPr="000D047D">
              <w:rPr>
                <w:rStyle w:val="Collegamentoipertestuale"/>
              </w:rPr>
              <w:t>2.3</w:t>
            </w:r>
            <w:r w:rsidR="004A2D6C">
              <w:rPr>
                <w:rFonts w:eastAsiaTheme="minorEastAsia"/>
                <w:lang w:eastAsia="it-IT"/>
              </w:rPr>
              <w:tab/>
            </w:r>
            <w:r w:rsidR="004A2D6C" w:rsidRPr="000D047D">
              <w:rPr>
                <w:rStyle w:val="Collegamentoipertestuale"/>
              </w:rPr>
              <w:t>Accesso alla formazione e fabbisogno formativo</w:t>
            </w:r>
            <w:r w:rsidR="004A2D6C">
              <w:rPr>
                <w:webHidden/>
              </w:rPr>
              <w:tab/>
            </w:r>
            <w:r w:rsidR="004A2D6C">
              <w:rPr>
                <w:webHidden/>
              </w:rPr>
              <w:fldChar w:fldCharType="begin"/>
            </w:r>
            <w:r w:rsidR="004A2D6C">
              <w:rPr>
                <w:webHidden/>
              </w:rPr>
              <w:instrText xml:space="preserve"> PAGEREF _Toc22736709 \h </w:instrText>
            </w:r>
            <w:r w:rsidR="004A2D6C">
              <w:rPr>
                <w:webHidden/>
              </w:rPr>
            </w:r>
            <w:r w:rsidR="004A2D6C">
              <w:rPr>
                <w:webHidden/>
              </w:rPr>
              <w:fldChar w:fldCharType="separate"/>
            </w:r>
            <w:r w:rsidR="00544E80">
              <w:rPr>
                <w:noProof/>
                <w:webHidden/>
              </w:rPr>
              <w:t>22</w:t>
            </w:r>
            <w:r w:rsidR="004A2D6C">
              <w:rPr>
                <w:webHidden/>
              </w:rPr>
              <w:fldChar w:fldCharType="end"/>
            </w:r>
          </w:hyperlink>
        </w:p>
        <w:p w14:paraId="59326D3D" w14:textId="131D34C2" w:rsidR="004A2D6C" w:rsidRDefault="00CE0814">
          <w:pPr>
            <w:pStyle w:val="Sommario1"/>
            <w:tabs>
              <w:tab w:val="left" w:pos="851"/>
              <w:tab w:val="right" w:leader="dot" w:pos="9628"/>
            </w:tabs>
            <w:rPr>
              <w:rFonts w:eastAsiaTheme="minorEastAsia"/>
              <w:lang w:eastAsia="it-IT"/>
            </w:rPr>
          </w:pPr>
          <w:hyperlink w:anchor="_Toc22736710" w:history="1">
            <w:r w:rsidR="004A2D6C" w:rsidRPr="000D047D">
              <w:rPr>
                <w:rStyle w:val="Collegamentoipertestuale"/>
              </w:rPr>
              <w:t>3.</w:t>
            </w:r>
            <w:r w:rsidR="004A2D6C">
              <w:rPr>
                <w:rFonts w:eastAsiaTheme="minorEastAsia"/>
                <w:lang w:eastAsia="it-IT"/>
              </w:rPr>
              <w:tab/>
            </w:r>
            <w:r w:rsidR="004A2D6C" w:rsidRPr="000D047D">
              <w:rPr>
                <w:rStyle w:val="Collegamentoipertestuale"/>
              </w:rPr>
              <w:t>Il sostegno della politica di sviluppo rurale all’imprenditoria giovanile</w:t>
            </w:r>
            <w:r w:rsidR="004A2D6C">
              <w:rPr>
                <w:webHidden/>
              </w:rPr>
              <w:tab/>
            </w:r>
            <w:r w:rsidR="004A2D6C">
              <w:rPr>
                <w:webHidden/>
              </w:rPr>
              <w:fldChar w:fldCharType="begin"/>
            </w:r>
            <w:r w:rsidR="004A2D6C">
              <w:rPr>
                <w:webHidden/>
              </w:rPr>
              <w:instrText xml:space="preserve"> PAGEREF _Toc22736710 \h </w:instrText>
            </w:r>
            <w:r w:rsidR="004A2D6C">
              <w:rPr>
                <w:webHidden/>
              </w:rPr>
            </w:r>
            <w:r w:rsidR="004A2D6C">
              <w:rPr>
                <w:webHidden/>
              </w:rPr>
              <w:fldChar w:fldCharType="separate"/>
            </w:r>
            <w:r w:rsidR="00544E80">
              <w:rPr>
                <w:noProof/>
                <w:webHidden/>
              </w:rPr>
              <w:t>23</w:t>
            </w:r>
            <w:r w:rsidR="004A2D6C">
              <w:rPr>
                <w:webHidden/>
              </w:rPr>
              <w:fldChar w:fldCharType="end"/>
            </w:r>
          </w:hyperlink>
        </w:p>
        <w:p w14:paraId="7E95974C" w14:textId="0A35A415" w:rsidR="004A2D6C" w:rsidRDefault="00CE0814">
          <w:pPr>
            <w:pStyle w:val="Sommario2"/>
            <w:tabs>
              <w:tab w:val="left" w:pos="851"/>
              <w:tab w:val="right" w:leader="dot" w:pos="9628"/>
            </w:tabs>
            <w:rPr>
              <w:rFonts w:eastAsiaTheme="minorEastAsia"/>
              <w:lang w:eastAsia="it-IT"/>
            </w:rPr>
          </w:pPr>
          <w:hyperlink w:anchor="_Toc22736711" w:history="1">
            <w:r w:rsidR="004A2D6C" w:rsidRPr="000D047D">
              <w:rPr>
                <w:rStyle w:val="Collegamentoipertestuale"/>
              </w:rPr>
              <w:t>3.1</w:t>
            </w:r>
            <w:r w:rsidR="004A2D6C">
              <w:rPr>
                <w:rFonts w:eastAsiaTheme="minorEastAsia"/>
                <w:lang w:eastAsia="it-IT"/>
              </w:rPr>
              <w:tab/>
            </w:r>
            <w:r w:rsidR="004A2D6C" w:rsidRPr="000D047D">
              <w:rPr>
                <w:rStyle w:val="Collegamentoipertestuale"/>
              </w:rPr>
              <w:t>La politica di sviluppo rurale 2007-2013</w:t>
            </w:r>
            <w:r w:rsidR="004A2D6C">
              <w:rPr>
                <w:webHidden/>
              </w:rPr>
              <w:tab/>
            </w:r>
            <w:r w:rsidR="004A2D6C">
              <w:rPr>
                <w:webHidden/>
              </w:rPr>
              <w:fldChar w:fldCharType="begin"/>
            </w:r>
            <w:r w:rsidR="004A2D6C">
              <w:rPr>
                <w:webHidden/>
              </w:rPr>
              <w:instrText xml:space="preserve"> PAGEREF _Toc22736711 \h </w:instrText>
            </w:r>
            <w:r w:rsidR="004A2D6C">
              <w:rPr>
                <w:webHidden/>
              </w:rPr>
            </w:r>
            <w:r w:rsidR="004A2D6C">
              <w:rPr>
                <w:webHidden/>
              </w:rPr>
              <w:fldChar w:fldCharType="separate"/>
            </w:r>
            <w:r w:rsidR="00544E80">
              <w:rPr>
                <w:noProof/>
                <w:webHidden/>
              </w:rPr>
              <w:t>23</w:t>
            </w:r>
            <w:r w:rsidR="004A2D6C">
              <w:rPr>
                <w:webHidden/>
              </w:rPr>
              <w:fldChar w:fldCharType="end"/>
            </w:r>
          </w:hyperlink>
        </w:p>
        <w:p w14:paraId="4BDA2C27" w14:textId="45F8026F" w:rsidR="004A2D6C" w:rsidRDefault="00CE0814">
          <w:pPr>
            <w:pStyle w:val="Sommario2"/>
            <w:tabs>
              <w:tab w:val="left" w:pos="851"/>
              <w:tab w:val="right" w:leader="dot" w:pos="9628"/>
            </w:tabs>
            <w:rPr>
              <w:rFonts w:eastAsiaTheme="minorEastAsia"/>
              <w:lang w:eastAsia="it-IT"/>
            </w:rPr>
          </w:pPr>
          <w:hyperlink w:anchor="_Toc22736712" w:history="1">
            <w:r w:rsidR="004A2D6C" w:rsidRPr="000D047D">
              <w:rPr>
                <w:rStyle w:val="Collegamentoipertestuale"/>
              </w:rPr>
              <w:t>3.2</w:t>
            </w:r>
            <w:r w:rsidR="004A2D6C">
              <w:rPr>
                <w:rFonts w:eastAsiaTheme="minorEastAsia"/>
                <w:lang w:eastAsia="it-IT"/>
              </w:rPr>
              <w:tab/>
            </w:r>
            <w:r w:rsidR="004A2D6C" w:rsidRPr="000D047D">
              <w:rPr>
                <w:rStyle w:val="Collegamentoipertestuale"/>
              </w:rPr>
              <w:t>Il sostegno al ricambio generazionale nella Politica agricola comune 2014-2020</w:t>
            </w:r>
            <w:r w:rsidR="004A2D6C">
              <w:rPr>
                <w:webHidden/>
              </w:rPr>
              <w:tab/>
            </w:r>
            <w:r w:rsidR="004A2D6C">
              <w:rPr>
                <w:webHidden/>
              </w:rPr>
              <w:fldChar w:fldCharType="begin"/>
            </w:r>
            <w:r w:rsidR="004A2D6C">
              <w:rPr>
                <w:webHidden/>
              </w:rPr>
              <w:instrText xml:space="preserve"> PAGEREF _Toc22736712 \h </w:instrText>
            </w:r>
            <w:r w:rsidR="004A2D6C">
              <w:rPr>
                <w:webHidden/>
              </w:rPr>
            </w:r>
            <w:r w:rsidR="004A2D6C">
              <w:rPr>
                <w:webHidden/>
              </w:rPr>
              <w:fldChar w:fldCharType="separate"/>
            </w:r>
            <w:r w:rsidR="00544E80">
              <w:rPr>
                <w:noProof/>
                <w:webHidden/>
              </w:rPr>
              <w:t>26</w:t>
            </w:r>
            <w:r w:rsidR="004A2D6C">
              <w:rPr>
                <w:webHidden/>
              </w:rPr>
              <w:fldChar w:fldCharType="end"/>
            </w:r>
          </w:hyperlink>
        </w:p>
        <w:p w14:paraId="0BDCC397" w14:textId="5E56048E" w:rsidR="004A2D6C" w:rsidRDefault="00CE0814">
          <w:pPr>
            <w:pStyle w:val="Sommario3"/>
            <w:rPr>
              <w:rFonts w:eastAsiaTheme="minorEastAsia"/>
              <w:lang w:eastAsia="it-IT"/>
            </w:rPr>
          </w:pPr>
          <w:hyperlink w:anchor="_Toc22736713" w:history="1">
            <w:r w:rsidR="004A2D6C" w:rsidRPr="000D047D">
              <w:rPr>
                <w:rStyle w:val="Collegamentoipertestuale"/>
              </w:rPr>
              <w:t>I principali aspetti II Pilastro</w:t>
            </w:r>
            <w:r w:rsidR="004A2D6C">
              <w:rPr>
                <w:webHidden/>
              </w:rPr>
              <w:tab/>
            </w:r>
            <w:r w:rsidR="004A2D6C">
              <w:rPr>
                <w:webHidden/>
              </w:rPr>
              <w:fldChar w:fldCharType="begin"/>
            </w:r>
            <w:r w:rsidR="004A2D6C">
              <w:rPr>
                <w:webHidden/>
              </w:rPr>
              <w:instrText xml:space="preserve"> PAGEREF _Toc22736713 \h </w:instrText>
            </w:r>
            <w:r w:rsidR="004A2D6C">
              <w:rPr>
                <w:webHidden/>
              </w:rPr>
            </w:r>
            <w:r w:rsidR="004A2D6C">
              <w:rPr>
                <w:webHidden/>
              </w:rPr>
              <w:fldChar w:fldCharType="separate"/>
            </w:r>
            <w:r w:rsidR="00544E80">
              <w:rPr>
                <w:noProof/>
                <w:webHidden/>
              </w:rPr>
              <w:t>26</w:t>
            </w:r>
            <w:r w:rsidR="004A2D6C">
              <w:rPr>
                <w:webHidden/>
              </w:rPr>
              <w:fldChar w:fldCharType="end"/>
            </w:r>
          </w:hyperlink>
        </w:p>
        <w:p w14:paraId="2F482F27" w14:textId="18394D80" w:rsidR="004A2D6C" w:rsidRDefault="00CE0814">
          <w:pPr>
            <w:pStyle w:val="Sommario3"/>
            <w:rPr>
              <w:rFonts w:eastAsiaTheme="minorEastAsia"/>
              <w:lang w:eastAsia="it-IT"/>
            </w:rPr>
          </w:pPr>
          <w:hyperlink w:anchor="_Toc22736714" w:history="1">
            <w:r w:rsidR="004A2D6C" w:rsidRPr="000D047D">
              <w:rPr>
                <w:rStyle w:val="Collegamentoipertestuale"/>
              </w:rPr>
              <w:t>Focus pacchetto Giovani. Modalità di attuazione della sotto-misura 6.1</w:t>
            </w:r>
            <w:r w:rsidR="004A2D6C">
              <w:rPr>
                <w:webHidden/>
              </w:rPr>
              <w:tab/>
            </w:r>
            <w:r w:rsidR="004A2D6C">
              <w:rPr>
                <w:webHidden/>
              </w:rPr>
              <w:fldChar w:fldCharType="begin"/>
            </w:r>
            <w:r w:rsidR="004A2D6C">
              <w:rPr>
                <w:webHidden/>
              </w:rPr>
              <w:instrText xml:space="preserve"> PAGEREF _Toc22736714 \h </w:instrText>
            </w:r>
            <w:r w:rsidR="004A2D6C">
              <w:rPr>
                <w:webHidden/>
              </w:rPr>
            </w:r>
            <w:r w:rsidR="004A2D6C">
              <w:rPr>
                <w:webHidden/>
              </w:rPr>
              <w:fldChar w:fldCharType="separate"/>
            </w:r>
            <w:r w:rsidR="00544E80">
              <w:rPr>
                <w:noProof/>
                <w:webHidden/>
              </w:rPr>
              <w:t>28</w:t>
            </w:r>
            <w:r w:rsidR="004A2D6C">
              <w:rPr>
                <w:webHidden/>
              </w:rPr>
              <w:fldChar w:fldCharType="end"/>
            </w:r>
          </w:hyperlink>
        </w:p>
        <w:p w14:paraId="7F45C6F4" w14:textId="7B5628B3" w:rsidR="004A2D6C" w:rsidRDefault="00CE0814">
          <w:pPr>
            <w:pStyle w:val="Sommario3"/>
            <w:rPr>
              <w:rFonts w:eastAsiaTheme="minorEastAsia"/>
              <w:lang w:eastAsia="it-IT"/>
            </w:rPr>
          </w:pPr>
          <w:hyperlink w:anchor="_Toc22736715" w:history="1">
            <w:r w:rsidR="004A2D6C" w:rsidRPr="000D047D">
              <w:rPr>
                <w:rStyle w:val="Collegamentoipertestuale"/>
              </w:rPr>
              <w:t>I principali aspetti I Pilastro</w:t>
            </w:r>
            <w:r w:rsidR="004A2D6C">
              <w:rPr>
                <w:webHidden/>
              </w:rPr>
              <w:tab/>
            </w:r>
            <w:r w:rsidR="004A2D6C">
              <w:rPr>
                <w:webHidden/>
              </w:rPr>
              <w:fldChar w:fldCharType="begin"/>
            </w:r>
            <w:r w:rsidR="004A2D6C">
              <w:rPr>
                <w:webHidden/>
              </w:rPr>
              <w:instrText xml:space="preserve"> PAGEREF _Toc22736715 \h </w:instrText>
            </w:r>
            <w:r w:rsidR="004A2D6C">
              <w:rPr>
                <w:webHidden/>
              </w:rPr>
            </w:r>
            <w:r w:rsidR="004A2D6C">
              <w:rPr>
                <w:webHidden/>
              </w:rPr>
              <w:fldChar w:fldCharType="separate"/>
            </w:r>
            <w:r w:rsidR="00544E80">
              <w:rPr>
                <w:noProof/>
                <w:webHidden/>
              </w:rPr>
              <w:t>31</w:t>
            </w:r>
            <w:r w:rsidR="004A2D6C">
              <w:rPr>
                <w:webHidden/>
              </w:rPr>
              <w:fldChar w:fldCharType="end"/>
            </w:r>
          </w:hyperlink>
        </w:p>
        <w:p w14:paraId="32EE6C09" w14:textId="29ED70B3" w:rsidR="004A2D6C" w:rsidRDefault="00CE0814">
          <w:pPr>
            <w:pStyle w:val="Sommario1"/>
            <w:tabs>
              <w:tab w:val="left" w:pos="851"/>
              <w:tab w:val="right" w:leader="dot" w:pos="9628"/>
            </w:tabs>
            <w:rPr>
              <w:rFonts w:eastAsiaTheme="minorEastAsia"/>
              <w:lang w:eastAsia="it-IT"/>
            </w:rPr>
          </w:pPr>
          <w:hyperlink w:anchor="_Toc22736716" w:history="1">
            <w:r w:rsidR="004A2D6C" w:rsidRPr="000D047D">
              <w:rPr>
                <w:rStyle w:val="Collegamentoipertestuale"/>
              </w:rPr>
              <w:t>4.</w:t>
            </w:r>
            <w:r w:rsidR="004A2D6C">
              <w:rPr>
                <w:rFonts w:eastAsiaTheme="minorEastAsia"/>
                <w:lang w:eastAsia="it-IT"/>
              </w:rPr>
              <w:tab/>
            </w:r>
            <w:r w:rsidR="004A2D6C" w:rsidRPr="000D047D">
              <w:rPr>
                <w:rStyle w:val="Collegamentoipertestuale"/>
              </w:rPr>
              <w:t>Riepilogo degli indicatori</w:t>
            </w:r>
            <w:r w:rsidR="004A2D6C">
              <w:rPr>
                <w:webHidden/>
              </w:rPr>
              <w:tab/>
            </w:r>
            <w:r w:rsidR="004A2D6C">
              <w:rPr>
                <w:webHidden/>
              </w:rPr>
              <w:fldChar w:fldCharType="begin"/>
            </w:r>
            <w:r w:rsidR="004A2D6C">
              <w:rPr>
                <w:webHidden/>
              </w:rPr>
              <w:instrText xml:space="preserve"> PAGEREF _Toc22736716 \h </w:instrText>
            </w:r>
            <w:r w:rsidR="004A2D6C">
              <w:rPr>
                <w:webHidden/>
              </w:rPr>
            </w:r>
            <w:r w:rsidR="004A2D6C">
              <w:rPr>
                <w:webHidden/>
              </w:rPr>
              <w:fldChar w:fldCharType="separate"/>
            </w:r>
            <w:r w:rsidR="00544E80">
              <w:rPr>
                <w:noProof/>
                <w:webHidden/>
              </w:rPr>
              <w:t>31</w:t>
            </w:r>
            <w:r w:rsidR="004A2D6C">
              <w:rPr>
                <w:webHidden/>
              </w:rPr>
              <w:fldChar w:fldCharType="end"/>
            </w:r>
          </w:hyperlink>
        </w:p>
        <w:p w14:paraId="7FB37699" w14:textId="213FB937" w:rsidR="004A2D6C" w:rsidRDefault="00CE0814">
          <w:pPr>
            <w:pStyle w:val="Sommario1"/>
            <w:tabs>
              <w:tab w:val="right" w:leader="dot" w:pos="9628"/>
            </w:tabs>
            <w:rPr>
              <w:rFonts w:eastAsiaTheme="minorEastAsia"/>
              <w:lang w:eastAsia="it-IT"/>
            </w:rPr>
          </w:pPr>
          <w:hyperlink w:anchor="_Toc22736717" w:history="1">
            <w:r w:rsidR="004A2D6C" w:rsidRPr="000D047D">
              <w:rPr>
                <w:rStyle w:val="Collegamentoipertestuale"/>
              </w:rPr>
              <w:t>Bibliografia e documentazione utile</w:t>
            </w:r>
            <w:r w:rsidR="004A2D6C">
              <w:rPr>
                <w:webHidden/>
              </w:rPr>
              <w:tab/>
            </w:r>
            <w:r w:rsidR="004A2D6C">
              <w:rPr>
                <w:webHidden/>
              </w:rPr>
              <w:fldChar w:fldCharType="begin"/>
            </w:r>
            <w:r w:rsidR="004A2D6C">
              <w:rPr>
                <w:webHidden/>
              </w:rPr>
              <w:instrText xml:space="preserve"> PAGEREF _Toc22736717 \h </w:instrText>
            </w:r>
            <w:r w:rsidR="004A2D6C">
              <w:rPr>
                <w:webHidden/>
              </w:rPr>
            </w:r>
            <w:r w:rsidR="004A2D6C">
              <w:rPr>
                <w:webHidden/>
              </w:rPr>
              <w:fldChar w:fldCharType="separate"/>
            </w:r>
            <w:r w:rsidR="00544E80">
              <w:rPr>
                <w:noProof/>
                <w:webHidden/>
              </w:rPr>
              <w:t>32</w:t>
            </w:r>
            <w:r w:rsidR="004A2D6C">
              <w:rPr>
                <w:webHidden/>
              </w:rPr>
              <w:fldChar w:fldCharType="end"/>
            </w:r>
          </w:hyperlink>
        </w:p>
        <w:p w14:paraId="55C652EC" w14:textId="4D0BE0A8" w:rsidR="001F3A3D" w:rsidRDefault="00D67BFB">
          <w:r>
            <w:rPr>
              <w:b/>
              <w:bCs/>
            </w:rPr>
            <w:fldChar w:fldCharType="end"/>
          </w:r>
        </w:p>
      </w:sdtContent>
    </w:sdt>
    <w:p w14:paraId="012A14F5" w14:textId="77777777" w:rsidR="009824E9" w:rsidRPr="009824E9" w:rsidRDefault="009824E9" w:rsidP="009824E9">
      <w:pPr>
        <w:pStyle w:val="Titolo1"/>
        <w:spacing w:before="0" w:after="0"/>
        <w:rPr>
          <w:sz w:val="2"/>
          <w:szCs w:val="2"/>
        </w:rPr>
      </w:pPr>
    </w:p>
    <w:p w14:paraId="727B0F23" w14:textId="77777777" w:rsidR="00875AFE" w:rsidRPr="00875AFE" w:rsidRDefault="00875AFE" w:rsidP="009824E9">
      <w:pPr>
        <w:pStyle w:val="Titolo1"/>
        <w:spacing w:before="0"/>
        <w:rPr>
          <w:sz w:val="16"/>
          <w:szCs w:val="16"/>
        </w:rPr>
      </w:pPr>
    </w:p>
    <w:p w14:paraId="69F18E25" w14:textId="6E8EDB4F" w:rsidR="5B813BCF" w:rsidRDefault="5B813BCF">
      <w:r>
        <w:br w:type="page"/>
      </w:r>
    </w:p>
    <w:p w14:paraId="34680ADE" w14:textId="4F235B9D" w:rsidR="00C34648" w:rsidRDefault="00C34648" w:rsidP="009824E9">
      <w:pPr>
        <w:pStyle w:val="Titolo1"/>
        <w:spacing w:before="0"/>
      </w:pPr>
      <w:bookmarkStart w:id="0" w:name="_Toc22736697"/>
      <w:r>
        <w:lastRenderedPageBreak/>
        <w:t>Scopo del documento</w:t>
      </w:r>
      <w:bookmarkEnd w:id="0"/>
    </w:p>
    <w:p w14:paraId="1675A60A" w14:textId="43D4D56F" w:rsidR="004C2A1E" w:rsidRPr="003658D2" w:rsidRDefault="004D29C1" w:rsidP="00A1068E">
      <w:pPr>
        <w:spacing w:after="120"/>
        <w:rPr>
          <w:i/>
          <w:sz w:val="20"/>
          <w:szCs w:val="20"/>
        </w:rPr>
      </w:pPr>
      <w:r w:rsidRPr="003658D2">
        <w:rPr>
          <w:i/>
          <w:sz w:val="20"/>
          <w:szCs w:val="20"/>
        </w:rPr>
        <w:t>Questo</w:t>
      </w:r>
      <w:r w:rsidR="000A35DB" w:rsidRPr="003658D2">
        <w:rPr>
          <w:i/>
          <w:sz w:val="20"/>
          <w:szCs w:val="20"/>
        </w:rPr>
        <w:t xml:space="preserve"> documento ha lo scopo di descrivere i principali elementi dell’analisi di contesto </w:t>
      </w:r>
      <w:r w:rsidR="002C1DFD" w:rsidRPr="003658D2">
        <w:rPr>
          <w:i/>
          <w:sz w:val="20"/>
          <w:szCs w:val="20"/>
        </w:rPr>
        <w:t>relativa al</w:t>
      </w:r>
      <w:r w:rsidR="000A35DB" w:rsidRPr="003658D2">
        <w:rPr>
          <w:i/>
          <w:sz w:val="20"/>
          <w:szCs w:val="20"/>
        </w:rPr>
        <w:t xml:space="preserve">l’obiettivo specifico </w:t>
      </w:r>
      <w:r w:rsidR="002C1DFD" w:rsidRPr="003658D2">
        <w:rPr>
          <w:i/>
          <w:sz w:val="20"/>
          <w:szCs w:val="20"/>
        </w:rPr>
        <w:t>su</w:t>
      </w:r>
      <w:r w:rsidR="000A35DB" w:rsidRPr="003658D2">
        <w:rPr>
          <w:i/>
          <w:sz w:val="20"/>
          <w:szCs w:val="20"/>
        </w:rPr>
        <w:t xml:space="preserve">l </w:t>
      </w:r>
      <w:r w:rsidR="0038013A" w:rsidRPr="003658D2">
        <w:rPr>
          <w:i/>
          <w:sz w:val="20"/>
          <w:szCs w:val="20"/>
        </w:rPr>
        <w:t xml:space="preserve">rafforzamento del tessuto socioeconomico </w:t>
      </w:r>
      <w:r w:rsidR="00A51FB9" w:rsidRPr="003658D2">
        <w:rPr>
          <w:i/>
          <w:sz w:val="20"/>
          <w:szCs w:val="20"/>
        </w:rPr>
        <w:t>(OS</w:t>
      </w:r>
      <w:r w:rsidR="00BA1D48">
        <w:rPr>
          <w:i/>
          <w:sz w:val="20"/>
          <w:szCs w:val="20"/>
        </w:rPr>
        <w:t>7</w:t>
      </w:r>
      <w:r w:rsidR="00A51FB9" w:rsidRPr="003658D2">
        <w:rPr>
          <w:i/>
          <w:sz w:val="20"/>
          <w:szCs w:val="20"/>
        </w:rPr>
        <w:t>)</w:t>
      </w:r>
      <w:r w:rsidR="000A35DB" w:rsidRPr="003658D2">
        <w:rPr>
          <w:i/>
          <w:sz w:val="20"/>
          <w:szCs w:val="20"/>
        </w:rPr>
        <w:t xml:space="preserve">, </w:t>
      </w:r>
      <w:r w:rsidR="00C0366A" w:rsidRPr="003658D2">
        <w:rPr>
          <w:i/>
          <w:sz w:val="20"/>
          <w:szCs w:val="20"/>
        </w:rPr>
        <w:t>per i</w:t>
      </w:r>
      <w:r w:rsidR="000A35DB" w:rsidRPr="003658D2">
        <w:rPr>
          <w:i/>
          <w:sz w:val="20"/>
          <w:szCs w:val="20"/>
        </w:rPr>
        <w:t>l Piano strategico nazionale</w:t>
      </w:r>
      <w:r w:rsidR="00C0366A" w:rsidRPr="003658D2">
        <w:rPr>
          <w:i/>
          <w:sz w:val="20"/>
          <w:szCs w:val="20"/>
        </w:rPr>
        <w:t xml:space="preserve"> della nuova PAC post 2020</w:t>
      </w:r>
      <w:r w:rsidR="004C2A1E" w:rsidRPr="003658D2">
        <w:rPr>
          <w:i/>
          <w:sz w:val="20"/>
          <w:szCs w:val="20"/>
        </w:rPr>
        <w:t xml:space="preserve"> ed è funzionale alla definizione dell’analisi </w:t>
      </w:r>
      <w:proofErr w:type="spellStart"/>
      <w:r w:rsidR="004C2A1E" w:rsidRPr="003658D2">
        <w:rPr>
          <w:i/>
          <w:sz w:val="20"/>
          <w:szCs w:val="20"/>
        </w:rPr>
        <w:t>Swot</w:t>
      </w:r>
      <w:proofErr w:type="spellEnd"/>
      <w:r w:rsidR="004C2A1E" w:rsidRPr="003658D2">
        <w:rPr>
          <w:i/>
          <w:sz w:val="20"/>
          <w:szCs w:val="20"/>
        </w:rPr>
        <w:t xml:space="preserve">. </w:t>
      </w:r>
    </w:p>
    <w:p w14:paraId="3A6F9ABC" w14:textId="77777777" w:rsidR="004C2A1E" w:rsidRPr="003658D2" w:rsidRDefault="004C2A1E" w:rsidP="00A1068E">
      <w:pPr>
        <w:spacing w:after="120"/>
        <w:rPr>
          <w:i/>
          <w:sz w:val="20"/>
          <w:szCs w:val="20"/>
        </w:rPr>
      </w:pPr>
      <w:r w:rsidRPr="003658D2">
        <w:rPr>
          <w:i/>
          <w:sz w:val="20"/>
          <w:szCs w:val="20"/>
        </w:rPr>
        <w:t xml:space="preserve">Analoghi documenti saranno redatti per gli altri </w:t>
      </w:r>
      <w:proofErr w:type="gramStart"/>
      <w:r w:rsidRPr="003658D2">
        <w:rPr>
          <w:i/>
          <w:sz w:val="20"/>
          <w:szCs w:val="20"/>
        </w:rPr>
        <w:t>8</w:t>
      </w:r>
      <w:proofErr w:type="gramEnd"/>
      <w:r w:rsidRPr="003658D2">
        <w:rPr>
          <w:i/>
          <w:sz w:val="20"/>
          <w:szCs w:val="20"/>
        </w:rPr>
        <w:t xml:space="preserve"> obiettivi specifici e per l’obiettivo trasversale sull’AKIS.</w:t>
      </w:r>
    </w:p>
    <w:p w14:paraId="668FF49D" w14:textId="26C7B8AF" w:rsidR="004C2A1E" w:rsidRDefault="004C2A1E" w:rsidP="00A1068E">
      <w:pPr>
        <w:spacing w:after="120"/>
      </w:pPr>
      <w:r w:rsidRPr="003658D2">
        <w:rPr>
          <w:i/>
          <w:sz w:val="20"/>
          <w:szCs w:val="20"/>
        </w:rPr>
        <w:t>Nell’analisi di contesto si commentano principalmente gli indicatori previsti dal PMEF (Quadro di monitoraggio e valutazione della PAC post 2020); in particolare si analizzano, da un lato, l’evoluzione storica degli indicatori statistici suggeriti dalla Commissione e, dall’altro lato, i dati sulla situazione attuale (o iniziale) riguardo agli strumenti d’intervento utilizzabili per l’obiettivo specifico oggetto di analisi</w:t>
      </w:r>
      <w:r>
        <w:t>.</w:t>
      </w:r>
    </w:p>
    <w:p w14:paraId="63439923" w14:textId="77777777" w:rsidR="00542C79" w:rsidRDefault="00542C79" w:rsidP="00A1068E">
      <w:pPr>
        <w:spacing w:after="120"/>
      </w:pPr>
    </w:p>
    <w:p w14:paraId="41AEE560" w14:textId="77777777" w:rsidR="00542C79" w:rsidRPr="00123929" w:rsidRDefault="00542C79" w:rsidP="00542C79">
      <w:pPr>
        <w:pBdr>
          <w:top w:val="single" w:sz="4" w:space="1" w:color="365F91"/>
          <w:left w:val="single" w:sz="4" w:space="4" w:color="365F91"/>
          <w:bottom w:val="single" w:sz="4" w:space="1" w:color="365F91"/>
          <w:right w:val="single" w:sz="4" w:space="4" w:color="365F91"/>
        </w:pBdr>
        <w:spacing w:after="80" w:line="240" w:lineRule="auto"/>
        <w:rPr>
          <w:i/>
          <w:color w:val="365F91"/>
          <w:sz w:val="28"/>
          <w:szCs w:val="28"/>
        </w:rPr>
      </w:pPr>
      <w:bookmarkStart w:id="1" w:name="_Hlk18320127"/>
      <w:r w:rsidRPr="00123929">
        <w:rPr>
          <w:i/>
          <w:color w:val="365F91"/>
          <w:sz w:val="28"/>
          <w:szCs w:val="28"/>
        </w:rPr>
        <w:t>Avvertenze</w:t>
      </w:r>
    </w:p>
    <w:p w14:paraId="6DA2646C" w14:textId="77777777" w:rsidR="00542C79" w:rsidRPr="00123929" w:rsidRDefault="00542C79" w:rsidP="00542C79">
      <w:pPr>
        <w:pBdr>
          <w:top w:val="single" w:sz="4" w:space="1" w:color="365F91"/>
          <w:left w:val="single" w:sz="4" w:space="4" w:color="365F91"/>
          <w:bottom w:val="single" w:sz="4" w:space="1" w:color="365F91"/>
          <w:right w:val="single" w:sz="4" w:space="4" w:color="365F91"/>
        </w:pBdr>
        <w:tabs>
          <w:tab w:val="left" w:pos="6521"/>
        </w:tabs>
        <w:spacing w:after="0" w:line="240" w:lineRule="auto"/>
        <w:rPr>
          <w:b/>
          <w:i/>
          <w:sz w:val="20"/>
          <w:szCs w:val="20"/>
        </w:rPr>
      </w:pPr>
      <w:r w:rsidRPr="00123929">
        <w:rPr>
          <w:b/>
          <w:i/>
          <w:sz w:val="20"/>
          <w:szCs w:val="20"/>
        </w:rPr>
        <w:t xml:space="preserve">I dati utilizzati nel presente lavoro e relativi, in particolare, al numero di aziende agricole, superfici, forze lavoro e unità di bestiame, fanno riferimento alle statistiche ufficiali rese disponibili da Istat. Le altre fonti statistiche utilizzate nel lavoro sono la banca dati RICA e gli archivi amministrativi </w:t>
      </w:r>
      <w:proofErr w:type="spellStart"/>
      <w:r w:rsidRPr="00123929">
        <w:rPr>
          <w:b/>
          <w:i/>
          <w:sz w:val="20"/>
          <w:szCs w:val="20"/>
        </w:rPr>
        <w:t>Movimprese</w:t>
      </w:r>
      <w:proofErr w:type="spellEnd"/>
      <w:r w:rsidRPr="00123929">
        <w:rPr>
          <w:b/>
          <w:i/>
          <w:sz w:val="20"/>
          <w:szCs w:val="20"/>
        </w:rPr>
        <w:t xml:space="preserve">-Infocamere. </w:t>
      </w:r>
    </w:p>
    <w:p w14:paraId="09F36731" w14:textId="77777777" w:rsidR="00542C79" w:rsidRPr="00123929" w:rsidRDefault="00542C79" w:rsidP="00542C79">
      <w:pPr>
        <w:pBdr>
          <w:top w:val="single" w:sz="4" w:space="1" w:color="365F91"/>
          <w:left w:val="single" w:sz="4" w:space="4" w:color="365F91"/>
          <w:bottom w:val="single" w:sz="4" w:space="1" w:color="365F91"/>
          <w:right w:val="single" w:sz="4" w:space="4" w:color="365F91"/>
        </w:pBdr>
        <w:tabs>
          <w:tab w:val="left" w:pos="6521"/>
        </w:tabs>
        <w:spacing w:after="0" w:line="240" w:lineRule="auto"/>
        <w:rPr>
          <w:b/>
          <w:i/>
          <w:sz w:val="20"/>
          <w:szCs w:val="20"/>
        </w:rPr>
      </w:pPr>
      <w:r w:rsidRPr="00123929">
        <w:rPr>
          <w:b/>
          <w:i/>
          <w:sz w:val="20"/>
          <w:szCs w:val="20"/>
        </w:rPr>
        <w:t>Al fine di garantire la dovuta coerenza con la definizione degli indicatori comuni e con il trattamento dei dati proposto dai Servizi della Commissione nella stesura dell’</w:t>
      </w:r>
      <w:proofErr w:type="spellStart"/>
      <w:r w:rsidRPr="00123929">
        <w:rPr>
          <w:b/>
          <w:i/>
          <w:sz w:val="20"/>
          <w:szCs w:val="20"/>
        </w:rPr>
        <w:t>Analytical</w:t>
      </w:r>
      <w:proofErr w:type="spellEnd"/>
      <w:r w:rsidRPr="00123929">
        <w:rPr>
          <w:b/>
          <w:i/>
          <w:sz w:val="20"/>
          <w:szCs w:val="20"/>
        </w:rPr>
        <w:t xml:space="preserve"> </w:t>
      </w:r>
      <w:proofErr w:type="spellStart"/>
      <w:r w:rsidRPr="00123929">
        <w:rPr>
          <w:b/>
          <w:i/>
          <w:sz w:val="20"/>
          <w:szCs w:val="20"/>
        </w:rPr>
        <w:t>Factsheet</w:t>
      </w:r>
      <w:proofErr w:type="spellEnd"/>
      <w:r w:rsidRPr="00123929">
        <w:rPr>
          <w:b/>
          <w:i/>
          <w:sz w:val="20"/>
          <w:szCs w:val="20"/>
        </w:rPr>
        <w:t xml:space="preserve"> per l’Italia, si è ritenuto opportuno fare ricorso alle statistiche offerte dall’Eurostat (Farm </w:t>
      </w:r>
      <w:proofErr w:type="spellStart"/>
      <w:r w:rsidRPr="00123929">
        <w:rPr>
          <w:b/>
          <w:i/>
          <w:sz w:val="20"/>
          <w:szCs w:val="20"/>
        </w:rPr>
        <w:t>structure</w:t>
      </w:r>
      <w:proofErr w:type="spellEnd"/>
      <w:r w:rsidRPr="00123929">
        <w:rPr>
          <w:b/>
          <w:i/>
          <w:sz w:val="20"/>
          <w:szCs w:val="20"/>
        </w:rPr>
        <w:t xml:space="preserve"> survey - FSS). Tale opzione garantisce altresì la confrontabilità degli indicatori con gli altri Stati membri. Si fa presente, tuttavia, che per il 2013 i dati Eurostat per l’Italia fanno riferimento a un universo più ridotto che esclude le aziende più piccole (c.d. universo UE), pertanto, non sono confrontabili con quelli Istat delle Strutture delle produzioni agricole (SPA) riferiti al medesimo anno, pubblicati nel sito dati.istat.it; né sono confrontabili con i dati censuari del 2010, pubblicati sia in Eurostat sia in dati.istat.it; l’indagine Istat del 2016 ha invece la stessa copertura statistica del dato Eurostat 2013 (universo UE). Cfr. il paragrafo Cenni metodologici alla fine del documento. </w:t>
      </w:r>
    </w:p>
    <w:p w14:paraId="59CA8244" w14:textId="77777777" w:rsidR="00542C79" w:rsidRPr="00123929" w:rsidRDefault="00542C79" w:rsidP="00542C79">
      <w:pPr>
        <w:pBdr>
          <w:top w:val="single" w:sz="4" w:space="1" w:color="365F91"/>
          <w:left w:val="single" w:sz="4" w:space="4" w:color="365F91"/>
          <w:bottom w:val="single" w:sz="4" w:space="1" w:color="365F91"/>
          <w:right w:val="single" w:sz="4" w:space="4" w:color="365F91"/>
        </w:pBdr>
        <w:tabs>
          <w:tab w:val="left" w:pos="6521"/>
        </w:tabs>
        <w:spacing w:after="0" w:line="240" w:lineRule="auto"/>
        <w:rPr>
          <w:b/>
          <w:i/>
          <w:sz w:val="20"/>
          <w:szCs w:val="20"/>
        </w:rPr>
      </w:pPr>
    </w:p>
    <w:p w14:paraId="48F43EC6" w14:textId="77777777" w:rsidR="00542C79" w:rsidRPr="00123929" w:rsidRDefault="00542C79" w:rsidP="00542C79">
      <w:pPr>
        <w:pBdr>
          <w:top w:val="single" w:sz="4" w:space="1" w:color="365F91"/>
          <w:left w:val="single" w:sz="4" w:space="4" w:color="365F91"/>
          <w:bottom w:val="single" w:sz="4" w:space="1" w:color="365F91"/>
          <w:right w:val="single" w:sz="4" w:space="4" w:color="365F91"/>
        </w:pBdr>
        <w:tabs>
          <w:tab w:val="left" w:pos="6521"/>
        </w:tabs>
        <w:spacing w:after="0" w:line="240" w:lineRule="auto"/>
        <w:rPr>
          <w:b/>
          <w:i/>
          <w:sz w:val="20"/>
          <w:szCs w:val="20"/>
        </w:rPr>
      </w:pPr>
      <w:r w:rsidRPr="00123929">
        <w:rPr>
          <w:b/>
          <w:i/>
          <w:sz w:val="20"/>
          <w:szCs w:val="20"/>
        </w:rPr>
        <w:t>Per l’individuazione degli indicatori correlati agli obiettivi specifici si è fatto riferimento all’Allegato 1 alla Proposta di Regolamento sul sostegno ai Piani strategici della PAC COM (2018) 392 finale, mentre le indicazioni metodologiche della Commissione sugli indicatori sono contenute nei seguenti documenti:</w:t>
      </w:r>
    </w:p>
    <w:p w14:paraId="5D190420" w14:textId="77777777" w:rsidR="00542C79" w:rsidRPr="00123929" w:rsidRDefault="00542C79" w:rsidP="00E347BE">
      <w:pPr>
        <w:numPr>
          <w:ilvl w:val="0"/>
          <w:numId w:val="23"/>
        </w:numPr>
        <w:pBdr>
          <w:top w:val="single" w:sz="4" w:space="1" w:color="365F91"/>
          <w:left w:val="single" w:sz="4" w:space="4" w:color="365F91"/>
          <w:bottom w:val="single" w:sz="4" w:space="1" w:color="365F91"/>
          <w:right w:val="single" w:sz="4" w:space="4" w:color="365F91"/>
        </w:pBdr>
        <w:tabs>
          <w:tab w:val="left" w:pos="6521"/>
        </w:tabs>
        <w:spacing w:after="0" w:line="240" w:lineRule="auto"/>
        <w:rPr>
          <w:b/>
          <w:i/>
          <w:sz w:val="20"/>
          <w:szCs w:val="20"/>
          <w:lang w:val="en-GB"/>
        </w:rPr>
      </w:pPr>
      <w:r w:rsidRPr="00123929">
        <w:rPr>
          <w:b/>
          <w:i/>
          <w:sz w:val="20"/>
          <w:szCs w:val="20"/>
          <w:lang w:val="en-GB"/>
        </w:rPr>
        <w:t xml:space="preserve">per </w:t>
      </w:r>
      <w:proofErr w:type="spellStart"/>
      <w:r w:rsidRPr="00123929">
        <w:rPr>
          <w:b/>
          <w:i/>
          <w:sz w:val="20"/>
          <w:szCs w:val="20"/>
          <w:lang w:val="en-GB"/>
        </w:rPr>
        <w:t>gli</w:t>
      </w:r>
      <w:proofErr w:type="spellEnd"/>
      <w:r w:rsidRPr="00123929">
        <w:rPr>
          <w:b/>
          <w:i/>
          <w:sz w:val="20"/>
          <w:szCs w:val="20"/>
          <w:lang w:val="en-GB"/>
        </w:rPr>
        <w:t xml:space="preserve"> </w:t>
      </w:r>
      <w:proofErr w:type="spellStart"/>
      <w:r w:rsidRPr="00123929">
        <w:rPr>
          <w:b/>
          <w:i/>
          <w:sz w:val="20"/>
          <w:szCs w:val="20"/>
          <w:u w:val="single"/>
          <w:lang w:val="en-GB"/>
        </w:rPr>
        <w:t>indicatori</w:t>
      </w:r>
      <w:proofErr w:type="spellEnd"/>
      <w:r w:rsidRPr="00123929">
        <w:rPr>
          <w:b/>
          <w:i/>
          <w:sz w:val="20"/>
          <w:szCs w:val="20"/>
          <w:u w:val="single"/>
          <w:lang w:val="en-GB"/>
        </w:rPr>
        <w:t xml:space="preserve"> di </w:t>
      </w:r>
      <w:proofErr w:type="spellStart"/>
      <w:r w:rsidRPr="00123929">
        <w:rPr>
          <w:b/>
          <w:i/>
          <w:sz w:val="20"/>
          <w:szCs w:val="20"/>
          <w:u w:val="single"/>
          <w:lang w:val="en-GB"/>
        </w:rPr>
        <w:t>contesto</w:t>
      </w:r>
      <w:proofErr w:type="spellEnd"/>
      <w:r w:rsidRPr="00123929">
        <w:rPr>
          <w:b/>
          <w:i/>
          <w:sz w:val="20"/>
          <w:szCs w:val="20"/>
          <w:u w:val="single"/>
          <w:lang w:val="en-GB"/>
        </w:rPr>
        <w:t xml:space="preserve"> e </w:t>
      </w:r>
      <w:proofErr w:type="spellStart"/>
      <w:r w:rsidRPr="00123929">
        <w:rPr>
          <w:b/>
          <w:i/>
          <w:sz w:val="20"/>
          <w:szCs w:val="20"/>
          <w:u w:val="single"/>
          <w:lang w:val="en-GB"/>
        </w:rPr>
        <w:t>impatto</w:t>
      </w:r>
      <w:proofErr w:type="spellEnd"/>
      <w:r w:rsidRPr="00123929">
        <w:rPr>
          <w:b/>
          <w:i/>
          <w:sz w:val="20"/>
          <w:szCs w:val="20"/>
          <w:lang w:val="en-GB"/>
        </w:rPr>
        <w:t xml:space="preserve">: Working Document WK 2051/2019 ADD 1 “Draft list of context and impact indicators for the Performance Monitoring and Evaluation Framework” presented by the Commission to the Working Party on Horizontal Agricultural Questions (CAP reform) on 13 February </w:t>
      </w:r>
      <w:proofErr w:type="gramStart"/>
      <w:r w:rsidRPr="00123929">
        <w:rPr>
          <w:b/>
          <w:i/>
          <w:sz w:val="20"/>
          <w:szCs w:val="20"/>
          <w:lang w:val="en-GB"/>
        </w:rPr>
        <w:t>2019;</w:t>
      </w:r>
      <w:proofErr w:type="gramEnd"/>
    </w:p>
    <w:p w14:paraId="23C0236E" w14:textId="77777777" w:rsidR="00542C79" w:rsidRPr="00123929" w:rsidRDefault="00542C79" w:rsidP="00E347BE">
      <w:pPr>
        <w:numPr>
          <w:ilvl w:val="0"/>
          <w:numId w:val="23"/>
        </w:numPr>
        <w:pBdr>
          <w:top w:val="single" w:sz="4" w:space="1" w:color="365F91"/>
          <w:left w:val="single" w:sz="4" w:space="4" w:color="365F91"/>
          <w:bottom w:val="single" w:sz="4" w:space="1" w:color="365F91"/>
          <w:right w:val="single" w:sz="4" w:space="4" w:color="365F91"/>
        </w:pBdr>
        <w:tabs>
          <w:tab w:val="left" w:pos="6521"/>
        </w:tabs>
        <w:spacing w:after="0" w:line="240" w:lineRule="auto"/>
        <w:rPr>
          <w:b/>
          <w:i/>
          <w:color w:val="000000" w:themeColor="text1"/>
          <w:sz w:val="20"/>
          <w:szCs w:val="20"/>
          <w:lang w:val="en-GB"/>
        </w:rPr>
      </w:pPr>
      <w:r w:rsidRPr="00123929">
        <w:rPr>
          <w:b/>
          <w:i/>
          <w:color w:val="000000" w:themeColor="text1"/>
          <w:sz w:val="20"/>
          <w:szCs w:val="20"/>
          <w:lang w:val="en-GB"/>
        </w:rPr>
        <w:t xml:space="preserve">per </w:t>
      </w:r>
      <w:proofErr w:type="spellStart"/>
      <w:r w:rsidRPr="00123929">
        <w:rPr>
          <w:b/>
          <w:i/>
          <w:color w:val="000000" w:themeColor="text1"/>
          <w:sz w:val="20"/>
          <w:szCs w:val="20"/>
          <w:lang w:val="en-GB"/>
        </w:rPr>
        <w:t>gli</w:t>
      </w:r>
      <w:proofErr w:type="spellEnd"/>
      <w:r w:rsidRPr="00123929">
        <w:rPr>
          <w:b/>
          <w:i/>
          <w:color w:val="000000" w:themeColor="text1"/>
          <w:sz w:val="20"/>
          <w:szCs w:val="20"/>
          <w:lang w:val="en-GB"/>
        </w:rPr>
        <w:t xml:space="preserve"> </w:t>
      </w:r>
      <w:proofErr w:type="spellStart"/>
      <w:r w:rsidRPr="00123929">
        <w:rPr>
          <w:b/>
          <w:i/>
          <w:color w:val="000000" w:themeColor="text1"/>
          <w:sz w:val="20"/>
          <w:szCs w:val="20"/>
          <w:u w:val="single"/>
          <w:lang w:val="en-GB"/>
        </w:rPr>
        <w:t>indicatori</w:t>
      </w:r>
      <w:proofErr w:type="spellEnd"/>
      <w:r w:rsidRPr="00123929">
        <w:rPr>
          <w:b/>
          <w:i/>
          <w:color w:val="000000" w:themeColor="text1"/>
          <w:sz w:val="20"/>
          <w:szCs w:val="20"/>
          <w:u w:val="single"/>
          <w:lang w:val="en-GB"/>
        </w:rPr>
        <w:t xml:space="preserve"> di </w:t>
      </w:r>
      <w:proofErr w:type="spellStart"/>
      <w:r w:rsidRPr="00123929">
        <w:rPr>
          <w:b/>
          <w:i/>
          <w:color w:val="000000" w:themeColor="text1"/>
          <w:sz w:val="20"/>
          <w:szCs w:val="20"/>
          <w:u w:val="single"/>
          <w:lang w:val="en-GB"/>
        </w:rPr>
        <w:t>risultato</w:t>
      </w:r>
      <w:proofErr w:type="spellEnd"/>
      <w:r w:rsidRPr="00123929">
        <w:rPr>
          <w:b/>
          <w:i/>
          <w:color w:val="000000" w:themeColor="text1"/>
          <w:sz w:val="20"/>
          <w:szCs w:val="20"/>
          <w:u w:val="single"/>
          <w:lang w:val="en-GB"/>
        </w:rPr>
        <w:t xml:space="preserve"> (e di output)</w:t>
      </w:r>
      <w:r w:rsidRPr="00123929">
        <w:rPr>
          <w:b/>
          <w:i/>
          <w:color w:val="000000" w:themeColor="text1"/>
          <w:sz w:val="20"/>
          <w:szCs w:val="20"/>
          <w:lang w:val="en-GB"/>
        </w:rPr>
        <w:t>: Working Document WK 4812/2019 INIT “Fiches on output and result indicators” presented by the Commission to the Working Party on Horizontal Agricultural Questions (CAP reform) on 08 April 2019.</w:t>
      </w:r>
    </w:p>
    <w:p w14:paraId="1D1C0AB4" w14:textId="77777777" w:rsidR="00542C79" w:rsidRPr="00123929" w:rsidRDefault="00542C79" w:rsidP="00542C79">
      <w:pPr>
        <w:pBdr>
          <w:top w:val="single" w:sz="4" w:space="1" w:color="365F91"/>
          <w:left w:val="single" w:sz="4" w:space="4" w:color="365F91"/>
          <w:bottom w:val="single" w:sz="4" w:space="1" w:color="365F91"/>
          <w:right w:val="single" w:sz="4" w:space="4" w:color="365F91"/>
        </w:pBdr>
        <w:tabs>
          <w:tab w:val="left" w:pos="6521"/>
        </w:tabs>
        <w:spacing w:after="0" w:line="240" w:lineRule="auto"/>
        <w:rPr>
          <w:b/>
          <w:i/>
          <w:sz w:val="20"/>
          <w:szCs w:val="20"/>
        </w:rPr>
      </w:pPr>
      <w:r w:rsidRPr="00123929">
        <w:rPr>
          <w:b/>
          <w:i/>
          <w:sz w:val="20"/>
          <w:szCs w:val="20"/>
        </w:rPr>
        <w:t>Nel presente documento si utilizza la numerazione degli indicatori del PMEF. La corrispondenza con gli indicatori che fanno parte anche dell’attuale CMEF è riportata nell’allegato I.</w:t>
      </w:r>
    </w:p>
    <w:p w14:paraId="114122E6" w14:textId="77777777" w:rsidR="004A544F" w:rsidRDefault="004A544F" w:rsidP="00341560">
      <w:pPr>
        <w:pStyle w:val="Titolo1"/>
        <w:rPr>
          <w:highlight w:val="yellow"/>
        </w:rPr>
      </w:pPr>
      <w:bookmarkStart w:id="2" w:name="_Toc22736698"/>
      <w:bookmarkEnd w:id="1"/>
      <w:r>
        <w:rPr>
          <w:highlight w:val="yellow"/>
        </w:rPr>
        <w:br w:type="page"/>
      </w:r>
    </w:p>
    <w:p w14:paraId="5EDE6C7A" w14:textId="6D41D2CE" w:rsidR="001F3A3D" w:rsidRDefault="00AE1839" w:rsidP="00341560">
      <w:pPr>
        <w:pStyle w:val="Titolo1"/>
      </w:pPr>
      <w:r w:rsidRPr="007C75C6">
        <w:lastRenderedPageBreak/>
        <w:t xml:space="preserve">Inquadramento: </w:t>
      </w:r>
      <w:r w:rsidR="007F2791" w:rsidRPr="007C75C6">
        <w:t>l’obiettivo</w:t>
      </w:r>
      <w:r w:rsidRPr="007C75C6">
        <w:t xml:space="preserve"> e gli strumenti</w:t>
      </w:r>
      <w:bookmarkEnd w:id="2"/>
    </w:p>
    <w:p w14:paraId="5E5693D4" w14:textId="77777777" w:rsidR="004C2A1E" w:rsidRDefault="004C2A1E" w:rsidP="00A1068E">
      <w:pPr>
        <w:spacing w:after="120"/>
      </w:pPr>
      <w:r>
        <w:t>Il ricambio generazionale in agricoltura rappresenta una delle maggiori necessità e sfide ed è riconosciuto come priorità nell’agenda politica dell’UE.</w:t>
      </w:r>
    </w:p>
    <w:p w14:paraId="38ECD5AB" w14:textId="77777777" w:rsidR="00DD22E5" w:rsidRDefault="002B117C" w:rsidP="00A1068E">
      <w:pPr>
        <w:spacing w:after="120"/>
      </w:pPr>
      <w:r>
        <w:t>Già n</w:t>
      </w:r>
      <w:r w:rsidR="004C2A1E">
        <w:t xml:space="preserve">el 2014 il Consiglio </w:t>
      </w:r>
      <w:r w:rsidR="00A026A6">
        <w:t xml:space="preserve">europeo </w:t>
      </w:r>
      <w:r w:rsidR="00D75AD6">
        <w:t xml:space="preserve">ha </w:t>
      </w:r>
      <w:r>
        <w:t>evidenzia</w:t>
      </w:r>
      <w:r w:rsidR="00D75AD6">
        <w:t>to</w:t>
      </w:r>
      <w:r>
        <w:t xml:space="preserve"> </w:t>
      </w:r>
      <w:r w:rsidR="00A026A6">
        <w:t xml:space="preserve">il </w:t>
      </w:r>
      <w:r>
        <w:t xml:space="preserve">fondamentale ruolo dei </w:t>
      </w:r>
      <w:r w:rsidR="004C2A1E">
        <w:t xml:space="preserve">giovani per la sostenibilità e la competitività di lungo periodo dell’agricoltura europea. </w:t>
      </w:r>
    </w:p>
    <w:p w14:paraId="3A720BA0" w14:textId="74B8143A" w:rsidR="004C2A1E" w:rsidRDefault="002B117C" w:rsidP="00A1068E">
      <w:pPr>
        <w:spacing w:after="120"/>
      </w:pPr>
      <w:r>
        <w:t>L</w:t>
      </w:r>
      <w:r w:rsidR="004C2A1E">
        <w:t>a Comunicazione della Commissione europea del 29 novembre 2017</w:t>
      </w:r>
      <w:r>
        <w:t>,</w:t>
      </w:r>
      <w:r w:rsidR="004C2A1E">
        <w:t xml:space="preserve"> </w:t>
      </w:r>
      <w:r>
        <w:t>nel definire</w:t>
      </w:r>
      <w:r w:rsidR="004C2A1E">
        <w:t xml:space="preserve"> gli orientamenti per la politica agricola europea del post 2020</w:t>
      </w:r>
      <w:r>
        <w:t>,</w:t>
      </w:r>
      <w:r w:rsidR="004C2A1E">
        <w:t xml:space="preserve"> </w:t>
      </w:r>
      <w:r w:rsidR="007C75C6">
        <w:t>definisce</w:t>
      </w:r>
      <w:r w:rsidR="004C2A1E">
        <w:t xml:space="preserve"> il ricambio generazionale una priorità nell'ambito di un nuovo quadro strategico. Il documento attribuisce alla </w:t>
      </w:r>
      <w:proofErr w:type="spellStart"/>
      <w:r w:rsidR="004C2A1E">
        <w:t>Pac</w:t>
      </w:r>
      <w:proofErr w:type="spellEnd"/>
      <w:r w:rsidR="004C2A1E">
        <w:t xml:space="preserve"> il compito di ridurre i rischi nei primi anni successivi all'avvio di un'impresa agricola, offrendo un sistema di sostegno per il primo insediamento abbinato a incentivi adeguati per favorire l'uscita delle generazioni più anziane e il trasferimento di conoscenze tra le generazioni nonché per accrescere la mobilità dei terreni e facilitare la pianificazione della successione ad esempio attraverso il ricorso a servizi di consulenza, tutoraggio e preparazione di "piani di successione per le aziende agricole".</w:t>
      </w:r>
    </w:p>
    <w:p w14:paraId="4434CA46" w14:textId="18BAED60" w:rsidR="00A026A6" w:rsidRDefault="00A026A6" w:rsidP="00A7259D">
      <w:pPr>
        <w:spacing w:after="120"/>
      </w:pPr>
      <w:r>
        <w:t>Nella</w:t>
      </w:r>
      <w:r w:rsidR="004C2A1E">
        <w:t xml:space="preserve"> </w:t>
      </w:r>
      <w:r>
        <w:t>p</w:t>
      </w:r>
      <w:r w:rsidR="004C2A1E">
        <w:t xml:space="preserve">roposta di Regolamento per la </w:t>
      </w:r>
      <w:proofErr w:type="spellStart"/>
      <w:r w:rsidR="004C2A1E">
        <w:t>Pac</w:t>
      </w:r>
      <w:proofErr w:type="spellEnd"/>
      <w:r w:rsidR="004C2A1E">
        <w:t xml:space="preserve"> post 2020</w:t>
      </w:r>
      <w:r w:rsidR="002B117C">
        <w:t xml:space="preserve"> </w:t>
      </w:r>
      <w:r>
        <w:t xml:space="preserve">sono ricordati i notevoli ostacoli che i giovani agricoltori incontrano per quanto riguarda </w:t>
      </w:r>
      <w:r w:rsidR="00AF70BD">
        <w:t xml:space="preserve">i prezzi elevati, </w:t>
      </w:r>
      <w:r>
        <w:t xml:space="preserve">l’accesso ai terreni e al credito. Le loro imprese sono più </w:t>
      </w:r>
      <w:r w:rsidR="00A7259D">
        <w:t>sensibili</w:t>
      </w:r>
      <w:r>
        <w:t xml:space="preserve"> alla volatilità dei prezzi </w:t>
      </w:r>
      <w:r w:rsidR="009B2289">
        <w:t>influenzata</w:t>
      </w:r>
      <w:r w:rsidR="00A7259D">
        <w:t xml:space="preserve"> </w:t>
      </w:r>
      <w:r w:rsidR="009B2289">
        <w:t>d</w:t>
      </w:r>
      <w:r w:rsidR="00A7259D">
        <w:t xml:space="preserve">alla frequenza e gravità di eventi meteorologici estremi e crisi sanitarie e fitosanitarie, </w:t>
      </w:r>
      <w:r>
        <w:t xml:space="preserve">(sia dei fattori di produzione sia dei prodotti) e le loro esigenze in termini di formazione </w:t>
      </w:r>
      <w:r w:rsidR="003658D2">
        <w:t>negli ambiti</w:t>
      </w:r>
      <w:r>
        <w:t xml:space="preserve"> delle competenze imprenditoriali e di gestione del rischio sono elevate. Per questi motivi </w:t>
      </w:r>
      <w:r w:rsidR="004C2A1E">
        <w:t xml:space="preserve">il sostegno </w:t>
      </w:r>
      <w:r>
        <w:t>a</w:t>
      </w:r>
      <w:r w:rsidR="004C2A1E">
        <w:t xml:space="preserve">i giovani agricoltori </w:t>
      </w:r>
      <w:r>
        <w:t xml:space="preserve">per l’avvio di nuove imprese e nuove aziende agricole </w:t>
      </w:r>
      <w:r w:rsidR="002B117C">
        <w:t xml:space="preserve">è </w:t>
      </w:r>
      <w:r>
        <w:t xml:space="preserve">posto, nella nuova PAC, </w:t>
      </w:r>
      <w:r w:rsidR="004C2A1E">
        <w:t xml:space="preserve">tra gli obiettivi specifici </w:t>
      </w:r>
      <w:r>
        <w:t>da</w:t>
      </w:r>
      <w:r w:rsidR="004C2A1E">
        <w:t xml:space="preserve"> perseguire. </w:t>
      </w:r>
    </w:p>
    <w:p w14:paraId="246F907E" w14:textId="6E3A65D7" w:rsidR="00014152" w:rsidRDefault="00014152" w:rsidP="00A1068E">
      <w:pPr>
        <w:spacing w:after="120"/>
      </w:pPr>
      <w:r>
        <w:t>Gli Stati membri sono chiamati a definire un approccio strategico e individuare un insieme chiaro e coerente di interventi per il ricambio generazionale nell’ambito dell’obiettivo specifico dedicato a tale questione</w:t>
      </w:r>
      <w:r w:rsidR="003658D2">
        <w:t>.</w:t>
      </w:r>
    </w:p>
    <w:p w14:paraId="6706FAE7" w14:textId="05FAA7F6" w:rsidR="00014152" w:rsidRDefault="00F37470" w:rsidP="00A1068E">
      <w:pPr>
        <w:spacing w:after="120"/>
      </w:pPr>
      <w:r>
        <w:t>All’</w:t>
      </w:r>
      <w:r w:rsidR="00014152" w:rsidRPr="00D05429">
        <w:t>obiettivo specifico 7</w:t>
      </w:r>
      <w:r w:rsidR="00014152">
        <w:t xml:space="preserve"> “</w:t>
      </w:r>
      <w:r w:rsidR="009B2289">
        <w:t>A</w:t>
      </w:r>
      <w:r w:rsidR="00014152">
        <w:t>ttirare i giovani agricoltori e facilitare lo sviluppo imprenditoriale nelle aree rurali” corrispond</w:t>
      </w:r>
      <w:r w:rsidR="003D2E5E">
        <w:t>e un solo</w:t>
      </w:r>
      <w:r w:rsidR="00014152">
        <w:t xml:space="preserve"> indicator</w:t>
      </w:r>
      <w:r w:rsidR="003D2E5E">
        <w:t xml:space="preserve">e </w:t>
      </w:r>
      <w:r w:rsidR="00014152">
        <w:t>d’impatto</w:t>
      </w:r>
      <w:r w:rsidR="003D2E5E">
        <w:t xml:space="preserve"> principale</w:t>
      </w:r>
      <w:r w:rsidR="00014152">
        <w:t>:</w:t>
      </w:r>
    </w:p>
    <w:p w14:paraId="11D4548D" w14:textId="6612A6A1" w:rsidR="00014152" w:rsidRDefault="00014152" w:rsidP="000C7F95">
      <w:pPr>
        <w:pStyle w:val="Paragrafoelenco"/>
        <w:numPr>
          <w:ilvl w:val="0"/>
          <w:numId w:val="3"/>
        </w:numPr>
        <w:spacing w:after="120"/>
      </w:pPr>
      <w:r>
        <w:t xml:space="preserve">I.21 </w:t>
      </w:r>
      <w:r w:rsidR="00D9151F">
        <w:t>“</w:t>
      </w:r>
      <w:r>
        <w:t>Attrarre i giovani agricoltori: evoluzione del numero di nuovi agricoltori</w:t>
      </w:r>
      <w:r w:rsidR="00D9151F">
        <w:t>”</w:t>
      </w:r>
      <w:r>
        <w:t xml:space="preserve"> a cui corrisponde l’indicatore di contesto C.16 </w:t>
      </w:r>
      <w:r w:rsidR="004B0641">
        <w:t>“</w:t>
      </w:r>
      <w:r>
        <w:t>Nuovi agricoltori</w:t>
      </w:r>
      <w:r w:rsidR="004B0641">
        <w:t>”</w:t>
      </w:r>
    </w:p>
    <w:p w14:paraId="51922AF1" w14:textId="6A986335" w:rsidR="00874061" w:rsidRDefault="004B0641" w:rsidP="00874061">
      <w:pPr>
        <w:spacing w:after="120"/>
      </w:pPr>
      <w:r w:rsidRPr="00002BBB">
        <w:t xml:space="preserve">L’indicatore C.16 intende misurare l’evoluzione del numero dei nuovi imprenditori agricoli </w:t>
      </w:r>
      <w:r w:rsidR="00032E66" w:rsidRPr="00002BBB">
        <w:t>(</w:t>
      </w:r>
      <w:r w:rsidRPr="00002BBB">
        <w:t>inclusi i giovani</w:t>
      </w:r>
      <w:r w:rsidR="00032E66" w:rsidRPr="00002BBB">
        <w:t>) che a tale scopo hanno ricevuto un supporto finanziario dalla politica agricola comune (PAC) nei tre anni precedenti</w:t>
      </w:r>
      <w:r w:rsidR="00D96E53" w:rsidRPr="00002BBB">
        <w:t xml:space="preserve">, </w:t>
      </w:r>
      <w:r w:rsidR="00557E63" w:rsidRPr="00002BBB">
        <w:t xml:space="preserve">identificare </w:t>
      </w:r>
      <w:r w:rsidR="00D96E53" w:rsidRPr="00002BBB">
        <w:t>l’anno in cui si è insediato il giovane imprenditore e la sua età.</w:t>
      </w:r>
      <w:r w:rsidR="00DD22E5">
        <w:t xml:space="preserve"> </w:t>
      </w:r>
      <w:r w:rsidR="00731A0A">
        <w:t xml:space="preserve">I dati, al momento non disponibili, saranno forniti dagli Istituti statistici nell’ambito del Regolamento sulle statistiche integrate delle aziende agricole (Reg EU 1091/2018). Tali dati saranno disponibili a livello Italia e EU con una frequenza di 3-4 anni. </w:t>
      </w:r>
    </w:p>
    <w:p w14:paraId="487FA320" w14:textId="38346967" w:rsidR="00900B04" w:rsidRDefault="00F37470" w:rsidP="00874061">
      <w:pPr>
        <w:spacing w:after="120"/>
      </w:pPr>
      <w:r>
        <w:t xml:space="preserve">Tuttavia, per un’analisi di contesto più completa dell’imprenditoria giovanile in agricoltura </w:t>
      </w:r>
      <w:r w:rsidR="00900B04">
        <w:t xml:space="preserve">si è fatto ricorso ad altri </w:t>
      </w:r>
      <w:r w:rsidR="003D7990">
        <w:t xml:space="preserve">due </w:t>
      </w:r>
      <w:r>
        <w:t>indicatori</w:t>
      </w:r>
      <w:r w:rsidR="00900B04">
        <w:t>:</w:t>
      </w:r>
    </w:p>
    <w:p w14:paraId="78F6D742" w14:textId="78F426DF" w:rsidR="00A77892" w:rsidRDefault="00F37470" w:rsidP="00E347BE">
      <w:pPr>
        <w:pStyle w:val="Paragrafoelenco"/>
        <w:numPr>
          <w:ilvl w:val="0"/>
          <w:numId w:val="34"/>
        </w:numPr>
        <w:spacing w:after="120"/>
        <w:ind w:left="714" w:hanging="357"/>
        <w:contextualSpacing w:val="0"/>
      </w:pPr>
      <w:r>
        <w:t xml:space="preserve">C.14 “Age </w:t>
      </w:r>
      <w:proofErr w:type="spellStart"/>
      <w:r>
        <w:t>structure</w:t>
      </w:r>
      <w:proofErr w:type="spellEnd"/>
      <w:r>
        <w:t xml:space="preserve"> of farm managers” che consente di identificare gli imprenditori di età compresa nei 40 anni</w:t>
      </w:r>
      <w:r w:rsidR="003D7990">
        <w:t xml:space="preserve">. Per il calcolo </w:t>
      </w:r>
      <w:bookmarkStart w:id="3" w:name="_Hlk55483612"/>
      <w:r w:rsidR="003D7990">
        <w:t>dell’indicatore sono stati utilizzati i dati Eurostat per un confronto a livello europeo e i dati ISTAT per l’analisi del dato a livello regionale</w:t>
      </w:r>
      <w:bookmarkEnd w:id="3"/>
    </w:p>
    <w:p w14:paraId="54254BE2" w14:textId="3716BA84" w:rsidR="00900B04" w:rsidRDefault="00900B04" w:rsidP="00E347BE">
      <w:pPr>
        <w:pStyle w:val="Paragrafoelenco"/>
        <w:numPr>
          <w:ilvl w:val="0"/>
          <w:numId w:val="34"/>
        </w:numPr>
        <w:spacing w:after="120"/>
        <w:ind w:left="714" w:hanging="357"/>
        <w:contextualSpacing w:val="0"/>
      </w:pPr>
      <w:r w:rsidRPr="00372877">
        <w:t>C.1</w:t>
      </w:r>
      <w:r>
        <w:t xml:space="preserve">5 </w:t>
      </w:r>
      <w:r w:rsidRPr="00372877">
        <w:t>“</w:t>
      </w:r>
      <w:proofErr w:type="spellStart"/>
      <w:r>
        <w:t>Agricultural</w:t>
      </w:r>
      <w:proofErr w:type="spellEnd"/>
      <w:r>
        <w:t xml:space="preserve"> Training of farm managers” che consente di misurare il livello della formazione</w:t>
      </w:r>
      <w:r w:rsidRPr="00372877">
        <w:t xml:space="preserve"> dei giovani agricoltori nella gestione delle imprese agricole </w:t>
      </w:r>
      <w:r>
        <w:t xml:space="preserve">(indicatore determinato dal rapporto dei giovani imprenditori formati sul totale degli imprenditori agricoli). </w:t>
      </w:r>
      <w:r w:rsidR="003D7990">
        <w:t xml:space="preserve">Anche in questo caso per il caso </w:t>
      </w:r>
      <w:r w:rsidR="003D7990">
        <w:lastRenderedPageBreak/>
        <w:t xml:space="preserve">del </w:t>
      </w:r>
      <w:r w:rsidR="003D7990" w:rsidRPr="003D7990">
        <w:t xml:space="preserve">dell’indicatore sono stati utilizzati i dati Eurostat per un confronto a livello europeo e i dati ISTAT per l’analisi </w:t>
      </w:r>
      <w:r w:rsidR="003D7990">
        <w:t>a livello nazionale.</w:t>
      </w:r>
    </w:p>
    <w:p w14:paraId="69504073" w14:textId="77777777" w:rsidR="00014152" w:rsidRDefault="00014152" w:rsidP="00A1068E">
      <w:pPr>
        <w:spacing w:after="120"/>
      </w:pPr>
      <w:r>
        <w:t xml:space="preserve">Nella proposta per la PAC post 2020 gli strumenti per il rinnovo generazionale, come in passato, sono rappresentati dal sostegno complementare al reddito per i giovani agricoltori nell’ambito del I Pilastro, pagamenti diretti e l’intervento teso a favorire l’insediamento dei giovani agricoltori e l’avvio di nuove imprese rurali nell’ambito del II Pilastro, sviluppo rurale.   </w:t>
      </w:r>
    </w:p>
    <w:p w14:paraId="5A1E34CD" w14:textId="2EFC8ABB" w:rsidR="00FF3ADD" w:rsidRDefault="00FF3ADD">
      <w:pPr>
        <w:jc w:val="left"/>
        <w:rPr>
          <w:b/>
        </w:rPr>
      </w:pPr>
    </w:p>
    <w:p w14:paraId="46C55996" w14:textId="71941CB5" w:rsidR="00472C07" w:rsidRPr="00472C07" w:rsidRDefault="00472C07" w:rsidP="00472C07">
      <w:pPr>
        <w:rPr>
          <w:b/>
        </w:rPr>
      </w:pPr>
      <w:r w:rsidRPr="00472C07">
        <w:rPr>
          <w:b/>
        </w:rPr>
        <w:t xml:space="preserve">Riepilogo </w:t>
      </w:r>
      <w:r w:rsidR="003D2E5E">
        <w:rPr>
          <w:b/>
        </w:rPr>
        <w:t xml:space="preserve">- </w:t>
      </w:r>
      <w:r w:rsidR="003D2E5E" w:rsidRPr="006A59E0">
        <w:rPr>
          <w:b/>
        </w:rPr>
        <w:t>Obiettivo specifico, indicatori d’Impatto e indicatori di Risultato descritti nell'Allegato I della Proposta di Regolamento sul sostegno ai Piani strategici nazionali</w:t>
      </w:r>
    </w:p>
    <w:tbl>
      <w:tblPr>
        <w:tblStyle w:val="Tabellagriglia4-colore3"/>
        <w:tblW w:w="9621" w:type="dxa"/>
        <w:tblLook w:val="04A0" w:firstRow="1" w:lastRow="0" w:firstColumn="1" w:lastColumn="0" w:noHBand="0" w:noVBand="1"/>
      </w:tblPr>
      <w:tblGrid>
        <w:gridCol w:w="3207"/>
        <w:gridCol w:w="3207"/>
        <w:gridCol w:w="3207"/>
      </w:tblGrid>
      <w:tr w:rsidR="00014152" w:rsidRPr="00396F9E" w14:paraId="7EEE5D3E" w14:textId="77777777" w:rsidTr="00014152">
        <w:trPr>
          <w:cnfStyle w:val="100000000000" w:firstRow="1" w:lastRow="0" w:firstColumn="0" w:lastColumn="0" w:oddVBand="0" w:evenVBand="0" w:oddHBand="0" w:evenHBand="0" w:firstRowFirstColumn="0" w:firstRowLastColumn="0" w:lastRowFirstColumn="0" w:lastRowLastColumn="0"/>
          <w:trHeight w:val="713"/>
        </w:trPr>
        <w:tc>
          <w:tcPr>
            <w:cnfStyle w:val="001000000000" w:firstRow="0" w:lastRow="0" w:firstColumn="1" w:lastColumn="0" w:oddVBand="0" w:evenVBand="0" w:oddHBand="0" w:evenHBand="0" w:firstRowFirstColumn="0" w:firstRowLastColumn="0" w:lastRowFirstColumn="0" w:lastRowLastColumn="0"/>
            <w:tcW w:w="3207" w:type="dxa"/>
          </w:tcPr>
          <w:p w14:paraId="1C0AB938" w14:textId="77777777" w:rsidR="00014152" w:rsidRPr="006E5D81" w:rsidRDefault="00014152" w:rsidP="00014152">
            <w:pPr>
              <w:spacing w:before="100" w:beforeAutospacing="1" w:after="100" w:afterAutospacing="1"/>
              <w:rPr>
                <w:rFonts w:ascii="Calibri" w:eastAsia="Times New Roman" w:hAnsi="Calibri" w:cs="Calibri"/>
                <w:lang w:eastAsia="it-IT"/>
              </w:rPr>
            </w:pPr>
            <w:r w:rsidRPr="006E5D81">
              <w:rPr>
                <w:rFonts w:ascii="Calibri" w:eastAsia="Times New Roman" w:hAnsi="Calibri" w:cs="Calibri"/>
                <w:sz w:val="18"/>
                <w:szCs w:val="18"/>
                <w:lang w:eastAsia="it-IT"/>
              </w:rPr>
              <w:t xml:space="preserve">Obiettivi specifici UE </w:t>
            </w:r>
          </w:p>
        </w:tc>
        <w:tc>
          <w:tcPr>
            <w:tcW w:w="3207" w:type="dxa"/>
          </w:tcPr>
          <w:p w14:paraId="62705822" w14:textId="77777777" w:rsidR="00014152" w:rsidRPr="006E5D81" w:rsidRDefault="00014152" w:rsidP="00014152">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it-IT"/>
              </w:rPr>
            </w:pPr>
            <w:r w:rsidRPr="006E5D81">
              <w:rPr>
                <w:rFonts w:ascii="Calibri" w:eastAsia="Times New Roman" w:hAnsi="Calibri" w:cs="Calibri"/>
                <w:sz w:val="18"/>
                <w:szCs w:val="18"/>
                <w:lang w:eastAsia="it-IT"/>
              </w:rPr>
              <w:t>Indicatori d’impatto nell'Allegato I al Reg.</w:t>
            </w:r>
          </w:p>
        </w:tc>
        <w:tc>
          <w:tcPr>
            <w:tcW w:w="3207" w:type="dxa"/>
          </w:tcPr>
          <w:p w14:paraId="0AF1F270" w14:textId="77777777" w:rsidR="00014152" w:rsidRPr="006E5D81" w:rsidRDefault="00014152" w:rsidP="00014152">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eastAsia="it-IT"/>
              </w:rPr>
            </w:pPr>
            <w:r w:rsidRPr="006E5D81">
              <w:rPr>
                <w:rFonts w:ascii="Calibri" w:eastAsia="Times New Roman" w:hAnsi="Calibri" w:cs="Calibri"/>
                <w:sz w:val="18"/>
                <w:szCs w:val="18"/>
                <w:lang w:eastAsia="it-IT"/>
              </w:rPr>
              <w:t>Indicatori di risultato (basati esclusivamente su interventi finanziati dalla PAC) nell'Allegato I al Reg.</w:t>
            </w:r>
          </w:p>
        </w:tc>
      </w:tr>
      <w:tr w:rsidR="00014152" w:rsidRPr="00396F9E" w14:paraId="69669839" w14:textId="77777777" w:rsidTr="000141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7" w:type="dxa"/>
          </w:tcPr>
          <w:p w14:paraId="197C1A52" w14:textId="77777777" w:rsidR="00014152" w:rsidRPr="006E5D81" w:rsidRDefault="00014152" w:rsidP="00014152">
            <w:pPr>
              <w:spacing w:before="100" w:beforeAutospacing="1" w:after="100" w:afterAutospacing="1"/>
              <w:rPr>
                <w:rFonts w:ascii="Calibri" w:eastAsia="Times New Roman" w:hAnsi="Calibri" w:cs="Calibri"/>
                <w:b w:val="0"/>
                <w:lang w:eastAsia="it-IT"/>
              </w:rPr>
            </w:pPr>
            <w:r w:rsidRPr="00CA659B">
              <w:rPr>
                <w:rFonts w:ascii="Calibri" w:eastAsia="Times New Roman" w:hAnsi="Calibri" w:cs="Calibri"/>
                <w:b w:val="0"/>
                <w:sz w:val="20"/>
                <w:szCs w:val="20"/>
                <w:lang w:eastAsia="it-IT"/>
              </w:rPr>
              <w:t>OS7</w:t>
            </w:r>
            <w:r w:rsidRPr="006E5D81">
              <w:rPr>
                <w:rFonts w:ascii="Calibri" w:eastAsia="Times New Roman" w:hAnsi="Calibri" w:cs="Calibri"/>
                <w:b w:val="0"/>
                <w:sz w:val="20"/>
                <w:szCs w:val="20"/>
                <w:lang w:eastAsia="it-IT"/>
              </w:rPr>
              <w:t xml:space="preserve">: </w:t>
            </w:r>
            <w:r w:rsidRPr="00CA659B">
              <w:rPr>
                <w:rFonts w:ascii="Calibri" w:eastAsia="Times New Roman" w:hAnsi="Calibri" w:cs="Calibri"/>
                <w:b w:val="0"/>
                <w:sz w:val="20"/>
                <w:szCs w:val="20"/>
                <w:lang w:eastAsia="it-IT"/>
              </w:rPr>
              <w:t>attirare i giovani agricoltori e facilitare lo sviluppo imprenditoriale nelle aree rurali</w:t>
            </w:r>
          </w:p>
          <w:p w14:paraId="490A8CF0" w14:textId="77777777" w:rsidR="00014152" w:rsidRPr="006E5D81" w:rsidRDefault="00014152" w:rsidP="00014152">
            <w:pPr>
              <w:spacing w:after="80"/>
              <w:rPr>
                <w:rFonts w:ascii="Calibri" w:eastAsia="Calibri" w:hAnsi="Calibri" w:cs="Calibri"/>
              </w:rPr>
            </w:pPr>
          </w:p>
        </w:tc>
        <w:tc>
          <w:tcPr>
            <w:tcW w:w="3207" w:type="dxa"/>
          </w:tcPr>
          <w:p w14:paraId="34CDA22A" w14:textId="77777777" w:rsidR="00014152" w:rsidRPr="006E5D81" w:rsidRDefault="00014152" w:rsidP="00014152">
            <w:pPr>
              <w:spacing w:after="80"/>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6E5D81">
              <w:rPr>
                <w:rFonts w:ascii="Calibri" w:eastAsia="Times New Roman" w:hAnsi="Calibri" w:cs="Calibri"/>
                <w:sz w:val="18"/>
                <w:szCs w:val="18"/>
                <w:lang w:eastAsia="it-IT"/>
              </w:rPr>
              <w:t>I.21 Attrarre i giovani agricoltori: evoluzione del numero di nuovi agricoltori</w:t>
            </w:r>
          </w:p>
        </w:tc>
        <w:tc>
          <w:tcPr>
            <w:tcW w:w="3207" w:type="dxa"/>
          </w:tcPr>
          <w:p w14:paraId="4FD2E9F7" w14:textId="77777777" w:rsidR="00014152" w:rsidRPr="006E5D81" w:rsidRDefault="00014152" w:rsidP="0001415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eastAsia="it-IT"/>
              </w:rPr>
            </w:pPr>
            <w:r w:rsidRPr="006E5D81">
              <w:rPr>
                <w:rFonts w:ascii="Calibri" w:eastAsia="Times New Roman" w:hAnsi="Calibri" w:cs="Calibri"/>
                <w:sz w:val="18"/>
                <w:szCs w:val="18"/>
                <w:lang w:eastAsia="it-IT"/>
              </w:rPr>
              <w:t>-R.30 Rinnovo generazionale: numero di giovani agricoltori che creano una azienda con il sostegno della PAC</w:t>
            </w:r>
          </w:p>
        </w:tc>
      </w:tr>
    </w:tbl>
    <w:p w14:paraId="1FEAA757" w14:textId="2962F9FB" w:rsidR="00472C07" w:rsidRDefault="00472C07" w:rsidP="00472C07">
      <w:pPr>
        <w:rPr>
          <w:i/>
          <w:sz w:val="20"/>
          <w:szCs w:val="20"/>
        </w:rPr>
      </w:pPr>
      <w:r w:rsidRPr="003D2E5E">
        <w:rPr>
          <w:i/>
          <w:sz w:val="20"/>
          <w:szCs w:val="20"/>
        </w:rPr>
        <w:t>Fonte: Allegato 1 alla Proposta di Regolamento sul sostegno ai piani strategici della PAC COM (2018) 392 finale</w:t>
      </w:r>
    </w:p>
    <w:p w14:paraId="551CE80D" w14:textId="77777777" w:rsidR="00900B04" w:rsidRPr="003D2E5E" w:rsidRDefault="00900B04" w:rsidP="00472C07">
      <w:pPr>
        <w:rPr>
          <w:i/>
          <w:sz w:val="20"/>
          <w:szCs w:val="20"/>
        </w:rPr>
      </w:pPr>
    </w:p>
    <w:tbl>
      <w:tblPr>
        <w:tblStyle w:val="valentina11"/>
        <w:tblW w:w="0" w:type="auto"/>
        <w:jc w:val="center"/>
        <w:tblBorders>
          <w:top w:val="single" w:sz="8" w:space="0" w:color="ECECEB"/>
          <w:left w:val="single" w:sz="8" w:space="0" w:color="ECECEB"/>
          <w:bottom w:val="single" w:sz="8" w:space="0" w:color="ECECEB"/>
          <w:right w:val="single" w:sz="8" w:space="0" w:color="ECECEB"/>
          <w:insideH w:val="single" w:sz="8" w:space="0" w:color="ECECEB"/>
          <w:insideV w:val="none" w:sz="0" w:space="0" w:color="auto"/>
        </w:tblBorders>
        <w:shd w:val="clear" w:color="auto" w:fill="D9D9D9"/>
        <w:tblLook w:val="04A0" w:firstRow="1" w:lastRow="0" w:firstColumn="1" w:lastColumn="0" w:noHBand="0" w:noVBand="1"/>
      </w:tblPr>
      <w:tblGrid>
        <w:gridCol w:w="1837"/>
        <w:gridCol w:w="7781"/>
      </w:tblGrid>
      <w:tr w:rsidR="00A1068E" w:rsidRPr="00D94E72" w14:paraId="0B46E97F" w14:textId="77777777" w:rsidTr="0029397D">
        <w:trPr>
          <w:trHeight w:val="1220"/>
          <w:jc w:val="center"/>
        </w:trPr>
        <w:tc>
          <w:tcPr>
            <w:tcW w:w="1837" w:type="dxa"/>
            <w:shd w:val="clear" w:color="auto" w:fill="CB7A09"/>
            <w:vAlign w:val="center"/>
          </w:tcPr>
          <w:p w14:paraId="082265E9" w14:textId="77777777" w:rsidR="00A1068E" w:rsidRPr="00D94E72" w:rsidRDefault="00A1068E" w:rsidP="0029397D">
            <w:pPr>
              <w:ind w:left="360"/>
              <w:jc w:val="left"/>
              <w:rPr>
                <w:rFonts w:ascii="Arial" w:eastAsia="Calibri" w:hAnsi="Arial" w:cs="Arial"/>
                <w:b/>
                <w:color w:val="FFFFFF"/>
                <w:sz w:val="20"/>
                <w:szCs w:val="20"/>
                <w:lang w:eastAsia="it-IT"/>
              </w:rPr>
            </w:pPr>
            <w:r w:rsidRPr="00D94E72">
              <w:rPr>
                <w:rFonts w:ascii="Arial" w:eastAsia="Calibri" w:hAnsi="Arial" w:cs="Arial"/>
                <w:b/>
                <w:color w:val="FFFFFF"/>
                <w:sz w:val="20"/>
                <w:szCs w:val="20"/>
                <w:lang w:eastAsia="it-IT"/>
              </w:rPr>
              <w:t xml:space="preserve">PAROLE CHIAVE </w:t>
            </w:r>
          </w:p>
        </w:tc>
        <w:tc>
          <w:tcPr>
            <w:tcW w:w="7781" w:type="dxa"/>
            <w:shd w:val="clear" w:color="auto" w:fill="auto"/>
          </w:tcPr>
          <w:p w14:paraId="2AAC630E" w14:textId="77777777" w:rsidR="00A1068E" w:rsidRPr="00A1068E" w:rsidRDefault="00A1068E" w:rsidP="00A1068E">
            <w:pPr>
              <w:autoSpaceDE w:val="0"/>
              <w:autoSpaceDN w:val="0"/>
              <w:adjustRightInd w:val="0"/>
              <w:spacing w:after="60"/>
              <w:jc w:val="left"/>
              <w:rPr>
                <w:rFonts w:ascii="Arial" w:eastAsia="Calibri" w:hAnsi="Arial" w:cs="Arial"/>
                <w:sz w:val="20"/>
                <w:szCs w:val="20"/>
                <w:lang w:eastAsia="it-IT"/>
              </w:rPr>
            </w:pPr>
            <w:r w:rsidRPr="00A1068E">
              <w:rPr>
                <w:rFonts w:ascii="Arial" w:eastAsia="Calibri" w:hAnsi="Arial" w:cs="Arial"/>
                <w:sz w:val="20"/>
                <w:szCs w:val="20"/>
                <w:lang w:eastAsia="it-IT"/>
              </w:rPr>
              <w:t xml:space="preserve">Senilizzazione e ricambio generazionale </w:t>
            </w:r>
          </w:p>
          <w:p w14:paraId="3260C789" w14:textId="77777777" w:rsidR="00A1068E" w:rsidRPr="00A1068E" w:rsidRDefault="00A1068E" w:rsidP="00A1068E">
            <w:pPr>
              <w:autoSpaceDE w:val="0"/>
              <w:autoSpaceDN w:val="0"/>
              <w:adjustRightInd w:val="0"/>
              <w:spacing w:after="60"/>
              <w:jc w:val="left"/>
              <w:rPr>
                <w:rFonts w:ascii="Arial" w:eastAsia="Calibri" w:hAnsi="Arial" w:cs="Arial"/>
                <w:sz w:val="20"/>
                <w:szCs w:val="20"/>
                <w:lang w:eastAsia="it-IT"/>
              </w:rPr>
            </w:pPr>
            <w:r w:rsidRPr="00A1068E">
              <w:rPr>
                <w:rFonts w:ascii="Arial" w:eastAsia="Calibri" w:hAnsi="Arial" w:cs="Arial"/>
                <w:sz w:val="20"/>
                <w:szCs w:val="20"/>
                <w:lang w:eastAsia="it-IT"/>
              </w:rPr>
              <w:t xml:space="preserve">Accesso ai fattori produttivi  </w:t>
            </w:r>
          </w:p>
          <w:p w14:paraId="45D39621" w14:textId="77777777" w:rsidR="00A1068E" w:rsidRPr="00A1068E" w:rsidRDefault="00A1068E" w:rsidP="00A1068E">
            <w:pPr>
              <w:autoSpaceDE w:val="0"/>
              <w:autoSpaceDN w:val="0"/>
              <w:adjustRightInd w:val="0"/>
              <w:spacing w:after="60"/>
              <w:jc w:val="left"/>
              <w:rPr>
                <w:rFonts w:ascii="Arial" w:eastAsia="Calibri" w:hAnsi="Arial" w:cs="Arial"/>
                <w:sz w:val="20"/>
                <w:szCs w:val="20"/>
                <w:lang w:eastAsia="it-IT"/>
              </w:rPr>
            </w:pPr>
            <w:r w:rsidRPr="00A1068E">
              <w:rPr>
                <w:rFonts w:ascii="Arial" w:eastAsia="Calibri" w:hAnsi="Arial" w:cs="Arial"/>
                <w:sz w:val="20"/>
                <w:szCs w:val="20"/>
                <w:lang w:eastAsia="it-IT"/>
              </w:rPr>
              <w:t xml:space="preserve">Infrastrutture e servizi </w:t>
            </w:r>
          </w:p>
          <w:p w14:paraId="61335524" w14:textId="77777777" w:rsidR="00A1068E" w:rsidRPr="00065118" w:rsidRDefault="00A1068E" w:rsidP="00A1068E">
            <w:pPr>
              <w:autoSpaceDE w:val="0"/>
              <w:autoSpaceDN w:val="0"/>
              <w:adjustRightInd w:val="0"/>
              <w:spacing w:after="60"/>
              <w:jc w:val="left"/>
              <w:rPr>
                <w:rFonts w:ascii="Arial" w:eastAsia="Calibri" w:hAnsi="Arial" w:cs="Arial"/>
                <w:sz w:val="20"/>
                <w:szCs w:val="20"/>
                <w:lang w:eastAsia="it-IT"/>
              </w:rPr>
            </w:pPr>
            <w:r w:rsidRPr="00065118">
              <w:rPr>
                <w:rFonts w:ascii="Arial" w:eastAsia="Calibri" w:hAnsi="Arial" w:cs="Arial"/>
                <w:sz w:val="20"/>
                <w:szCs w:val="20"/>
                <w:lang w:eastAsia="it-IT"/>
              </w:rPr>
              <w:t xml:space="preserve">Diversificazione multifunzionalità </w:t>
            </w:r>
          </w:p>
          <w:p w14:paraId="494F7DD1" w14:textId="77777777" w:rsidR="00A1068E" w:rsidRPr="00A1068E" w:rsidRDefault="00A1068E" w:rsidP="00A1068E">
            <w:pPr>
              <w:autoSpaceDE w:val="0"/>
              <w:autoSpaceDN w:val="0"/>
              <w:adjustRightInd w:val="0"/>
              <w:spacing w:after="60"/>
              <w:jc w:val="left"/>
              <w:rPr>
                <w:rFonts w:ascii="Arial" w:eastAsia="Calibri" w:hAnsi="Arial" w:cs="Arial"/>
                <w:sz w:val="20"/>
                <w:szCs w:val="20"/>
                <w:lang w:eastAsia="it-IT"/>
              </w:rPr>
            </w:pPr>
            <w:r w:rsidRPr="00A1068E">
              <w:rPr>
                <w:rFonts w:ascii="Arial" w:eastAsia="Calibri" w:hAnsi="Arial" w:cs="Arial"/>
                <w:sz w:val="20"/>
                <w:szCs w:val="20"/>
                <w:lang w:eastAsia="it-IT"/>
              </w:rPr>
              <w:t>Formazione e accesso alle conoscenze e all’innovazione</w:t>
            </w:r>
          </w:p>
          <w:p w14:paraId="099A9B5D" w14:textId="572002BB" w:rsidR="00A1068E" w:rsidRPr="00D94E72" w:rsidRDefault="003D2E5E" w:rsidP="00A1068E">
            <w:pPr>
              <w:autoSpaceDE w:val="0"/>
              <w:autoSpaceDN w:val="0"/>
              <w:adjustRightInd w:val="0"/>
              <w:spacing w:after="60"/>
              <w:jc w:val="left"/>
              <w:rPr>
                <w:rFonts w:ascii="Calibri" w:eastAsia="Calibri" w:hAnsi="Calibri" w:cs="Times New Roman"/>
                <w:color w:val="E36C0A"/>
                <w:lang w:eastAsia="it-IT"/>
              </w:rPr>
            </w:pPr>
            <w:r>
              <w:rPr>
                <w:rFonts w:ascii="Arial" w:eastAsia="Calibri" w:hAnsi="Arial" w:cs="Arial"/>
                <w:sz w:val="20"/>
                <w:szCs w:val="20"/>
                <w:lang w:eastAsia="it-IT"/>
              </w:rPr>
              <w:t>Credito e strumenti finanziari</w:t>
            </w:r>
            <w:r w:rsidR="00A1068E" w:rsidRPr="00A1068E">
              <w:rPr>
                <w:rFonts w:ascii="Arial" w:eastAsia="Calibri" w:hAnsi="Arial" w:cs="Arial"/>
                <w:sz w:val="20"/>
                <w:szCs w:val="20"/>
                <w:lang w:eastAsia="it-IT"/>
              </w:rPr>
              <w:t xml:space="preserve"> </w:t>
            </w:r>
          </w:p>
        </w:tc>
      </w:tr>
    </w:tbl>
    <w:p w14:paraId="3A787525" w14:textId="77777777" w:rsidR="00A1068E" w:rsidRPr="00F50B7B" w:rsidRDefault="00A1068E" w:rsidP="00A1068E">
      <w:pPr>
        <w:spacing w:before="120" w:after="0"/>
        <w:rPr>
          <w:i/>
          <w:sz w:val="20"/>
          <w:szCs w:val="20"/>
        </w:rPr>
      </w:pPr>
      <w:r w:rsidRPr="00F50B7B">
        <w:rPr>
          <w:i/>
          <w:sz w:val="20"/>
          <w:szCs w:val="20"/>
        </w:rPr>
        <w:t xml:space="preserve">Fonte RRN- L’analisi SWOT per la costruzione delle strategie regionali e nazionali della PAC </w:t>
      </w:r>
    </w:p>
    <w:p w14:paraId="3A32D546" w14:textId="77777777" w:rsidR="00A1068E" w:rsidRDefault="00A1068E" w:rsidP="00472C07">
      <w:pPr>
        <w:rPr>
          <w:i/>
          <w:sz w:val="20"/>
          <w:szCs w:val="20"/>
        </w:rPr>
      </w:pPr>
      <w:r>
        <w:rPr>
          <w:i/>
          <w:sz w:val="20"/>
          <w:szCs w:val="20"/>
        </w:rPr>
        <w:br w:type="page"/>
      </w:r>
    </w:p>
    <w:p w14:paraId="4B2CA72F" w14:textId="5C95040B" w:rsidR="00C31606" w:rsidRDefault="00014152" w:rsidP="00E347BE">
      <w:pPr>
        <w:pStyle w:val="Titolo1"/>
        <w:numPr>
          <w:ilvl w:val="0"/>
          <w:numId w:val="21"/>
        </w:numPr>
        <w:spacing w:before="120" w:line="240" w:lineRule="auto"/>
        <w:ind w:left="714" w:hanging="357"/>
      </w:pPr>
      <w:bookmarkStart w:id="4" w:name="_Toc22736699"/>
      <w:r>
        <w:lastRenderedPageBreak/>
        <w:t>L’imprenditoria giovanile</w:t>
      </w:r>
      <w:r w:rsidR="00CD4263">
        <w:t>: il quadro italiano ed europeo</w:t>
      </w:r>
      <w:bookmarkEnd w:id="4"/>
      <w:r w:rsidR="00CD4263">
        <w:t xml:space="preserve"> </w:t>
      </w:r>
    </w:p>
    <w:p w14:paraId="4A155092" w14:textId="5609A834" w:rsidR="40B17E82" w:rsidRDefault="40B17E82" w:rsidP="00E82B5E">
      <w:pPr>
        <w:spacing w:after="120" w:line="240" w:lineRule="auto"/>
      </w:pPr>
      <w:r>
        <w:t>Per un approfondimento su</w:t>
      </w:r>
      <w:r w:rsidR="4DD7E00C">
        <w:t>lle principali caratteristiche delle imprese agricole</w:t>
      </w:r>
      <w:r w:rsidR="69141EA0">
        <w:t xml:space="preserve"> s</w:t>
      </w:r>
      <w:r w:rsidR="27C35B4E">
        <w:t>i rimanda al Policy Brief OS1 “</w:t>
      </w:r>
      <w:r w:rsidR="27C35B4E" w:rsidRPr="7903F9D4">
        <w:t>Sostenere un reddito agricolo sufficiente e la resilienza in tutta l’Unione per migliorare la sicurezza alimentare”.</w:t>
      </w:r>
    </w:p>
    <w:p w14:paraId="6A4237C6" w14:textId="76E24C10" w:rsidR="00526D0A" w:rsidRDefault="00526D0A" w:rsidP="00E82B5E">
      <w:pPr>
        <w:spacing w:after="120" w:line="240" w:lineRule="auto"/>
      </w:pPr>
      <w:r>
        <w:t>Per l</w:t>
      </w:r>
      <w:r w:rsidR="38C3BD49">
        <w:t>'analisi</w:t>
      </w:r>
      <w:r>
        <w:t xml:space="preserve"> </w:t>
      </w:r>
      <w:r w:rsidR="34876160">
        <w:t>de</w:t>
      </w:r>
      <w:r w:rsidR="652AF86E">
        <w:t>ll’imprenditoria giovanile in agricoltura s</w:t>
      </w:r>
      <w:r>
        <w:t>ono stati utilizzati i dati Eurostat (2013 e 2016)</w:t>
      </w:r>
      <w:r w:rsidR="00105380">
        <w:t>,</w:t>
      </w:r>
      <w:r>
        <w:t xml:space="preserve"> ISTAT (</w:t>
      </w:r>
      <w:r w:rsidR="0028526D">
        <w:t>2016</w:t>
      </w:r>
      <w:r>
        <w:t>) relativi all’indagine Struttura e Produzione Agricola</w:t>
      </w:r>
      <w:r w:rsidR="00105380">
        <w:t xml:space="preserve"> e RICA (</w:t>
      </w:r>
      <w:r w:rsidR="00544E80">
        <w:t xml:space="preserve">dal </w:t>
      </w:r>
      <w:r w:rsidR="00105380">
        <w:t>2013</w:t>
      </w:r>
      <w:r w:rsidR="00544E80">
        <w:t xml:space="preserve"> al </w:t>
      </w:r>
      <w:r w:rsidR="00105380">
        <w:t>2016)</w:t>
      </w:r>
      <w:r>
        <w:t xml:space="preserve">. </w:t>
      </w:r>
      <w:r w:rsidR="00B54C9B">
        <w:t xml:space="preserve">Con riferimento </w:t>
      </w:r>
      <w:r w:rsidR="0028526D">
        <w:t>ai</w:t>
      </w:r>
      <w:r>
        <w:t xml:space="preserve"> dati relativi all’indagine SPA 2016 dell’ISTAT </w:t>
      </w:r>
      <w:r w:rsidR="0028526D">
        <w:t>si fa presente che per le modifiche apportate al questionario di rilevazione è stato possibile elaborare i dati per i soli conduttori di azienda e non per i capoazienda</w:t>
      </w:r>
      <w:r w:rsidR="009369F5">
        <w:rPr>
          <w:rStyle w:val="Rimandonotaapidipagina"/>
        </w:rPr>
        <w:footnoteReference w:id="1"/>
      </w:r>
      <w:r w:rsidR="0028526D">
        <w:t xml:space="preserve">. </w:t>
      </w:r>
    </w:p>
    <w:p w14:paraId="61344926" w14:textId="0328630C" w:rsidR="000C6470" w:rsidRDefault="000C6470" w:rsidP="00E82B5E">
      <w:pPr>
        <w:spacing w:after="120" w:line="240" w:lineRule="auto"/>
      </w:pPr>
      <w:r>
        <w:t xml:space="preserve">Si ritiene opportuno precisare, </w:t>
      </w:r>
      <w:r w:rsidR="001C35F9">
        <w:t xml:space="preserve">infine, che </w:t>
      </w:r>
      <w:r>
        <w:t>ai fini di una corretta lettura, Eurostat fornisce</w:t>
      </w:r>
      <w:r w:rsidR="00886BD3">
        <w:t>,</w:t>
      </w:r>
      <w:r>
        <w:t xml:space="preserve"> </w:t>
      </w:r>
      <w:r w:rsidR="00886BD3">
        <w:t xml:space="preserve">solo per l’anno 2016, </w:t>
      </w:r>
      <w:r>
        <w:t xml:space="preserve">i dati </w:t>
      </w:r>
      <w:r w:rsidR="00886BD3">
        <w:t xml:space="preserve">relativi alla presenza </w:t>
      </w:r>
      <w:r>
        <w:t xml:space="preserve">dei capi azienda per la classe di età </w:t>
      </w:r>
      <w:r w:rsidRPr="005202ED">
        <w:rPr>
          <w:u w:val="single"/>
        </w:rPr>
        <w:t xml:space="preserve">fino ai </w:t>
      </w:r>
      <w:r w:rsidR="006414DC">
        <w:rPr>
          <w:u w:val="single"/>
        </w:rPr>
        <w:t>39</w:t>
      </w:r>
      <w:r w:rsidRPr="005202ED">
        <w:rPr>
          <w:u w:val="single"/>
        </w:rPr>
        <w:t xml:space="preserve"> anni</w:t>
      </w:r>
      <w:r w:rsidR="00854FB4">
        <w:t xml:space="preserve"> (compresi) </w:t>
      </w:r>
      <w:r w:rsidR="00886BD3">
        <w:t xml:space="preserve">ma non per altre tipologie di informazioni (es. formazione, dimensione economica) </w:t>
      </w:r>
      <w:r>
        <w:t xml:space="preserve">mentre per gli anni precedenti </w:t>
      </w:r>
      <w:r w:rsidR="006414DC">
        <w:t>i dati sono elaborati</w:t>
      </w:r>
      <w:r>
        <w:t xml:space="preserve"> fino a 35 anni; l’ISTAT </w:t>
      </w:r>
      <w:r w:rsidR="00544E80">
        <w:t>consente l’</w:t>
      </w:r>
      <w:r>
        <w:t>elabora</w:t>
      </w:r>
      <w:r w:rsidR="00544E80">
        <w:t>zione</w:t>
      </w:r>
      <w:r>
        <w:t xml:space="preserve"> </w:t>
      </w:r>
      <w:r w:rsidR="00E82B5E">
        <w:t>dei dati</w:t>
      </w:r>
      <w:r>
        <w:t xml:space="preserve"> per la classe </w:t>
      </w:r>
      <w:r w:rsidR="00341AFB">
        <w:t xml:space="preserve">di età </w:t>
      </w:r>
      <w:r w:rsidRPr="00105380">
        <w:rPr>
          <w:u w:val="single"/>
        </w:rPr>
        <w:t xml:space="preserve">fino a </w:t>
      </w:r>
      <w:r w:rsidR="00105380" w:rsidRPr="00105380">
        <w:rPr>
          <w:u w:val="single"/>
        </w:rPr>
        <w:t>40</w:t>
      </w:r>
      <w:r w:rsidRPr="00105380">
        <w:rPr>
          <w:u w:val="single"/>
        </w:rPr>
        <w:t xml:space="preserve"> anni</w:t>
      </w:r>
      <w:r w:rsidR="00854FB4" w:rsidRPr="00854FB4">
        <w:t xml:space="preserve"> (compresi)</w:t>
      </w:r>
      <w:r w:rsidR="006414DC" w:rsidRPr="00854FB4">
        <w:t xml:space="preserve">. </w:t>
      </w:r>
    </w:p>
    <w:p w14:paraId="0B169E3A" w14:textId="32692ED5" w:rsidR="0025731C" w:rsidRDefault="00CF546E" w:rsidP="000C7F95">
      <w:pPr>
        <w:pStyle w:val="Titolo2"/>
        <w:numPr>
          <w:ilvl w:val="1"/>
          <w:numId w:val="1"/>
        </w:numPr>
      </w:pPr>
      <w:bookmarkStart w:id="5" w:name="_Toc22736700"/>
      <w:bookmarkStart w:id="6" w:name="_Hlk12274682"/>
      <w:r>
        <w:t>La presenza dei giovani in agricoltura</w:t>
      </w:r>
      <w:bookmarkEnd w:id="5"/>
      <w:r w:rsidR="00BE1935">
        <w:t xml:space="preserve"> </w:t>
      </w:r>
    </w:p>
    <w:p w14:paraId="2F01106A" w14:textId="23B55EE2" w:rsidR="00526D0A" w:rsidRDefault="00526D0A" w:rsidP="00E82B5E">
      <w:pPr>
        <w:spacing w:after="120" w:line="240" w:lineRule="auto"/>
      </w:pPr>
      <w:bookmarkStart w:id="7" w:name="_Hlk15050933"/>
      <w:r>
        <w:t xml:space="preserve">La presenza dei giovani agricoltori nella gestione delle imprese agricole è misurata dall’indicatore C.14 “Age </w:t>
      </w:r>
      <w:proofErr w:type="spellStart"/>
      <w:r>
        <w:t>structure</w:t>
      </w:r>
      <w:proofErr w:type="spellEnd"/>
      <w:r>
        <w:t xml:space="preserve"> of farm managers” che riporta il numero totale </w:t>
      </w:r>
      <w:r w:rsidR="00F157BD">
        <w:t xml:space="preserve">dei capo azienda per classi di età e consente quindi di identificare quelli di età compresa nei 40 anni. </w:t>
      </w:r>
      <w:r>
        <w:t xml:space="preserve">L'indicatore fornisce anche informazioni sul rapporto tra i giovani </w:t>
      </w:r>
      <w:r w:rsidR="00F157BD">
        <w:t>imprenditori</w:t>
      </w:r>
      <w:r>
        <w:t xml:space="preserve"> agricoli (meno di 40 anni)</w:t>
      </w:r>
      <w:r w:rsidR="00F157BD">
        <w:t xml:space="preserve"> e quelli </w:t>
      </w:r>
      <w:r>
        <w:t>di età pari o superiore a 55 anni.</w:t>
      </w:r>
    </w:p>
    <w:p w14:paraId="6AEA4EB7" w14:textId="77777777" w:rsidR="00832068" w:rsidRDefault="008C7E5B" w:rsidP="00832068">
      <w:pPr>
        <w:pStyle w:val="Titolo3"/>
      </w:pPr>
      <w:bookmarkStart w:id="8" w:name="_Toc13562887"/>
      <w:bookmarkStart w:id="9" w:name="_Toc22736701"/>
      <w:bookmarkEnd w:id="6"/>
      <w:bookmarkEnd w:id="7"/>
      <w:r>
        <w:t>I principali aspetti</w:t>
      </w:r>
      <w:bookmarkEnd w:id="8"/>
      <w:bookmarkEnd w:id="9"/>
    </w:p>
    <w:p w14:paraId="49AD2CEA" w14:textId="7E5F4868" w:rsidR="00015351" w:rsidRPr="00E537E8" w:rsidRDefault="00CC2F7C" w:rsidP="00E82B5E">
      <w:pPr>
        <w:pStyle w:val="Paragrafoelenco"/>
        <w:numPr>
          <w:ilvl w:val="0"/>
          <w:numId w:val="2"/>
        </w:numPr>
        <w:spacing w:after="120" w:line="240" w:lineRule="auto"/>
        <w:ind w:left="357" w:hanging="357"/>
        <w:contextualSpacing w:val="0"/>
      </w:pPr>
      <w:r>
        <w:t>In Italia, s</w:t>
      </w:r>
      <w:r w:rsidR="00452EAB">
        <w:t>econdo i dati Eurostat, n</w:t>
      </w:r>
      <w:r w:rsidR="00CF546E">
        <w:t>el 201</w:t>
      </w:r>
      <w:r w:rsidR="00AA4D0D">
        <w:t>6</w:t>
      </w:r>
      <w:r w:rsidR="00CF546E">
        <w:t xml:space="preserve">, </w:t>
      </w:r>
      <w:r w:rsidR="00452EAB">
        <w:t>i</w:t>
      </w:r>
      <w:r w:rsidR="00CF546E">
        <w:t xml:space="preserve"> giovani imprenditori </w:t>
      </w:r>
      <w:r w:rsidR="00DD7051">
        <w:t>(</w:t>
      </w:r>
      <w:r w:rsidR="00387BF2">
        <w:t xml:space="preserve">di età </w:t>
      </w:r>
      <w:r w:rsidR="00DD7051">
        <w:t xml:space="preserve">fino a </w:t>
      </w:r>
      <w:r w:rsidR="009369F5">
        <w:t xml:space="preserve">39 </w:t>
      </w:r>
      <w:r w:rsidR="00DD7051">
        <w:t>anni</w:t>
      </w:r>
      <w:r w:rsidR="00900725">
        <w:t xml:space="preserve"> compresi</w:t>
      </w:r>
      <w:r w:rsidR="00DD7051">
        <w:t xml:space="preserve">) </w:t>
      </w:r>
      <w:r>
        <w:t>rappresentano</w:t>
      </w:r>
      <w:r w:rsidR="00CF546E">
        <w:t xml:space="preserve"> </w:t>
      </w:r>
      <w:r w:rsidR="00A36354">
        <w:t>l’8</w:t>
      </w:r>
      <w:r w:rsidR="009F60B6">
        <w:t>%</w:t>
      </w:r>
      <w:r w:rsidR="00CF546E">
        <w:t xml:space="preserve"> </w:t>
      </w:r>
      <w:r w:rsidR="00452EAB">
        <w:t>del</w:t>
      </w:r>
      <w:r w:rsidR="00AA4D0D">
        <w:t xml:space="preserve"> totale del</w:t>
      </w:r>
      <w:r w:rsidR="00452EAB">
        <w:t>l’imprenditoria agricola</w:t>
      </w:r>
      <w:r w:rsidR="002411AC">
        <w:t xml:space="preserve"> (</w:t>
      </w:r>
      <w:r w:rsidR="008C2BD8" w:rsidRPr="7903F9D4">
        <w:rPr>
          <w:b/>
          <w:bCs/>
        </w:rPr>
        <w:t>Grafic</w:t>
      </w:r>
      <w:r w:rsidR="00044E27" w:rsidRPr="7903F9D4">
        <w:rPr>
          <w:b/>
          <w:bCs/>
        </w:rPr>
        <w:t>o</w:t>
      </w:r>
      <w:r w:rsidR="002411AC" w:rsidRPr="7903F9D4">
        <w:rPr>
          <w:b/>
          <w:bCs/>
        </w:rPr>
        <w:t xml:space="preserve"> 1</w:t>
      </w:r>
      <w:r w:rsidR="004571B7">
        <w:t>)</w:t>
      </w:r>
      <w:r w:rsidR="00537CBD">
        <w:t>,</w:t>
      </w:r>
      <w:r w:rsidR="004571B7">
        <w:t xml:space="preserve"> dato che si pone al di sotto di </w:t>
      </w:r>
      <w:r w:rsidR="001D2683">
        <w:t xml:space="preserve">quasi </w:t>
      </w:r>
      <w:r w:rsidR="004571B7">
        <w:t xml:space="preserve">3 punti percentuali rispetto alla media europea (EU 28). </w:t>
      </w:r>
    </w:p>
    <w:p w14:paraId="2C318631" w14:textId="26A505E3" w:rsidR="009B014D" w:rsidRDefault="009B014D" w:rsidP="00E347BE">
      <w:pPr>
        <w:pStyle w:val="Paragrafoelenco"/>
        <w:numPr>
          <w:ilvl w:val="0"/>
          <w:numId w:val="22"/>
        </w:numPr>
        <w:spacing w:after="60"/>
        <w:ind w:left="284"/>
        <w:rPr>
          <w:b/>
          <w:sz w:val="18"/>
          <w:szCs w:val="18"/>
        </w:rPr>
      </w:pPr>
      <w:r w:rsidRPr="00854FB4">
        <w:rPr>
          <w:b/>
        </w:rPr>
        <w:t xml:space="preserve">Italia – </w:t>
      </w:r>
      <w:r w:rsidR="002411AC">
        <w:rPr>
          <w:b/>
        </w:rPr>
        <w:t>I</w:t>
      </w:r>
      <w:r w:rsidRPr="00854FB4">
        <w:rPr>
          <w:b/>
        </w:rPr>
        <w:t xml:space="preserve">mprenditori agricoli under </w:t>
      </w:r>
      <w:r w:rsidR="00933156">
        <w:rPr>
          <w:b/>
        </w:rPr>
        <w:t>40</w:t>
      </w:r>
      <w:r w:rsidRPr="00854FB4">
        <w:rPr>
          <w:b/>
        </w:rPr>
        <w:t xml:space="preserve"> per genere </w:t>
      </w:r>
      <w:r w:rsidR="00544E80">
        <w:rPr>
          <w:b/>
        </w:rPr>
        <w:t xml:space="preserve">– 2016 </w:t>
      </w:r>
      <w:r w:rsidRPr="00854FB4">
        <w:rPr>
          <w:b/>
        </w:rPr>
        <w:t>(%)</w:t>
      </w:r>
      <w:r w:rsidR="00FD6573" w:rsidRPr="00854FB4">
        <w:rPr>
          <w:b/>
        </w:rPr>
        <w:t xml:space="preserve"> – </w:t>
      </w:r>
      <w:r w:rsidR="00FD6573" w:rsidRPr="00854FB4">
        <w:rPr>
          <w:b/>
          <w:sz w:val="18"/>
          <w:szCs w:val="18"/>
        </w:rPr>
        <w:t xml:space="preserve">media nazionale lato </w:t>
      </w:r>
      <w:proofErr w:type="spellStart"/>
      <w:r w:rsidR="00E96548" w:rsidRPr="00854FB4">
        <w:rPr>
          <w:b/>
          <w:sz w:val="18"/>
          <w:szCs w:val="18"/>
        </w:rPr>
        <w:t>sx</w:t>
      </w:r>
      <w:proofErr w:type="spellEnd"/>
      <w:r w:rsidR="00FD6573" w:rsidRPr="00854FB4">
        <w:rPr>
          <w:b/>
          <w:sz w:val="18"/>
          <w:szCs w:val="18"/>
        </w:rPr>
        <w:t xml:space="preserve">, </w:t>
      </w:r>
      <w:r w:rsidR="001E1FF2">
        <w:rPr>
          <w:b/>
          <w:sz w:val="18"/>
          <w:szCs w:val="18"/>
        </w:rPr>
        <w:t>valore indice</w:t>
      </w:r>
      <w:r w:rsidR="00FD6573" w:rsidRPr="00854FB4">
        <w:rPr>
          <w:b/>
          <w:sz w:val="18"/>
          <w:szCs w:val="18"/>
        </w:rPr>
        <w:t xml:space="preserve"> lato d</w:t>
      </w:r>
      <w:r w:rsidR="00E96548" w:rsidRPr="00854FB4">
        <w:rPr>
          <w:b/>
          <w:sz w:val="18"/>
          <w:szCs w:val="18"/>
        </w:rPr>
        <w:t>x</w:t>
      </w:r>
    </w:p>
    <w:p w14:paraId="21669425" w14:textId="12B7568A" w:rsidR="002411AC" w:rsidRPr="00854FB4" w:rsidRDefault="002411AC" w:rsidP="00044E27">
      <w:pPr>
        <w:pStyle w:val="Paragrafoelenco"/>
        <w:spacing w:after="60"/>
        <w:ind w:left="0"/>
        <w:jc w:val="center"/>
        <w:rPr>
          <w:b/>
          <w:sz w:val="18"/>
          <w:szCs w:val="18"/>
        </w:rPr>
      </w:pPr>
      <w:r>
        <w:rPr>
          <w:noProof/>
          <w:lang w:eastAsia="it-IT"/>
        </w:rPr>
        <w:drawing>
          <wp:inline distT="0" distB="0" distL="0" distR="0" wp14:anchorId="20EE2F56" wp14:editId="0D940FC9">
            <wp:extent cx="5827394" cy="2667000"/>
            <wp:effectExtent l="0" t="0" r="1905"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pic:nvPicPr>
                  <pic:blipFill>
                    <a:blip r:embed="rId11">
                      <a:extLst>
                        <a:ext uri="{28A0092B-C50C-407E-A947-70E740481C1C}">
                          <a14:useLocalDpi xmlns:a14="http://schemas.microsoft.com/office/drawing/2010/main" val="0"/>
                        </a:ext>
                      </a:extLst>
                    </a:blip>
                    <a:stretch>
                      <a:fillRect/>
                    </a:stretch>
                  </pic:blipFill>
                  <pic:spPr>
                    <a:xfrm>
                      <a:off x="0" y="0"/>
                      <a:ext cx="5827394" cy="2667000"/>
                    </a:xfrm>
                    <a:prstGeom prst="rect">
                      <a:avLst/>
                    </a:prstGeom>
                  </pic:spPr>
                </pic:pic>
              </a:graphicData>
            </a:graphic>
          </wp:inline>
        </w:drawing>
      </w:r>
    </w:p>
    <w:p w14:paraId="2DCDC589" w14:textId="0D4F8B46" w:rsidR="009B014D" w:rsidRDefault="00A1068E" w:rsidP="000D44DE">
      <w:pPr>
        <w:ind w:left="284"/>
        <w:rPr>
          <w:i/>
          <w:sz w:val="20"/>
          <w:szCs w:val="20"/>
        </w:rPr>
      </w:pPr>
      <w:r w:rsidRPr="004E3AC2">
        <w:rPr>
          <w:i/>
          <w:sz w:val="20"/>
          <w:szCs w:val="20"/>
        </w:rPr>
        <w:t xml:space="preserve">Elaborazioni </w:t>
      </w:r>
      <w:r w:rsidR="004136C7">
        <w:rPr>
          <w:i/>
          <w:sz w:val="20"/>
          <w:szCs w:val="20"/>
        </w:rPr>
        <w:t>CREA</w:t>
      </w:r>
      <w:r w:rsidRPr="004E3AC2">
        <w:rPr>
          <w:i/>
          <w:sz w:val="20"/>
          <w:szCs w:val="20"/>
        </w:rPr>
        <w:t xml:space="preserve"> </w:t>
      </w:r>
      <w:r w:rsidR="004136C7">
        <w:rPr>
          <w:i/>
          <w:sz w:val="20"/>
          <w:szCs w:val="20"/>
        </w:rPr>
        <w:t xml:space="preserve">– Centro Politiche e Bioeconomia </w:t>
      </w:r>
      <w:r w:rsidRPr="004E3AC2">
        <w:rPr>
          <w:i/>
          <w:sz w:val="20"/>
          <w:szCs w:val="20"/>
        </w:rPr>
        <w:t>su dati Eurostat</w:t>
      </w:r>
      <w:r w:rsidR="000D44DE">
        <w:rPr>
          <w:i/>
          <w:sz w:val="20"/>
          <w:szCs w:val="20"/>
        </w:rPr>
        <w:t>, 2016</w:t>
      </w:r>
    </w:p>
    <w:p w14:paraId="1F299199" w14:textId="77777777" w:rsidR="00E82B5E" w:rsidRDefault="00FE1135" w:rsidP="00E347BE">
      <w:pPr>
        <w:pStyle w:val="Paragrafoelenco"/>
        <w:numPr>
          <w:ilvl w:val="0"/>
          <w:numId w:val="41"/>
        </w:numPr>
        <w:spacing w:after="120" w:line="240" w:lineRule="auto"/>
        <w:ind w:left="714" w:hanging="357"/>
        <w:contextualSpacing w:val="0"/>
      </w:pPr>
      <w:r>
        <w:lastRenderedPageBreak/>
        <w:t>N</w:t>
      </w:r>
      <w:r w:rsidR="00576D2C">
        <w:t>el 2016</w:t>
      </w:r>
      <w:r w:rsidR="00D45592">
        <w:t>,</w:t>
      </w:r>
      <w:r w:rsidR="00576D2C">
        <w:t xml:space="preserve"> </w:t>
      </w:r>
      <w:r>
        <w:t>a livello nazionale, il 65% degli imprenditori agricoli è rappresentato dagli over 55 mentre il 27%</w:t>
      </w:r>
      <w:r w:rsidR="00576D2C">
        <w:t xml:space="preserve"> </w:t>
      </w:r>
      <w:r>
        <w:t xml:space="preserve">degli stessi </w:t>
      </w:r>
      <w:r w:rsidR="00576D2C">
        <w:t>appartiene alla classe di età che va dai 4</w:t>
      </w:r>
      <w:r>
        <w:t>0</w:t>
      </w:r>
      <w:r w:rsidR="00576D2C">
        <w:t xml:space="preserve"> ai </w:t>
      </w:r>
      <w:r>
        <w:t>55</w:t>
      </w:r>
      <w:r w:rsidR="00576D2C">
        <w:t xml:space="preserve"> anni</w:t>
      </w:r>
      <w:r>
        <w:t xml:space="preserve">. </w:t>
      </w:r>
    </w:p>
    <w:p w14:paraId="13D847FB" w14:textId="59E7A14A" w:rsidR="00AE4D2E" w:rsidRPr="00AE4D2E" w:rsidRDefault="00AE4D2E" w:rsidP="00E347BE">
      <w:pPr>
        <w:pStyle w:val="Paragrafoelenco"/>
        <w:numPr>
          <w:ilvl w:val="0"/>
          <w:numId w:val="41"/>
        </w:numPr>
        <w:spacing w:after="120" w:line="240" w:lineRule="auto"/>
        <w:ind w:left="714" w:hanging="357"/>
        <w:contextualSpacing w:val="0"/>
      </w:pPr>
      <w:r>
        <w:t xml:space="preserve">Sulla base dei dati Eurostat, il peso dei giovani imprenditori italiani (di età fino a 39 anni) sugli over 55 nel 2016 si attesta al 12% a un livello inferiore rispetto alla media europea che è pari al 18% (linea rossa nel </w:t>
      </w:r>
      <w:r w:rsidRPr="00E82B5E">
        <w:t>Grafico 2</w:t>
      </w:r>
      <w:r>
        <w:t>) confermando un invecchiamento dell’agricoltura italiana tra i più alti registrati in Europa. Il peso dei giovani imprenditori maschi sugli over 55 è del 13% mentre quello delle giovani donne del 10% (</w:t>
      </w:r>
      <w:r w:rsidRPr="00E82B5E">
        <w:rPr>
          <w:b/>
          <w:bCs/>
        </w:rPr>
        <w:t>Grafico 1</w:t>
      </w:r>
      <w:r>
        <w:t>).</w:t>
      </w:r>
    </w:p>
    <w:p w14:paraId="42CC4A6A" w14:textId="256B3018" w:rsidR="00AE4D2E" w:rsidRPr="00AE4D2E" w:rsidRDefault="00AE4D2E" w:rsidP="00E347BE">
      <w:pPr>
        <w:pStyle w:val="Paragrafoelenco"/>
        <w:numPr>
          <w:ilvl w:val="0"/>
          <w:numId w:val="22"/>
        </w:numPr>
        <w:spacing w:after="60"/>
        <w:ind w:left="284"/>
        <w:rPr>
          <w:b/>
          <w:bCs/>
        </w:rPr>
      </w:pPr>
      <w:r w:rsidRPr="7903F9D4">
        <w:rPr>
          <w:b/>
          <w:bCs/>
        </w:rPr>
        <w:t xml:space="preserve"> Imprenditori agricoli under 40 per SM e genere (lato </w:t>
      </w:r>
      <w:proofErr w:type="spellStart"/>
      <w:r w:rsidRPr="7903F9D4">
        <w:rPr>
          <w:b/>
          <w:bCs/>
        </w:rPr>
        <w:t>sx</w:t>
      </w:r>
      <w:proofErr w:type="spellEnd"/>
      <w:r w:rsidRPr="7903F9D4">
        <w:rPr>
          <w:b/>
          <w:bCs/>
        </w:rPr>
        <w:t>) e peso su over 55 (lato dx) - 2016 (%)</w:t>
      </w:r>
    </w:p>
    <w:p w14:paraId="325DFACF" w14:textId="0B4CE4F9" w:rsidR="00AE4D2E" w:rsidRDefault="00AE4D2E" w:rsidP="00AE4D2E">
      <w:pPr>
        <w:spacing w:after="60"/>
        <w:ind w:left="284"/>
        <w:rPr>
          <w:i/>
          <w:sz w:val="20"/>
          <w:szCs w:val="20"/>
        </w:rPr>
      </w:pPr>
      <w:r>
        <w:rPr>
          <w:noProof/>
          <w:lang w:eastAsia="it-IT"/>
        </w:rPr>
        <w:drawing>
          <wp:inline distT="0" distB="0" distL="0" distR="0" wp14:anchorId="1FF8D34A" wp14:editId="60FBF098">
            <wp:extent cx="5758814" cy="3536950"/>
            <wp:effectExtent l="0" t="0" r="0" b="635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58814" cy="3536950"/>
                    </a:xfrm>
                    <a:prstGeom prst="rect">
                      <a:avLst/>
                    </a:prstGeom>
                  </pic:spPr>
                </pic:pic>
              </a:graphicData>
            </a:graphic>
          </wp:inline>
        </w:drawing>
      </w:r>
    </w:p>
    <w:p w14:paraId="234D09AA" w14:textId="7A39DD03" w:rsidR="00AE4D2E" w:rsidRDefault="00AE4D2E" w:rsidP="00AE4D2E">
      <w:pPr>
        <w:ind w:left="284"/>
        <w:rPr>
          <w:i/>
          <w:sz w:val="20"/>
          <w:szCs w:val="20"/>
        </w:rPr>
      </w:pPr>
      <w:r w:rsidRPr="00AE4D2E">
        <w:rPr>
          <w:i/>
          <w:sz w:val="20"/>
          <w:szCs w:val="20"/>
        </w:rPr>
        <w:t>Fonte: elaborazione CREA – Centro Politiche e Bioeconomia su Eurostat, 2016</w:t>
      </w:r>
    </w:p>
    <w:p w14:paraId="66DFF91A" w14:textId="43D1C963" w:rsidR="00FE3CAF" w:rsidRPr="00C17F95" w:rsidRDefault="00FE3CAF" w:rsidP="00E347BE">
      <w:pPr>
        <w:pStyle w:val="Paragrafoelenco"/>
        <w:numPr>
          <w:ilvl w:val="0"/>
          <w:numId w:val="25"/>
        </w:numPr>
        <w:spacing w:after="120" w:line="240" w:lineRule="auto"/>
        <w:ind w:left="426"/>
        <w:contextualSpacing w:val="0"/>
        <w:rPr>
          <w:b/>
        </w:rPr>
      </w:pPr>
      <w:r>
        <w:t>Ricorrendo ai</w:t>
      </w:r>
      <w:r w:rsidRPr="0053736E">
        <w:t xml:space="preserve"> dati dell’indagine SPA dell’ISTAT</w:t>
      </w:r>
      <w:r w:rsidR="00F976FA" w:rsidRPr="7934BC77">
        <w:rPr>
          <w:vertAlign w:val="superscript"/>
        </w:rPr>
        <w:footnoteReference w:id="2"/>
      </w:r>
      <w:r w:rsidR="00F976FA">
        <w:t xml:space="preserve"> </w:t>
      </w:r>
      <w:r>
        <w:t>emerge che</w:t>
      </w:r>
      <w:r w:rsidRPr="0053736E">
        <w:t xml:space="preserve"> per il 2016 il peso dei giovani imprenditori italiani sino a 40 anni</w:t>
      </w:r>
      <w:r>
        <w:t>, includendo quindi un anno in più rispetto ai dati Eurostat,</w:t>
      </w:r>
      <w:r w:rsidRPr="0053736E">
        <w:t xml:space="preserve"> </w:t>
      </w:r>
      <w:r>
        <w:t>sul</w:t>
      </w:r>
      <w:r w:rsidRPr="0053736E">
        <w:t xml:space="preserve"> totale dell’imprenditoria agricola è </w:t>
      </w:r>
      <w:r>
        <w:t>de</w:t>
      </w:r>
      <w:r w:rsidRPr="0053736E">
        <w:t xml:space="preserve">l 9% </w:t>
      </w:r>
      <w:r w:rsidR="005E730A">
        <w:t xml:space="preserve">mentre quello sugli imprenditori over 55 si attesta al 15 % </w:t>
      </w:r>
      <w:r w:rsidRPr="0053736E">
        <w:t>(</w:t>
      </w:r>
      <w:r w:rsidRPr="00FE3CAF">
        <w:rPr>
          <w:b/>
          <w:bCs/>
        </w:rPr>
        <w:t xml:space="preserve">Tabella </w:t>
      </w:r>
      <w:r w:rsidR="00E06DEA">
        <w:rPr>
          <w:b/>
          <w:bCs/>
        </w:rPr>
        <w:t>3</w:t>
      </w:r>
      <w:r w:rsidRPr="0053736E">
        <w:t>)</w:t>
      </w:r>
      <w:r>
        <w:t>.</w:t>
      </w:r>
    </w:p>
    <w:p w14:paraId="33912B76" w14:textId="2F8CC008" w:rsidR="00AE4D2E" w:rsidRDefault="00C17F95" w:rsidP="00E347BE">
      <w:pPr>
        <w:pStyle w:val="Paragrafoelenco"/>
        <w:numPr>
          <w:ilvl w:val="0"/>
          <w:numId w:val="25"/>
        </w:numPr>
        <w:spacing w:after="120" w:line="240" w:lineRule="auto"/>
        <w:ind w:left="426"/>
        <w:contextualSpacing w:val="0"/>
      </w:pPr>
      <w:r w:rsidRPr="00FE3CAF">
        <w:t xml:space="preserve">La lettura del dato a livello regionale </w:t>
      </w:r>
      <w:r w:rsidR="00E06DEA">
        <w:t>(</w:t>
      </w:r>
      <w:r w:rsidR="00E06DEA" w:rsidRPr="00E06DEA">
        <w:rPr>
          <w:b/>
          <w:bCs/>
        </w:rPr>
        <w:t>Tabella 3</w:t>
      </w:r>
      <w:r w:rsidR="00E06DEA">
        <w:t xml:space="preserve">) </w:t>
      </w:r>
      <w:r w:rsidRPr="00FE3CAF">
        <w:t>evidenzia</w:t>
      </w:r>
      <w:r w:rsidR="00E06DEA">
        <w:t xml:space="preserve"> </w:t>
      </w:r>
      <w:r w:rsidRPr="00FE3CAF">
        <w:t xml:space="preserve">una presenza piuttosto contenuta dei giovani agricoltori in tutta Italia. </w:t>
      </w:r>
      <w:r w:rsidR="00F976FA">
        <w:t xml:space="preserve">In </w:t>
      </w:r>
      <w:r w:rsidRPr="00FE3CAF">
        <w:t xml:space="preserve">Italia centrale, ma anche in Veneto, Emilia-Romagna e Puglia, e quindi </w:t>
      </w:r>
      <w:r w:rsidR="00447E3E">
        <w:t>in aree</w:t>
      </w:r>
      <w:r w:rsidRPr="00FE3CAF">
        <w:t xml:space="preserve"> caratterizzate dalla presenza di attività industriali e terziarie di piccole dimensioni molto diffuse a livello territoriale e concorrenti in termini occupazionali all’attività primaria, la presenza dei giovani è particolarmente bassa.  </w:t>
      </w:r>
    </w:p>
    <w:p w14:paraId="311BF89B" w14:textId="378FD203" w:rsidR="00E06DEA" w:rsidRPr="00E06DEA" w:rsidRDefault="005E730A" w:rsidP="00E347BE">
      <w:pPr>
        <w:pStyle w:val="Paragrafoelenco"/>
        <w:numPr>
          <w:ilvl w:val="0"/>
          <w:numId w:val="25"/>
        </w:numPr>
        <w:spacing w:after="120" w:line="240" w:lineRule="auto"/>
        <w:ind w:left="425" w:hanging="357"/>
        <w:contextualSpacing w:val="0"/>
      </w:pPr>
      <w:r>
        <w:t>La diversa modalità di rilevazione dei dati operati da ISTAT per le indagini SPA per gli anni 2013 -</w:t>
      </w:r>
      <w:r w:rsidR="003D47AF">
        <w:t xml:space="preserve"> </w:t>
      </w:r>
      <w:r>
        <w:t>2016 non consente l’elaborazione di un confronto per esaminarne e dinamiche. Ricorrendo a</w:t>
      </w:r>
      <w:r w:rsidR="003D47AF">
        <w:t>ll’analisi de</w:t>
      </w:r>
      <w:r>
        <w:t xml:space="preserve">i dati </w:t>
      </w:r>
      <w:r w:rsidR="00E06DEA" w:rsidRPr="00E06DEA">
        <w:t xml:space="preserve">Eurostat i giovani imprenditori fino a 35 anni tra il 2013 e il 2016 </w:t>
      </w:r>
      <w:r w:rsidR="003D47AF">
        <w:t xml:space="preserve">si rileva che gli stessi </w:t>
      </w:r>
      <w:r w:rsidR="00E06DEA" w:rsidRPr="00E06DEA">
        <w:t>sono aumentati del 2% (</w:t>
      </w:r>
      <w:r w:rsidR="00E06DEA" w:rsidRPr="00E06DEA">
        <w:rPr>
          <w:b/>
          <w:bCs/>
        </w:rPr>
        <w:t>Tabella 4</w:t>
      </w:r>
      <w:r w:rsidR="00E06DEA" w:rsidRPr="00E06DEA">
        <w:t>).</w:t>
      </w:r>
      <w:r w:rsidR="002677B2">
        <w:t xml:space="preserve"> Tuttavia, la lettura dei dati a livello regionale evidenzia contrazioni importanti della componente imprenditoriale giovanile </w:t>
      </w:r>
      <w:r>
        <w:t xml:space="preserve">nelle regioni centro settentrionali e in particolare </w:t>
      </w:r>
      <w:r w:rsidR="002677B2">
        <w:t>in Umbria</w:t>
      </w:r>
      <w:r w:rsidR="00836736">
        <w:t xml:space="preserve"> (</w:t>
      </w:r>
      <w:r w:rsidR="00F976FA">
        <w:t>-</w:t>
      </w:r>
      <w:r w:rsidR="00836736">
        <w:lastRenderedPageBreak/>
        <w:t>56%)</w:t>
      </w:r>
      <w:r w:rsidR="002677B2">
        <w:t xml:space="preserve">, Liguria </w:t>
      </w:r>
      <w:r w:rsidR="00836736">
        <w:t xml:space="preserve">(-49%) </w:t>
      </w:r>
      <w:r>
        <w:t>mentre nell’area meridionale in</w:t>
      </w:r>
      <w:r w:rsidR="002677B2">
        <w:t xml:space="preserve"> Sicilia </w:t>
      </w:r>
      <w:r w:rsidR="00836736">
        <w:t>(-30%)</w:t>
      </w:r>
      <w:r>
        <w:t>. L</w:t>
      </w:r>
      <w:r w:rsidR="00836736">
        <w:t>’incremento più elevato si rileva invece in Val d’Aosta (58%).</w:t>
      </w:r>
    </w:p>
    <w:p w14:paraId="0BF9CE9E" w14:textId="6EEF252E" w:rsidR="00C17F95" w:rsidRDefault="003D47AF" w:rsidP="00E347BE">
      <w:pPr>
        <w:pStyle w:val="Paragrafoelenco"/>
        <w:numPr>
          <w:ilvl w:val="0"/>
          <w:numId w:val="25"/>
        </w:numPr>
        <w:spacing w:after="120" w:line="240" w:lineRule="auto"/>
        <w:ind w:left="425" w:hanging="357"/>
        <w:contextualSpacing w:val="0"/>
      </w:pPr>
      <w:r>
        <w:t>Si evidenzia che l</w:t>
      </w:r>
      <w:r w:rsidR="00D91DF3" w:rsidRPr="00D91DF3">
        <w:t>a classe di età 35-39 pesa sul totale degli imprenditori agricoli tanto quanto le precedenti classi (4%).</w:t>
      </w:r>
    </w:p>
    <w:p w14:paraId="644BBAE5" w14:textId="53582343" w:rsidR="00FE3CAF" w:rsidRPr="00E06DEA" w:rsidRDefault="00FE3CAF" w:rsidP="00E347BE">
      <w:pPr>
        <w:pStyle w:val="Paragrafoelenco"/>
        <w:numPr>
          <w:ilvl w:val="0"/>
          <w:numId w:val="22"/>
        </w:numPr>
        <w:spacing w:after="120"/>
        <w:rPr>
          <w:b/>
        </w:rPr>
      </w:pPr>
      <w:r w:rsidRPr="00E06DEA">
        <w:rPr>
          <w:b/>
        </w:rPr>
        <w:t>Italia – L’imprenditoria giovanile in agricoltura per Regione - 2016 (%)</w:t>
      </w:r>
    </w:p>
    <w:p w14:paraId="6E9AF10D" w14:textId="5016302F" w:rsidR="00FE3CAF" w:rsidRDefault="008A417A" w:rsidP="00C17F95">
      <w:pPr>
        <w:spacing w:after="60"/>
        <w:ind w:left="426"/>
        <w:rPr>
          <w:i/>
          <w:sz w:val="20"/>
          <w:szCs w:val="20"/>
        </w:rPr>
      </w:pPr>
      <w:r w:rsidRPr="008A417A">
        <w:rPr>
          <w:noProof/>
          <w:lang w:eastAsia="it-IT"/>
        </w:rPr>
        <w:drawing>
          <wp:inline distT="0" distB="0" distL="0" distR="0" wp14:anchorId="57D95861" wp14:editId="7CF66B2E">
            <wp:extent cx="3995803" cy="4629048"/>
            <wp:effectExtent l="0" t="0" r="5080" b="635"/>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99632" cy="4633484"/>
                    </a:xfrm>
                    <a:prstGeom prst="rect">
                      <a:avLst/>
                    </a:prstGeom>
                    <a:noFill/>
                    <a:ln>
                      <a:noFill/>
                    </a:ln>
                  </pic:spPr>
                </pic:pic>
              </a:graphicData>
            </a:graphic>
          </wp:inline>
        </w:drawing>
      </w:r>
    </w:p>
    <w:p w14:paraId="3942E63C" w14:textId="4AA1C03A" w:rsidR="00FE3CAF" w:rsidRDefault="00FE3CAF" w:rsidP="000D44DE">
      <w:pPr>
        <w:ind w:left="284"/>
        <w:rPr>
          <w:i/>
          <w:sz w:val="20"/>
          <w:szCs w:val="20"/>
        </w:rPr>
      </w:pPr>
      <w:r w:rsidRPr="00FE3CAF">
        <w:rPr>
          <w:i/>
          <w:sz w:val="20"/>
          <w:szCs w:val="20"/>
        </w:rPr>
        <w:t>Fonte: elaborazioni CREA – Centro Politiche e Bioeconomia su dati ISTAT SPA (2016)</w:t>
      </w:r>
    </w:p>
    <w:p w14:paraId="3929ABA1" w14:textId="5B2921D9" w:rsidR="00FE3CAF" w:rsidRDefault="00FE3CAF" w:rsidP="008A417A">
      <w:pPr>
        <w:pStyle w:val="Paragrafoelenco"/>
        <w:spacing w:after="0"/>
        <w:ind w:left="426"/>
        <w:contextualSpacing w:val="0"/>
        <w:rPr>
          <w:b/>
        </w:rPr>
      </w:pPr>
      <w:r>
        <w:rPr>
          <w:b/>
        </w:rPr>
        <w:br w:type="page"/>
      </w:r>
    </w:p>
    <w:p w14:paraId="5657763D" w14:textId="7A893BDF" w:rsidR="00FE3CAF" w:rsidRPr="00FE3CAF" w:rsidRDefault="003D47AF" w:rsidP="00E347BE">
      <w:pPr>
        <w:pStyle w:val="Paragrafoelenco"/>
        <w:numPr>
          <w:ilvl w:val="0"/>
          <w:numId w:val="26"/>
        </w:numPr>
        <w:spacing w:after="0"/>
        <w:ind w:left="284"/>
        <w:contextualSpacing w:val="0"/>
        <w:rPr>
          <w:b/>
        </w:rPr>
      </w:pPr>
      <w:r>
        <w:rPr>
          <w:b/>
        </w:rPr>
        <w:lastRenderedPageBreak/>
        <w:t xml:space="preserve">Italia - </w:t>
      </w:r>
      <w:r w:rsidR="00FE3CAF" w:rsidRPr="001B395D">
        <w:rPr>
          <w:b/>
        </w:rPr>
        <w:t xml:space="preserve">I Giovani agricoltori per Regione </w:t>
      </w:r>
      <w:r w:rsidR="00FE3CAF">
        <w:rPr>
          <w:b/>
        </w:rPr>
        <w:t>(</w:t>
      </w:r>
      <w:r w:rsidR="00FE3CAF">
        <w:rPr>
          <w:rFonts w:cstheme="minorHAnsi"/>
          <w:b/>
        </w:rPr>
        <w:t>≤</w:t>
      </w:r>
      <w:r w:rsidR="00FE3CAF" w:rsidRPr="001B395D">
        <w:rPr>
          <w:b/>
        </w:rPr>
        <w:t>35 anni)</w:t>
      </w:r>
      <w:r w:rsidR="00FE3CAF">
        <w:rPr>
          <w:b/>
        </w:rPr>
        <w:t xml:space="preserve"> -2013 e 2016</w:t>
      </w:r>
    </w:p>
    <w:p w14:paraId="12D5F74D" w14:textId="6484D83E" w:rsidR="00FE3CAF" w:rsidRDefault="00D91DF3" w:rsidP="00FE3CAF">
      <w:pPr>
        <w:spacing w:after="60"/>
        <w:ind w:left="284"/>
        <w:rPr>
          <w:i/>
          <w:sz w:val="20"/>
          <w:szCs w:val="20"/>
        </w:rPr>
      </w:pPr>
      <w:r w:rsidRPr="00D91DF3">
        <w:rPr>
          <w:noProof/>
          <w:lang w:eastAsia="it-IT"/>
        </w:rPr>
        <w:drawing>
          <wp:inline distT="0" distB="0" distL="0" distR="0" wp14:anchorId="6BCD1850" wp14:editId="5F2E5C98">
            <wp:extent cx="3745282" cy="4391782"/>
            <wp:effectExtent l="0" t="0" r="7620" b="889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45594" cy="4392148"/>
                    </a:xfrm>
                    <a:prstGeom prst="rect">
                      <a:avLst/>
                    </a:prstGeom>
                    <a:noFill/>
                    <a:ln>
                      <a:noFill/>
                    </a:ln>
                  </pic:spPr>
                </pic:pic>
              </a:graphicData>
            </a:graphic>
          </wp:inline>
        </w:drawing>
      </w:r>
    </w:p>
    <w:p w14:paraId="0418A6D1" w14:textId="3A8D9B3C" w:rsidR="00FE3CAF" w:rsidRDefault="00FE3CAF" w:rsidP="000D44DE">
      <w:pPr>
        <w:ind w:left="284"/>
        <w:rPr>
          <w:i/>
          <w:sz w:val="20"/>
          <w:szCs w:val="20"/>
        </w:rPr>
      </w:pPr>
      <w:r w:rsidRPr="00FE3CAF">
        <w:rPr>
          <w:i/>
          <w:sz w:val="20"/>
          <w:szCs w:val="20"/>
        </w:rPr>
        <w:t>Fonte: elaborazioni CREA– Centro Politiche e Bioeconomia su dati Eurostat</w:t>
      </w:r>
    </w:p>
    <w:p w14:paraId="52C7CC3C" w14:textId="53084DDA" w:rsidR="00FE3CAF" w:rsidRPr="00044E27" w:rsidRDefault="00836736" w:rsidP="007E49F4">
      <w:pPr>
        <w:pStyle w:val="Paragrafoelenco"/>
        <w:numPr>
          <w:ilvl w:val="0"/>
          <w:numId w:val="2"/>
        </w:numPr>
        <w:spacing w:after="120" w:line="240" w:lineRule="auto"/>
        <w:ind w:left="357" w:hanging="357"/>
        <w:contextualSpacing w:val="0"/>
      </w:pPr>
      <w:r>
        <w:t>I</w:t>
      </w:r>
      <w:r w:rsidRPr="00044E27">
        <w:t xml:space="preserve"> dati </w:t>
      </w:r>
      <w:r>
        <w:t xml:space="preserve">Eurostat </w:t>
      </w:r>
      <w:r w:rsidRPr="00044E27">
        <w:t xml:space="preserve">evidenziano </w:t>
      </w:r>
      <w:r>
        <w:t>s</w:t>
      </w:r>
      <w:r w:rsidR="00FE3CAF" w:rsidRPr="00044E27">
        <w:t xml:space="preserve">ul totale degli imprenditori agricoli che circa il 68% è rappresentato da uomini e </w:t>
      </w:r>
      <w:r w:rsidR="00FE3CAF">
        <w:t>quasi</w:t>
      </w:r>
      <w:r w:rsidR="00FE3CAF" w:rsidRPr="00044E27">
        <w:t xml:space="preserve"> il 32% da donne</w:t>
      </w:r>
      <w:r w:rsidR="00FE3CAF">
        <w:t xml:space="preserve"> (</w:t>
      </w:r>
      <w:r w:rsidR="00FE3CAF" w:rsidRPr="00F22262">
        <w:rPr>
          <w:b/>
          <w:bCs/>
        </w:rPr>
        <w:t>Grafico 1</w:t>
      </w:r>
      <w:r w:rsidR="00FE3CAF">
        <w:t>)</w:t>
      </w:r>
      <w:r w:rsidR="00FE3CAF" w:rsidRPr="00044E27">
        <w:t xml:space="preserve">, mostrando un rapporto uomini/donne </w:t>
      </w:r>
      <w:r w:rsidR="00FE3CAF">
        <w:t>del</w:t>
      </w:r>
      <w:r w:rsidR="00FE3CAF" w:rsidRPr="00044E27">
        <w:t xml:space="preserve"> 2,2, quindi di poco più di 2 uomini imprenditori ogni donna imprenditrice, valore tutto sommato in linea con il valore medio registrato a livello europeo pari a 2,5. </w:t>
      </w:r>
    </w:p>
    <w:p w14:paraId="068E17A9" w14:textId="0424CB69" w:rsidR="006B020A" w:rsidRPr="006B020A" w:rsidRDefault="00FE3CAF" w:rsidP="007E49F4">
      <w:pPr>
        <w:pStyle w:val="Paragrafoelenco"/>
        <w:numPr>
          <w:ilvl w:val="0"/>
          <w:numId w:val="2"/>
        </w:numPr>
        <w:spacing w:after="120" w:line="240" w:lineRule="auto"/>
        <w:ind w:left="357" w:hanging="357"/>
        <w:contextualSpacing w:val="0"/>
        <w:rPr>
          <w:b/>
          <w:bCs/>
          <w:sz w:val="20"/>
          <w:szCs w:val="20"/>
        </w:rPr>
      </w:pPr>
      <w:r>
        <w:t>L’analisi dei dati ISTAT a livello regionale</w:t>
      </w:r>
      <w:r w:rsidR="00F976FA">
        <w:t xml:space="preserve"> </w:t>
      </w:r>
      <w:r>
        <w:t>evidenzia nelle regioni Molise e Lazio una presenza di donne imprenditrici pari rispettivamente al 41% e 3</w:t>
      </w:r>
      <w:r w:rsidR="00266416">
        <w:t>9</w:t>
      </w:r>
      <w:r>
        <w:t>% mentre i valori più bassi, pari al 12 % si riscontrano nelle Province Autonome di Trento e Bolzano (</w:t>
      </w:r>
      <w:r w:rsidRPr="7934BC77">
        <w:rPr>
          <w:b/>
          <w:bCs/>
        </w:rPr>
        <w:t>Tabella 5</w:t>
      </w:r>
      <w:r>
        <w:t>).</w:t>
      </w:r>
      <w:r w:rsidR="00576D2C">
        <w:t xml:space="preserve"> </w:t>
      </w:r>
    </w:p>
    <w:p w14:paraId="6A83FFEB" w14:textId="419F3F6D" w:rsidR="00FE3CAF" w:rsidRPr="006B020A" w:rsidRDefault="00576D2C" w:rsidP="007E49F4">
      <w:pPr>
        <w:pStyle w:val="Paragrafoelenco"/>
        <w:numPr>
          <w:ilvl w:val="0"/>
          <w:numId w:val="2"/>
        </w:numPr>
        <w:spacing w:after="120" w:line="240" w:lineRule="auto"/>
        <w:ind w:left="357" w:hanging="357"/>
        <w:contextualSpacing w:val="0"/>
        <w:rPr>
          <w:b/>
          <w:sz w:val="20"/>
          <w:szCs w:val="20"/>
        </w:rPr>
      </w:pPr>
      <w:r>
        <w:t>Il peso delle giovani donne sul totale delle imprenditrici agricole è dell’8%</w:t>
      </w:r>
      <w:r w:rsidR="006B020A">
        <w:t xml:space="preserve"> (</w:t>
      </w:r>
      <w:r w:rsidR="006B020A" w:rsidRPr="006B020A">
        <w:rPr>
          <w:b/>
          <w:bCs/>
        </w:rPr>
        <w:t>Tabella 5</w:t>
      </w:r>
      <w:r w:rsidR="006B020A">
        <w:t>)</w:t>
      </w:r>
      <w:r>
        <w:t xml:space="preserve">, valore leggermente più alto rispetto a quello </w:t>
      </w:r>
      <w:r w:rsidR="006B020A">
        <w:t>rilevato</w:t>
      </w:r>
      <w:r>
        <w:t xml:space="preserve"> per i giovani imprenditori </w:t>
      </w:r>
      <w:r w:rsidR="00D45592">
        <w:t xml:space="preserve">sul totale degli imprenditori maschi </w:t>
      </w:r>
      <w:r>
        <w:t>(7%).</w:t>
      </w:r>
    </w:p>
    <w:p w14:paraId="741E3A63" w14:textId="02E38E04" w:rsidR="009524F8" w:rsidRDefault="009524F8" w:rsidP="006B020A">
      <w:pPr>
        <w:rPr>
          <w:i/>
          <w:sz w:val="20"/>
          <w:szCs w:val="20"/>
        </w:rPr>
      </w:pPr>
      <w:r>
        <w:rPr>
          <w:i/>
          <w:sz w:val="20"/>
          <w:szCs w:val="20"/>
        </w:rPr>
        <w:br w:type="page"/>
      </w:r>
    </w:p>
    <w:p w14:paraId="1D7B5C10" w14:textId="4382A27F" w:rsidR="003D47AF" w:rsidRPr="003D47AF" w:rsidRDefault="003D47AF" w:rsidP="00E347BE">
      <w:pPr>
        <w:pStyle w:val="Paragrafoelenco"/>
        <w:numPr>
          <w:ilvl w:val="0"/>
          <w:numId w:val="26"/>
        </w:numPr>
        <w:spacing w:after="60"/>
        <w:ind w:left="782" w:hanging="357"/>
        <w:contextualSpacing w:val="0"/>
        <w:rPr>
          <w:b/>
        </w:rPr>
      </w:pPr>
      <w:r w:rsidRPr="003D47AF">
        <w:rPr>
          <w:b/>
        </w:rPr>
        <w:lastRenderedPageBreak/>
        <w:t>Italia - Gli imprenditori agricoli per sesso (2016)</w:t>
      </w:r>
    </w:p>
    <w:p w14:paraId="54349CD3" w14:textId="58C7C099" w:rsidR="008A417A" w:rsidRDefault="00083E44" w:rsidP="00083E44">
      <w:pPr>
        <w:spacing w:after="60"/>
        <w:ind w:left="425"/>
        <w:rPr>
          <w:i/>
          <w:sz w:val="20"/>
          <w:szCs w:val="20"/>
        </w:rPr>
      </w:pPr>
      <w:r w:rsidRPr="00083E44">
        <w:rPr>
          <w:noProof/>
          <w:lang w:eastAsia="it-IT"/>
        </w:rPr>
        <w:drawing>
          <wp:inline distT="0" distB="0" distL="0" distR="0" wp14:anchorId="018B963D" wp14:editId="544E3EB0">
            <wp:extent cx="5129530" cy="4716145"/>
            <wp:effectExtent l="0" t="0" r="0" b="8255"/>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29530" cy="4716145"/>
                    </a:xfrm>
                    <a:prstGeom prst="rect">
                      <a:avLst/>
                    </a:prstGeom>
                    <a:noFill/>
                    <a:ln>
                      <a:noFill/>
                    </a:ln>
                  </pic:spPr>
                </pic:pic>
              </a:graphicData>
            </a:graphic>
          </wp:inline>
        </w:drawing>
      </w:r>
    </w:p>
    <w:p w14:paraId="10FCA121" w14:textId="77777777" w:rsidR="008A417A" w:rsidRDefault="008A417A" w:rsidP="008A417A">
      <w:pPr>
        <w:ind w:left="284"/>
        <w:rPr>
          <w:i/>
          <w:sz w:val="20"/>
          <w:szCs w:val="20"/>
        </w:rPr>
      </w:pPr>
      <w:r w:rsidRPr="00FE3CAF">
        <w:rPr>
          <w:i/>
          <w:sz w:val="20"/>
          <w:szCs w:val="20"/>
        </w:rPr>
        <w:t>Fonte: elaborazioni CREA– Centro Politiche e Bioeconomia su dati Eurostat</w:t>
      </w:r>
    </w:p>
    <w:p w14:paraId="50D8CB40" w14:textId="53B5DB15" w:rsidR="00E42A41" w:rsidRPr="00DA5711" w:rsidRDefault="00E42A41" w:rsidP="007E49F4">
      <w:pPr>
        <w:pStyle w:val="Paragrafoelenco"/>
        <w:numPr>
          <w:ilvl w:val="0"/>
          <w:numId w:val="2"/>
        </w:numPr>
        <w:spacing w:after="120" w:line="240" w:lineRule="auto"/>
        <w:contextualSpacing w:val="0"/>
      </w:pPr>
      <w:r>
        <w:t>Dall’analisi dei dati dell’ultimo Censimento dell’Agricoltura (2010) – unica fonte disponibile con dati a livello comunale – emerge che l’11% dei giovani imprenditori è concentrato nelle aree D</w:t>
      </w:r>
      <w:r w:rsidR="00A27C76">
        <w:rPr>
          <w:rStyle w:val="Rimandonotaapidipagina"/>
        </w:rPr>
        <w:footnoteReference w:id="3"/>
      </w:r>
      <w:r w:rsidR="00DD6934">
        <w:t xml:space="preserve"> con punte del 18 e del 16% in Lombardia e Piemonte</w:t>
      </w:r>
      <w:r>
        <w:t xml:space="preserve"> (il 9,9</w:t>
      </w:r>
      <w:r w:rsidR="00DD6934" w:rsidRPr="00DD6934">
        <w:t xml:space="preserve"> </w:t>
      </w:r>
      <w:r w:rsidR="00DD6934">
        <w:t xml:space="preserve">e l’8,6 </w:t>
      </w:r>
      <w:r>
        <w:t>% nelle aree B</w:t>
      </w:r>
      <w:r w:rsidR="00DD6934">
        <w:t xml:space="preserve"> e A</w:t>
      </w:r>
      <w:r>
        <w:t>) mentre gli over 55 si concentrano prevalentemente nelle aree A (65%).</w:t>
      </w:r>
    </w:p>
    <w:p w14:paraId="3CACE959" w14:textId="4950432F" w:rsidR="00D77679" w:rsidRPr="0063051E" w:rsidRDefault="009524F8" w:rsidP="007E49F4">
      <w:pPr>
        <w:pStyle w:val="Paragrafoelenco"/>
        <w:spacing w:after="120" w:line="240" w:lineRule="auto"/>
        <w:ind w:left="357"/>
        <w:contextualSpacing w:val="0"/>
      </w:pPr>
      <w:r>
        <w:t>In uno studio condotto dall’INEA (2014) emerge che i</w:t>
      </w:r>
      <w:r w:rsidR="00D77679">
        <w:t xml:space="preserve"> giovani imprenditori italiani provengono principalmente da famiglie agricole o con disponibilità di terreni e sono più presenti nei settori produttivi ad alto valore aggiunto ma che richiedono anche fort</w:t>
      </w:r>
      <w:r w:rsidR="00D11BF6">
        <w:t>e</w:t>
      </w:r>
      <w:r w:rsidR="00D77679">
        <w:t xml:space="preserve"> impegn</w:t>
      </w:r>
      <w:r w:rsidR="00D11BF6">
        <w:t>o</w:t>
      </w:r>
      <w:r w:rsidR="00D77679">
        <w:t xml:space="preserve"> di tempo, lavoro e capital</w:t>
      </w:r>
      <w:r w:rsidR="00F62BB3">
        <w:t>e</w:t>
      </w:r>
      <w:r w:rsidR="00D77679">
        <w:t xml:space="preserve"> (ortofloricoltura, allevamenti bovini, suinicoltura).</w:t>
      </w:r>
    </w:p>
    <w:p w14:paraId="53FD8EEC" w14:textId="349A54FD" w:rsidR="007E49F4" w:rsidRDefault="007E49F4" w:rsidP="004E3AC2">
      <w:pPr>
        <w:spacing w:after="0"/>
        <w:rPr>
          <w:b/>
          <w:sz w:val="20"/>
          <w:szCs w:val="20"/>
        </w:rPr>
      </w:pPr>
      <w:r>
        <w:rPr>
          <w:b/>
          <w:sz w:val="20"/>
          <w:szCs w:val="20"/>
        </w:rPr>
        <w:br w:type="page"/>
      </w:r>
    </w:p>
    <w:p w14:paraId="387230AC" w14:textId="04A4B0DA" w:rsidR="00CD4263" w:rsidRDefault="00CD4263" w:rsidP="000C7F95">
      <w:pPr>
        <w:pStyle w:val="Titolo2"/>
        <w:numPr>
          <w:ilvl w:val="1"/>
          <w:numId w:val="1"/>
        </w:numPr>
        <w:ind w:left="851" w:hanging="567"/>
      </w:pPr>
      <w:bookmarkStart w:id="10" w:name="_Toc22736702"/>
      <w:r w:rsidRPr="00CD4263">
        <w:lastRenderedPageBreak/>
        <w:t>La formazione dei giovani in agricoltura</w:t>
      </w:r>
      <w:bookmarkEnd w:id="10"/>
    </w:p>
    <w:p w14:paraId="6E1B6BB6" w14:textId="77777777" w:rsidR="005A738B" w:rsidRDefault="00372877" w:rsidP="007E49F4">
      <w:pPr>
        <w:spacing w:after="120" w:line="240" w:lineRule="auto"/>
      </w:pPr>
      <w:r w:rsidRPr="00372877">
        <w:t xml:space="preserve">La </w:t>
      </w:r>
      <w:r>
        <w:t>formazione</w:t>
      </w:r>
      <w:r w:rsidRPr="00372877">
        <w:t xml:space="preserve"> dei giovani agricoltori nella gestione delle imprese agricole è misurata dall’indicatore C.1</w:t>
      </w:r>
      <w:r>
        <w:t xml:space="preserve">5 </w:t>
      </w:r>
      <w:r w:rsidRPr="00372877">
        <w:t>“</w:t>
      </w:r>
      <w:proofErr w:type="spellStart"/>
      <w:r>
        <w:t>Agricultural</w:t>
      </w:r>
      <w:proofErr w:type="spellEnd"/>
      <w:r>
        <w:t xml:space="preserve"> Training of farm managers”</w:t>
      </w:r>
      <w:r w:rsidR="00330712">
        <w:t xml:space="preserve"> determinato dal rapporto dei giovani imprenditori formati sul totale degli imprenditori agricoli</w:t>
      </w:r>
      <w:r>
        <w:t xml:space="preserve">. </w:t>
      </w:r>
    </w:p>
    <w:p w14:paraId="4D6636AB" w14:textId="77777777" w:rsidR="009524F8" w:rsidRDefault="00372877" w:rsidP="007E49F4">
      <w:pPr>
        <w:spacing w:after="120" w:line="240" w:lineRule="auto"/>
      </w:pPr>
      <w:r>
        <w:t>L'indicatore</w:t>
      </w:r>
      <w:r w:rsidR="00F95BDB">
        <w:t>, definito sulla base dei dati Eurostat,</w:t>
      </w:r>
      <w:r>
        <w:t xml:space="preserve"> fornisce informazioni sul livello di formazione dei giovani imprenditori </w:t>
      </w:r>
      <w:r w:rsidR="000D44DE">
        <w:t>distinguendolo</w:t>
      </w:r>
      <w:r>
        <w:t xml:space="preserve"> in: </w:t>
      </w:r>
    </w:p>
    <w:p w14:paraId="357EF02D" w14:textId="75D30FE5" w:rsidR="009524F8" w:rsidRDefault="00372877" w:rsidP="007E49F4">
      <w:pPr>
        <w:spacing w:after="120" w:line="240" w:lineRule="auto"/>
        <w:ind w:left="709" w:hanging="425"/>
      </w:pPr>
      <w:r>
        <w:t>a)</w:t>
      </w:r>
      <w:r w:rsidR="009524F8">
        <w:tab/>
      </w:r>
      <w:r>
        <w:t xml:space="preserve"> </w:t>
      </w:r>
      <w:r w:rsidRPr="00330712">
        <w:rPr>
          <w:u w:val="single"/>
        </w:rPr>
        <w:t>esperienza pratica agricola</w:t>
      </w:r>
      <w:r w:rsidR="00330712">
        <w:t xml:space="preserve"> </w:t>
      </w:r>
      <w:r w:rsidR="00D53861">
        <w:t>–</w:t>
      </w:r>
      <w:r w:rsidR="00330712">
        <w:t xml:space="preserve"> </w:t>
      </w:r>
      <w:r w:rsidR="00D53861">
        <w:t xml:space="preserve">nel caso in cui </w:t>
      </w:r>
      <w:r w:rsidR="00330712">
        <w:t xml:space="preserve">l’agricoltore </w:t>
      </w:r>
      <w:r w:rsidR="0060598F">
        <w:t>abbia</w:t>
      </w:r>
      <w:r w:rsidR="00330712">
        <w:t xml:space="preserve"> completato </w:t>
      </w:r>
      <w:r w:rsidR="00BC1502">
        <w:t>l’</w:t>
      </w:r>
      <w:r w:rsidR="00330712">
        <w:t xml:space="preserve">istruzione </w:t>
      </w:r>
      <w:r w:rsidR="00BC1502">
        <w:t xml:space="preserve">obbligatoria </w:t>
      </w:r>
      <w:r w:rsidR="00330712">
        <w:t>(</w:t>
      </w:r>
      <w:r w:rsidR="00BC1502">
        <w:t xml:space="preserve">con riferimento ai dati ISTAT questo livello comprende i seguenti titoli: </w:t>
      </w:r>
      <w:r w:rsidR="00F95BDB">
        <w:t xml:space="preserve">nessun titolo, </w:t>
      </w:r>
      <w:r w:rsidR="00330712">
        <w:t>scuola elementare</w:t>
      </w:r>
      <w:r w:rsidR="00BC1502">
        <w:t xml:space="preserve"> </w:t>
      </w:r>
      <w:r w:rsidR="00F62BB3">
        <w:t xml:space="preserve">e </w:t>
      </w:r>
      <w:r w:rsidR="00BC1502">
        <w:t>scuola media inferiore</w:t>
      </w:r>
      <w:r w:rsidR="00330712">
        <w:t>);</w:t>
      </w:r>
      <w:r>
        <w:t xml:space="preserve"> </w:t>
      </w:r>
    </w:p>
    <w:p w14:paraId="1EC28BF6" w14:textId="48A2E195" w:rsidR="009524F8" w:rsidRDefault="00372877" w:rsidP="007E49F4">
      <w:pPr>
        <w:spacing w:after="120" w:line="240" w:lineRule="auto"/>
        <w:ind w:left="709" w:hanging="425"/>
      </w:pPr>
      <w:r>
        <w:t>b)</w:t>
      </w:r>
      <w:r w:rsidR="009524F8">
        <w:tab/>
      </w:r>
      <w:r>
        <w:t xml:space="preserve"> </w:t>
      </w:r>
      <w:r w:rsidR="00330712" w:rsidRPr="00330712">
        <w:rPr>
          <w:u w:val="single"/>
        </w:rPr>
        <w:t>formazione di base</w:t>
      </w:r>
      <w:r w:rsidR="00330712">
        <w:t xml:space="preserve"> </w:t>
      </w:r>
      <w:r w:rsidR="00D53861">
        <w:t>–</w:t>
      </w:r>
      <w:r w:rsidR="00330712">
        <w:t xml:space="preserve"> </w:t>
      </w:r>
      <w:r w:rsidR="00D53861">
        <w:t xml:space="preserve">nel caso in cui </w:t>
      </w:r>
      <w:r w:rsidR="00330712">
        <w:t xml:space="preserve">l'agricoltore </w:t>
      </w:r>
      <w:r w:rsidR="0060598F">
        <w:t>abbia</w:t>
      </w:r>
      <w:r w:rsidR="00330712">
        <w:t xml:space="preserve"> </w:t>
      </w:r>
      <w:r w:rsidR="00BC1502">
        <w:t xml:space="preserve">conseguito un diploma di scuola media superiore </w:t>
      </w:r>
      <w:r w:rsidR="00F95BDB">
        <w:t>(</w:t>
      </w:r>
      <w:r w:rsidR="00BC1502">
        <w:t xml:space="preserve">con riferimento ai dati ISTAT </w:t>
      </w:r>
      <w:r w:rsidR="00C10C77">
        <w:t xml:space="preserve">questo livello comprende i </w:t>
      </w:r>
      <w:r w:rsidR="00F95BDB">
        <w:t>diplom</w:t>
      </w:r>
      <w:r w:rsidR="40F12E3A">
        <w:t>i</w:t>
      </w:r>
      <w:r w:rsidR="00F95BDB">
        <w:t xml:space="preserve"> che non permett</w:t>
      </w:r>
      <w:r w:rsidR="00C10C77">
        <w:t>ono</w:t>
      </w:r>
      <w:r w:rsidR="00F95BDB">
        <w:t xml:space="preserve"> accesso al</w:t>
      </w:r>
      <w:r w:rsidR="00C10C77">
        <w:t>l’università</w:t>
      </w:r>
      <w:r w:rsidR="00F95BDB">
        <w:t>)</w:t>
      </w:r>
      <w:r w:rsidR="00330712">
        <w:t>;</w:t>
      </w:r>
      <w:r w:rsidR="00330712" w:rsidRPr="00330712">
        <w:t xml:space="preserve"> </w:t>
      </w:r>
    </w:p>
    <w:p w14:paraId="613E2785" w14:textId="6944A999" w:rsidR="00330712" w:rsidRPr="00372877" w:rsidRDefault="00330712" w:rsidP="007E49F4">
      <w:pPr>
        <w:spacing w:after="120" w:line="240" w:lineRule="auto"/>
        <w:ind w:left="709" w:hanging="425"/>
      </w:pPr>
      <w:r>
        <w:t>c)</w:t>
      </w:r>
      <w:r w:rsidR="009524F8">
        <w:tab/>
      </w:r>
      <w:r>
        <w:t xml:space="preserve"> </w:t>
      </w:r>
      <w:r w:rsidRPr="00330712">
        <w:rPr>
          <w:u w:val="single"/>
        </w:rPr>
        <w:t>formazione completa</w:t>
      </w:r>
      <w:r>
        <w:t xml:space="preserve"> </w:t>
      </w:r>
      <w:r w:rsidR="00D53861">
        <w:t>–</w:t>
      </w:r>
      <w:r>
        <w:t xml:space="preserve"> </w:t>
      </w:r>
      <w:r w:rsidR="00D53861">
        <w:t xml:space="preserve">nel caso in cui </w:t>
      </w:r>
      <w:r>
        <w:t xml:space="preserve">l'agricoltore </w:t>
      </w:r>
      <w:r w:rsidR="0060598F">
        <w:t>abbia</w:t>
      </w:r>
      <w:r>
        <w:t xml:space="preserve"> completato l'istruzione superiore o terziaria </w:t>
      </w:r>
      <w:r w:rsidR="00C10C77">
        <w:t>(con riferimento ai dati ISTAT il livello formativo comprende il diploma di scuola media superiore in agraria e non</w:t>
      </w:r>
      <w:r w:rsidR="000D44DE">
        <w:t xml:space="preserve"> e il diploma di</w:t>
      </w:r>
      <w:r w:rsidR="00C10C77">
        <w:t xml:space="preserve"> laur</w:t>
      </w:r>
      <w:r w:rsidR="000D44DE">
        <w:t>e</w:t>
      </w:r>
      <w:r w:rsidR="00C10C77">
        <w:t>a in agraria e non)</w:t>
      </w:r>
      <w:r w:rsidRPr="00372877">
        <w:t>.</w:t>
      </w:r>
    </w:p>
    <w:p w14:paraId="0FC1FCEC" w14:textId="77777777" w:rsidR="00CD4263" w:rsidRDefault="00811706" w:rsidP="00CD4263">
      <w:pPr>
        <w:pStyle w:val="Titolo3"/>
      </w:pPr>
      <w:bookmarkStart w:id="11" w:name="_Toc13562889"/>
      <w:bookmarkStart w:id="12" w:name="_Toc22736703"/>
      <w:bookmarkStart w:id="13" w:name="_Hlk12284797"/>
      <w:r>
        <w:t xml:space="preserve">I </w:t>
      </w:r>
      <w:r w:rsidRPr="00CD4263">
        <w:t>principali</w:t>
      </w:r>
      <w:r>
        <w:t xml:space="preserve"> aspetti</w:t>
      </w:r>
      <w:bookmarkEnd w:id="11"/>
      <w:bookmarkEnd w:id="12"/>
      <w:r w:rsidR="00CD4263" w:rsidRPr="00CD4263">
        <w:t xml:space="preserve"> </w:t>
      </w:r>
    </w:p>
    <w:bookmarkEnd w:id="13"/>
    <w:p w14:paraId="27FA5165" w14:textId="1775C664" w:rsidR="00965E7D" w:rsidRDefault="009E69EE" w:rsidP="007E49F4">
      <w:pPr>
        <w:pStyle w:val="Paragrafoelenco"/>
        <w:numPr>
          <w:ilvl w:val="0"/>
          <w:numId w:val="7"/>
        </w:numPr>
        <w:spacing w:after="120" w:line="240" w:lineRule="auto"/>
        <w:ind w:left="714" w:hanging="357"/>
        <w:contextualSpacing w:val="0"/>
      </w:pPr>
      <w:r>
        <w:t xml:space="preserve">Dalla lettura dei dati Eurostat, </w:t>
      </w:r>
      <w:r w:rsidR="00CD4263">
        <w:t>la formazione de</w:t>
      </w:r>
      <w:r w:rsidR="004442A0">
        <w:t xml:space="preserve">gli agricoltori italiani nel 2016 è per </w:t>
      </w:r>
      <w:r w:rsidR="0060598F">
        <w:t xml:space="preserve">quasi </w:t>
      </w:r>
      <w:r w:rsidR="004442A0">
        <w:t>il 9</w:t>
      </w:r>
      <w:r w:rsidR="0060598F">
        <w:t>1</w:t>
      </w:r>
      <w:r w:rsidR="004442A0">
        <w:t>% di bas</w:t>
      </w:r>
      <w:r w:rsidR="00965E7D">
        <w:t>e</w:t>
      </w:r>
      <w:r w:rsidR="000E7D56">
        <w:t xml:space="preserve"> </w:t>
      </w:r>
      <w:r w:rsidR="0060598F">
        <w:t xml:space="preserve">(diploma di scuola media superiore) </w:t>
      </w:r>
      <w:r w:rsidR="007E49F4">
        <w:t xml:space="preserve">e si </w:t>
      </w:r>
      <w:r w:rsidR="00DE6DB1">
        <w:t xml:space="preserve">attesta a un </w:t>
      </w:r>
      <w:r w:rsidR="00DF75B3">
        <w:t xml:space="preserve">valore più alto rispetto alla media </w:t>
      </w:r>
      <w:r w:rsidR="00AD3A72">
        <w:t xml:space="preserve">rilevata a livello </w:t>
      </w:r>
      <w:r w:rsidR="00DF75B3">
        <w:t>europe</w:t>
      </w:r>
      <w:r w:rsidR="00AD3A72">
        <w:t>o (21%)</w:t>
      </w:r>
      <w:r w:rsidR="00DE6DB1">
        <w:t>;</w:t>
      </w:r>
      <w:r w:rsidR="00DF75B3">
        <w:t xml:space="preserve"> </w:t>
      </w:r>
      <w:r w:rsidR="00AD3A72">
        <w:t xml:space="preserve">al 6% è </w:t>
      </w:r>
      <w:r w:rsidR="00DE6DB1">
        <w:t xml:space="preserve">la formazione completa </w:t>
      </w:r>
      <w:r w:rsidR="0060598F">
        <w:t xml:space="preserve">(diploma di scuola media superiore e diploma di laurea) </w:t>
      </w:r>
      <w:r w:rsidR="00AD3A72">
        <w:t>al di sotto di 3 punti percentuali rispetto al</w:t>
      </w:r>
      <w:r w:rsidR="00DE6DB1">
        <w:t>la media europea</w:t>
      </w:r>
      <w:r w:rsidR="004442A0">
        <w:t xml:space="preserve"> </w:t>
      </w:r>
      <w:r w:rsidR="00965E7D">
        <w:t xml:space="preserve">e </w:t>
      </w:r>
      <w:r w:rsidR="00DF75B3">
        <w:t>per il 3%</w:t>
      </w:r>
      <w:r w:rsidR="00965E7D">
        <w:t xml:space="preserve"> pratic</w:t>
      </w:r>
      <w:r w:rsidR="00DE6DB1">
        <w:t>a</w:t>
      </w:r>
      <w:r w:rsidR="0060598F">
        <w:t xml:space="preserve"> (nessun titolo, diploma di scuola elementare media inferiore)</w:t>
      </w:r>
      <w:r w:rsidR="00DE6DB1">
        <w:t xml:space="preserve">, valore più basso della media europea che si pone al 70% </w:t>
      </w:r>
      <w:r w:rsidR="00965E7D">
        <w:t>(</w:t>
      </w:r>
      <w:r w:rsidR="00965E7D" w:rsidRPr="0060598F">
        <w:rPr>
          <w:b/>
          <w:bCs/>
        </w:rPr>
        <w:t xml:space="preserve">Grafico </w:t>
      </w:r>
      <w:r w:rsidR="0060598F" w:rsidRPr="0060598F">
        <w:rPr>
          <w:b/>
          <w:bCs/>
        </w:rPr>
        <w:t>6</w:t>
      </w:r>
      <w:r w:rsidR="00965E7D">
        <w:t xml:space="preserve">). </w:t>
      </w:r>
    </w:p>
    <w:p w14:paraId="20109352" w14:textId="41BC9C41" w:rsidR="009E69EE" w:rsidRDefault="00DF75B3" w:rsidP="007E49F4">
      <w:pPr>
        <w:pStyle w:val="Paragrafoelenco"/>
        <w:numPr>
          <w:ilvl w:val="0"/>
          <w:numId w:val="7"/>
        </w:numPr>
        <w:spacing w:after="120" w:line="240" w:lineRule="auto"/>
        <w:ind w:left="714" w:hanging="357"/>
        <w:contextualSpacing w:val="0"/>
      </w:pPr>
      <w:r>
        <w:t xml:space="preserve">Analizzando i dati </w:t>
      </w:r>
      <w:r w:rsidR="0060598F">
        <w:t xml:space="preserve">Eurostat </w:t>
      </w:r>
      <w:r w:rsidR="00965E7D">
        <w:t>per i giovani imprenditori agricoli</w:t>
      </w:r>
      <w:r>
        <w:t xml:space="preserve">, </w:t>
      </w:r>
      <w:r w:rsidR="00965E7D">
        <w:t xml:space="preserve">la formazione </w:t>
      </w:r>
      <w:r w:rsidR="00CD4942">
        <w:t xml:space="preserve">nel 2016 </w:t>
      </w:r>
      <w:r w:rsidR="00965E7D">
        <w:t>presenta un livello professionale più alto rispetto alla media nazionale</w:t>
      </w:r>
      <w:r w:rsidR="00AD3A72">
        <w:t xml:space="preserve">: il </w:t>
      </w:r>
      <w:r>
        <w:t>19%</w:t>
      </w:r>
      <w:r w:rsidR="00AD3A72">
        <w:t xml:space="preserve"> dei giovani </w:t>
      </w:r>
      <w:proofErr w:type="gramStart"/>
      <w:r w:rsidR="00AD3A72">
        <w:t>agricoltori infatti</w:t>
      </w:r>
      <w:proofErr w:type="gramEnd"/>
      <w:r w:rsidR="00AD3A72">
        <w:t xml:space="preserve"> presenta una formazione completa (contro il 6% nazionale)</w:t>
      </w:r>
      <w:r>
        <w:t xml:space="preserve"> </w:t>
      </w:r>
      <w:r w:rsidR="002C13EF">
        <w:t>ponendosi</w:t>
      </w:r>
      <w:r w:rsidR="00AD3A72">
        <w:t xml:space="preserve"> </w:t>
      </w:r>
      <w:r w:rsidR="002C13EF">
        <w:t xml:space="preserve">pressoché </w:t>
      </w:r>
      <w:r w:rsidR="00AD3A72">
        <w:t>in linea con</w:t>
      </w:r>
      <w:r w:rsidR="002C13EF">
        <w:t xml:space="preserve"> la media europea (20%). La</w:t>
      </w:r>
      <w:r w:rsidR="00330712">
        <w:t xml:space="preserve"> formazione di base</w:t>
      </w:r>
      <w:r w:rsidR="00F05B4B" w:rsidRPr="002A6B52">
        <w:t xml:space="preserve"> </w:t>
      </w:r>
      <w:r w:rsidR="002C13EF">
        <w:t>si attesta intorno all’</w:t>
      </w:r>
      <w:r w:rsidR="00233ED8" w:rsidRPr="002A6B52">
        <w:t>8</w:t>
      </w:r>
      <w:r w:rsidR="002C13EF">
        <w:t>1</w:t>
      </w:r>
      <w:r w:rsidR="00233ED8" w:rsidRPr="002A6B52">
        <w:t>%</w:t>
      </w:r>
      <w:r w:rsidR="002C13EF">
        <w:t xml:space="preserve"> e quella pratica allo 0,2% mentre i valori medi in Europa per i due livelli di formazione si attestano rispettivamente al 18% e al 61,4% </w:t>
      </w:r>
      <w:r w:rsidR="00FC3933">
        <w:t>(</w:t>
      </w:r>
      <w:r w:rsidR="00FC3933" w:rsidRPr="0060598F">
        <w:rPr>
          <w:b/>
          <w:bCs/>
        </w:rPr>
        <w:t xml:space="preserve">Grafico </w:t>
      </w:r>
      <w:r w:rsidR="0060598F" w:rsidRPr="0060598F">
        <w:rPr>
          <w:b/>
          <w:bCs/>
        </w:rPr>
        <w:t>6</w:t>
      </w:r>
      <w:r w:rsidR="00FC3933">
        <w:t>)</w:t>
      </w:r>
      <w:r w:rsidR="00CD4263" w:rsidRPr="00CD4263">
        <w:t xml:space="preserve">. </w:t>
      </w:r>
    </w:p>
    <w:p w14:paraId="43EC40B4" w14:textId="69EC7DFF" w:rsidR="00ED36ED" w:rsidRPr="00511FBA" w:rsidRDefault="002A79DB" w:rsidP="007E49F4">
      <w:pPr>
        <w:pStyle w:val="Paragrafoelenco"/>
        <w:numPr>
          <w:ilvl w:val="0"/>
          <w:numId w:val="7"/>
        </w:numPr>
        <w:spacing w:after="120" w:line="240" w:lineRule="auto"/>
        <w:ind w:left="714" w:hanging="357"/>
        <w:contextualSpacing w:val="0"/>
      </w:pPr>
      <w:r>
        <w:t xml:space="preserve">A livello nazionale </w:t>
      </w:r>
      <w:r w:rsidR="007E4BE5">
        <w:t xml:space="preserve">i </w:t>
      </w:r>
      <w:r>
        <w:t xml:space="preserve">dati </w:t>
      </w:r>
      <w:r w:rsidRPr="001E30BB">
        <w:t>ISTAT</w:t>
      </w:r>
      <w:r w:rsidR="007E4BE5" w:rsidRPr="001E30BB">
        <w:t xml:space="preserve"> </w:t>
      </w:r>
      <w:r w:rsidR="00183F83">
        <w:t>confermano</w:t>
      </w:r>
      <w:r w:rsidR="007E4BE5">
        <w:t xml:space="preserve"> </w:t>
      </w:r>
      <w:proofErr w:type="gramStart"/>
      <w:r w:rsidR="00183F83">
        <w:t>il trend evidenziato</w:t>
      </w:r>
      <w:proofErr w:type="gramEnd"/>
      <w:r w:rsidR="00183F83">
        <w:t xml:space="preserve"> dalla classificazione dei dati sulla formazione di Eurostat: </w:t>
      </w:r>
      <w:r w:rsidR="00F62BB3">
        <w:t xml:space="preserve">nel 2016 </w:t>
      </w:r>
      <w:r w:rsidR="00183F83">
        <w:t xml:space="preserve">si rileva </w:t>
      </w:r>
      <w:r w:rsidR="000852FF">
        <w:t>un</w:t>
      </w:r>
      <w:r w:rsidR="004C6517">
        <w:t xml:space="preserve">’incidenza della percentuale di studio </w:t>
      </w:r>
      <w:r w:rsidR="00415C51">
        <w:t xml:space="preserve">da parte dei </w:t>
      </w:r>
      <w:r>
        <w:t>giovani imprenditori agricoli</w:t>
      </w:r>
      <w:r w:rsidR="000852FF">
        <w:t xml:space="preserve"> rispetto a </w:t>
      </w:r>
      <w:r w:rsidR="00415C51">
        <w:t>quanto</w:t>
      </w:r>
      <w:r w:rsidR="000852FF">
        <w:t xml:space="preserve"> riscontrato per le classi di età </w:t>
      </w:r>
      <w:r w:rsidR="00E178D7">
        <w:t>successive</w:t>
      </w:r>
      <w:r w:rsidR="00FC3933">
        <w:t xml:space="preserve"> (</w:t>
      </w:r>
      <w:r w:rsidR="00FC3933" w:rsidRPr="00183F83">
        <w:rPr>
          <w:b/>
          <w:bCs/>
        </w:rPr>
        <w:t xml:space="preserve">Tabella </w:t>
      </w:r>
      <w:r w:rsidR="002C13EF" w:rsidRPr="00183F83">
        <w:rPr>
          <w:b/>
          <w:bCs/>
        </w:rPr>
        <w:t>7</w:t>
      </w:r>
      <w:r w:rsidR="00FC3933">
        <w:t>)</w:t>
      </w:r>
      <w:r w:rsidR="00ED36ED">
        <w:t xml:space="preserve">; </w:t>
      </w:r>
      <w:r w:rsidR="00ED36ED" w:rsidRPr="00511FBA">
        <w:t>il 1</w:t>
      </w:r>
      <w:r w:rsidR="004344AF" w:rsidRPr="00511FBA">
        <w:t>6</w:t>
      </w:r>
      <w:r w:rsidR="00ED36ED" w:rsidRPr="00511FBA">
        <w:t xml:space="preserve">% </w:t>
      </w:r>
      <w:r w:rsidR="000852FF" w:rsidRPr="00511FBA">
        <w:t>dei giovani</w:t>
      </w:r>
      <w:r w:rsidR="00ED36ED" w:rsidRPr="00511FBA">
        <w:t xml:space="preserve"> è laureato e il 5</w:t>
      </w:r>
      <w:r w:rsidR="004344AF" w:rsidRPr="00511FBA">
        <w:t>7</w:t>
      </w:r>
      <w:r w:rsidR="00ED36ED" w:rsidRPr="00511FBA">
        <w:t>% possiede un diploma</w:t>
      </w:r>
      <w:r w:rsidR="004C6517" w:rsidRPr="00511FBA">
        <w:t xml:space="preserve"> contro l’8% dei laureati e il </w:t>
      </w:r>
      <w:r w:rsidR="00511FBA" w:rsidRPr="00511FBA">
        <w:t>36% dei diplomati nella classe di età successiva (41-64)</w:t>
      </w:r>
      <w:r w:rsidR="00ED36ED" w:rsidRPr="00511FBA">
        <w:t xml:space="preserve">. </w:t>
      </w:r>
    </w:p>
    <w:p w14:paraId="45C35CEE" w14:textId="77777777" w:rsidR="009524F8" w:rsidRDefault="009524F8" w:rsidP="00E347BE">
      <w:pPr>
        <w:pStyle w:val="Paragrafoelenco"/>
        <w:numPr>
          <w:ilvl w:val="0"/>
          <w:numId w:val="26"/>
        </w:numPr>
        <w:spacing w:after="0"/>
        <w:ind w:left="426" w:hanging="426"/>
        <w:rPr>
          <w:b/>
        </w:rPr>
      </w:pPr>
      <w:r>
        <w:rPr>
          <w:b/>
        </w:rPr>
        <w:br w:type="page"/>
      </w:r>
    </w:p>
    <w:p w14:paraId="597B22E3" w14:textId="6B634831" w:rsidR="001B3078" w:rsidRPr="009524F8" w:rsidRDefault="00233ED8" w:rsidP="00E347BE">
      <w:pPr>
        <w:pStyle w:val="Paragrafoelenco"/>
        <w:numPr>
          <w:ilvl w:val="0"/>
          <w:numId w:val="27"/>
        </w:numPr>
        <w:spacing w:after="0"/>
        <w:ind w:left="426"/>
        <w:rPr>
          <w:b/>
        </w:rPr>
      </w:pPr>
      <w:r w:rsidRPr="009524F8">
        <w:rPr>
          <w:b/>
        </w:rPr>
        <w:lastRenderedPageBreak/>
        <w:t xml:space="preserve">Italia - </w:t>
      </w:r>
      <w:r w:rsidR="001B3078" w:rsidRPr="009524F8">
        <w:rPr>
          <w:b/>
        </w:rPr>
        <w:t>Formazione degli imprenditori agricoli under 35</w:t>
      </w:r>
      <w:r w:rsidRPr="009524F8">
        <w:rPr>
          <w:b/>
        </w:rPr>
        <w:t xml:space="preserve"> (%)</w:t>
      </w:r>
      <w:r w:rsidR="009369F5" w:rsidRPr="009524F8">
        <w:rPr>
          <w:b/>
        </w:rPr>
        <w:t xml:space="preserve"> e media europea </w:t>
      </w:r>
      <w:r w:rsidR="00183F83">
        <w:rPr>
          <w:b/>
        </w:rPr>
        <w:t>(2016)</w:t>
      </w:r>
    </w:p>
    <w:p w14:paraId="7E9EAEF6" w14:textId="1D54DD10" w:rsidR="000852FF" w:rsidRPr="00854FB4" w:rsidRDefault="00F86FA2" w:rsidP="000852FF">
      <w:pPr>
        <w:pStyle w:val="Paragrafoelenco"/>
        <w:spacing w:after="0"/>
        <w:ind w:left="426"/>
        <w:rPr>
          <w:b/>
        </w:rPr>
      </w:pPr>
      <w:r>
        <w:rPr>
          <w:noProof/>
          <w:lang w:eastAsia="it-IT"/>
        </w:rPr>
        <w:drawing>
          <wp:inline distT="0" distB="0" distL="0" distR="0" wp14:anchorId="738428B0" wp14:editId="7B8DEB94">
            <wp:extent cx="6219314" cy="447675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pic:nvPicPr>
                  <pic:blipFill>
                    <a:blip r:embed="rId16">
                      <a:extLst>
                        <a:ext uri="{28A0092B-C50C-407E-A947-70E740481C1C}">
                          <a14:useLocalDpi xmlns:a14="http://schemas.microsoft.com/office/drawing/2010/main" val="0"/>
                        </a:ext>
                      </a:extLst>
                    </a:blip>
                    <a:stretch>
                      <a:fillRect/>
                    </a:stretch>
                  </pic:blipFill>
                  <pic:spPr>
                    <a:xfrm>
                      <a:off x="0" y="0"/>
                      <a:ext cx="6219314" cy="4476750"/>
                    </a:xfrm>
                    <a:prstGeom prst="rect">
                      <a:avLst/>
                    </a:prstGeom>
                  </pic:spPr>
                </pic:pic>
              </a:graphicData>
            </a:graphic>
          </wp:inline>
        </w:drawing>
      </w:r>
    </w:p>
    <w:p w14:paraId="7C2AA858" w14:textId="6DD844F8" w:rsidR="00DE6DB1" w:rsidRDefault="00A727F5" w:rsidP="000852FF">
      <w:pPr>
        <w:spacing w:after="120"/>
        <w:ind w:left="426"/>
        <w:rPr>
          <w:i/>
          <w:sz w:val="20"/>
          <w:szCs w:val="20"/>
        </w:rPr>
      </w:pPr>
      <w:r>
        <w:rPr>
          <w:i/>
          <w:sz w:val="20"/>
          <w:szCs w:val="20"/>
        </w:rPr>
        <w:t>Fonte: e</w:t>
      </w:r>
      <w:r w:rsidR="002D1345" w:rsidRPr="002A79DB">
        <w:rPr>
          <w:i/>
          <w:sz w:val="20"/>
          <w:szCs w:val="20"/>
        </w:rPr>
        <w:t>laborazioni CREA</w:t>
      </w:r>
      <w:r w:rsidR="00462AA9">
        <w:rPr>
          <w:i/>
          <w:sz w:val="20"/>
          <w:szCs w:val="20"/>
        </w:rPr>
        <w:t>- Centro Politiche e Bioeconomia</w:t>
      </w:r>
      <w:r w:rsidR="002D1345" w:rsidRPr="002A79DB">
        <w:rPr>
          <w:i/>
          <w:sz w:val="20"/>
          <w:szCs w:val="20"/>
        </w:rPr>
        <w:t xml:space="preserve"> su dati Eurostat</w:t>
      </w:r>
      <w:r w:rsidR="00932AAE">
        <w:rPr>
          <w:i/>
          <w:sz w:val="20"/>
          <w:szCs w:val="20"/>
        </w:rPr>
        <w:t xml:space="preserve"> 2016</w:t>
      </w:r>
    </w:p>
    <w:p w14:paraId="0F4E8394" w14:textId="28E4523E" w:rsidR="00DE6DB1" w:rsidRDefault="00DE6DB1">
      <w:pPr>
        <w:jc w:val="left"/>
        <w:rPr>
          <w:i/>
          <w:sz w:val="20"/>
          <w:szCs w:val="20"/>
        </w:rPr>
      </w:pPr>
    </w:p>
    <w:p w14:paraId="0B892E22" w14:textId="4C67138A" w:rsidR="00762495" w:rsidRPr="00854FB4" w:rsidRDefault="002A79DB" w:rsidP="00E347BE">
      <w:pPr>
        <w:pStyle w:val="Paragrafoelenco"/>
        <w:numPr>
          <w:ilvl w:val="0"/>
          <w:numId w:val="27"/>
        </w:numPr>
        <w:spacing w:after="0"/>
        <w:ind w:left="426" w:hanging="426"/>
        <w:rPr>
          <w:b/>
        </w:rPr>
      </w:pPr>
      <w:r w:rsidRPr="00854FB4">
        <w:rPr>
          <w:b/>
        </w:rPr>
        <w:t xml:space="preserve">Italia </w:t>
      </w:r>
      <w:r w:rsidR="004C6517">
        <w:rPr>
          <w:b/>
        </w:rPr>
        <w:t>–</w:t>
      </w:r>
      <w:r w:rsidRPr="00854FB4">
        <w:rPr>
          <w:b/>
        </w:rPr>
        <w:t xml:space="preserve"> </w:t>
      </w:r>
      <w:r w:rsidR="004C6517">
        <w:rPr>
          <w:b/>
        </w:rPr>
        <w:t>Incidenza percentuale del titolo di studio</w:t>
      </w:r>
      <w:r w:rsidR="00C10C77">
        <w:rPr>
          <w:b/>
        </w:rPr>
        <w:t xml:space="preserve"> (</w:t>
      </w:r>
      <w:r w:rsidR="00183F83">
        <w:rPr>
          <w:b/>
        </w:rPr>
        <w:t>2016</w:t>
      </w:r>
      <w:r w:rsidR="00415C51">
        <w:rPr>
          <w:b/>
        </w:rPr>
        <w:t>)</w:t>
      </w:r>
    </w:p>
    <w:p w14:paraId="4FF35A55" w14:textId="77777777" w:rsidR="00415C51" w:rsidRDefault="00C10C77" w:rsidP="00BC1502">
      <w:pPr>
        <w:spacing w:after="0"/>
        <w:ind w:left="360"/>
        <w:rPr>
          <w:i/>
          <w:sz w:val="20"/>
          <w:szCs w:val="20"/>
        </w:rPr>
      </w:pPr>
      <w:r w:rsidRPr="00C10C77">
        <w:rPr>
          <w:noProof/>
          <w:lang w:eastAsia="it-IT"/>
        </w:rPr>
        <w:drawing>
          <wp:inline distT="0" distB="0" distL="0" distR="0" wp14:anchorId="57018B83" wp14:editId="5C19728D">
            <wp:extent cx="4457700" cy="2667000"/>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7700" cy="2667000"/>
                    </a:xfrm>
                    <a:prstGeom prst="rect">
                      <a:avLst/>
                    </a:prstGeom>
                    <a:noFill/>
                    <a:ln>
                      <a:noFill/>
                    </a:ln>
                  </pic:spPr>
                </pic:pic>
              </a:graphicData>
            </a:graphic>
          </wp:inline>
        </w:drawing>
      </w:r>
    </w:p>
    <w:p w14:paraId="3F0595F1" w14:textId="0FE268DD" w:rsidR="002A79DB" w:rsidRDefault="00A727F5" w:rsidP="00A727F5">
      <w:pPr>
        <w:spacing w:after="0"/>
        <w:ind w:left="426"/>
        <w:rPr>
          <w:i/>
          <w:sz w:val="20"/>
          <w:szCs w:val="20"/>
        </w:rPr>
      </w:pPr>
      <w:r>
        <w:rPr>
          <w:i/>
          <w:sz w:val="20"/>
          <w:szCs w:val="20"/>
        </w:rPr>
        <w:t>Fonte: e</w:t>
      </w:r>
      <w:r w:rsidR="005341CF" w:rsidRPr="002A79DB">
        <w:rPr>
          <w:i/>
          <w:sz w:val="20"/>
          <w:szCs w:val="20"/>
        </w:rPr>
        <w:t>labor</w:t>
      </w:r>
      <w:r w:rsidR="00462AA9" w:rsidRPr="002A79DB">
        <w:rPr>
          <w:i/>
          <w:sz w:val="20"/>
          <w:szCs w:val="20"/>
        </w:rPr>
        <w:t xml:space="preserve">azioni </w:t>
      </w:r>
      <w:r w:rsidR="002A79DB" w:rsidRPr="002A79DB">
        <w:rPr>
          <w:i/>
          <w:sz w:val="20"/>
          <w:szCs w:val="20"/>
        </w:rPr>
        <w:t xml:space="preserve">CREA </w:t>
      </w:r>
      <w:r w:rsidR="00A44BDE">
        <w:rPr>
          <w:i/>
          <w:sz w:val="20"/>
          <w:szCs w:val="20"/>
        </w:rPr>
        <w:t>-</w:t>
      </w:r>
      <w:r w:rsidR="00462AA9">
        <w:rPr>
          <w:i/>
          <w:sz w:val="20"/>
          <w:szCs w:val="20"/>
        </w:rPr>
        <w:t xml:space="preserve"> Centro Politiche e Bioeconomia </w:t>
      </w:r>
      <w:r w:rsidR="002A79DB" w:rsidRPr="002A79DB">
        <w:rPr>
          <w:i/>
          <w:sz w:val="20"/>
          <w:szCs w:val="20"/>
        </w:rPr>
        <w:t>su dati ISTAT Indagine SPA 201</w:t>
      </w:r>
      <w:r w:rsidR="001E30BB">
        <w:rPr>
          <w:i/>
          <w:sz w:val="20"/>
          <w:szCs w:val="20"/>
        </w:rPr>
        <w:t>6</w:t>
      </w:r>
    </w:p>
    <w:p w14:paraId="7BDDB16F" w14:textId="02ECF6A6" w:rsidR="00DE6DB1" w:rsidRDefault="00DE6DB1" w:rsidP="00A727F5">
      <w:pPr>
        <w:spacing w:after="0"/>
        <w:ind w:left="426"/>
        <w:rPr>
          <w:i/>
          <w:sz w:val="20"/>
          <w:szCs w:val="20"/>
        </w:rPr>
      </w:pPr>
    </w:p>
    <w:p w14:paraId="57BEF394" w14:textId="77777777" w:rsidR="00DE6DB1" w:rsidRDefault="00DE6DB1" w:rsidP="00A727F5">
      <w:pPr>
        <w:spacing w:after="0"/>
        <w:ind w:left="426"/>
        <w:rPr>
          <w:i/>
          <w:sz w:val="20"/>
          <w:szCs w:val="20"/>
        </w:rPr>
      </w:pPr>
    </w:p>
    <w:p w14:paraId="5456232E" w14:textId="08908C38" w:rsidR="00B13975" w:rsidRDefault="00B13975" w:rsidP="000C7F95">
      <w:pPr>
        <w:pStyle w:val="Titolo2"/>
        <w:numPr>
          <w:ilvl w:val="1"/>
          <w:numId w:val="1"/>
        </w:numPr>
      </w:pPr>
      <w:bookmarkStart w:id="14" w:name="_Toc22736704"/>
      <w:r>
        <w:lastRenderedPageBreak/>
        <w:t>Le caratteristiche delle aziende dei giovani</w:t>
      </w:r>
      <w:bookmarkEnd w:id="14"/>
    </w:p>
    <w:p w14:paraId="2C5FFEE9" w14:textId="3E3649EF" w:rsidR="00E51DE1" w:rsidRPr="00E51DE1" w:rsidRDefault="00DA4E83" w:rsidP="00283FFA">
      <w:pPr>
        <w:spacing w:after="120" w:line="240" w:lineRule="auto"/>
      </w:pPr>
      <w:r>
        <w:t xml:space="preserve">Di seguito vengono presentati i principali dati strutturali ed economici delle aziende </w:t>
      </w:r>
      <w:r w:rsidR="00845156">
        <w:t xml:space="preserve">agricole e in particolare di quelle </w:t>
      </w:r>
      <w:r>
        <w:t>condotte d</w:t>
      </w:r>
      <w:r w:rsidR="00845156">
        <w:t>i</w:t>
      </w:r>
      <w:r>
        <w:t xml:space="preserve">a giovani agricoltori. </w:t>
      </w:r>
      <w:r w:rsidR="00E51DE1">
        <w:t xml:space="preserve">Per una lettura completa </w:t>
      </w:r>
      <w:r w:rsidR="00BC482B">
        <w:t xml:space="preserve">del contesto territoriale in cui operano le imprese </w:t>
      </w:r>
      <w:r w:rsidR="00D45592">
        <w:t xml:space="preserve">agricole condotte da </w:t>
      </w:r>
      <w:r w:rsidR="00BC482B">
        <w:t>giovani</w:t>
      </w:r>
      <w:r w:rsidR="00D45592">
        <w:t xml:space="preserve"> e </w:t>
      </w:r>
      <w:proofErr w:type="gramStart"/>
      <w:r w:rsidR="00D45592">
        <w:t>non</w:t>
      </w:r>
      <w:proofErr w:type="gramEnd"/>
      <w:r w:rsidR="00D45592">
        <w:t>,</w:t>
      </w:r>
      <w:r w:rsidR="00BC482B">
        <w:t xml:space="preserve"> </w:t>
      </w:r>
      <w:r w:rsidR="00E51DE1">
        <w:t>si rimanda al Policy brief OS</w:t>
      </w:r>
      <w:r>
        <w:t xml:space="preserve">8 </w:t>
      </w:r>
      <w:r w:rsidR="00E51DE1">
        <w:t>“Aree rurali dinamiche”</w:t>
      </w:r>
      <w:r w:rsidR="00E820D1">
        <w:t>.</w:t>
      </w:r>
      <w:r w:rsidR="00BC482B">
        <w:t xml:space="preserve"> </w:t>
      </w:r>
    </w:p>
    <w:p w14:paraId="23331BC4" w14:textId="279183B3" w:rsidR="00BC77AC" w:rsidRDefault="002A7DFC" w:rsidP="00283FFA">
      <w:pPr>
        <w:pStyle w:val="Paragrafoelenco"/>
        <w:numPr>
          <w:ilvl w:val="0"/>
          <w:numId w:val="8"/>
        </w:numPr>
        <w:spacing w:after="120" w:line="240" w:lineRule="auto"/>
        <w:ind w:left="709" w:hanging="284"/>
        <w:contextualSpacing w:val="0"/>
      </w:pPr>
      <w:r>
        <w:t>Nel 2016</w:t>
      </w:r>
      <w:r w:rsidR="00980AD9">
        <w:t xml:space="preserve"> i dati dell’indagine ISTAT</w:t>
      </w:r>
      <w:r>
        <w:t xml:space="preserve"> </w:t>
      </w:r>
      <w:r w:rsidR="00980AD9">
        <w:t xml:space="preserve">evidenziano che </w:t>
      </w:r>
      <w:r>
        <w:t>i</w:t>
      </w:r>
      <w:r w:rsidR="00914A9D">
        <w:t xml:space="preserve"> giovani imprenditori gestiscono il 1</w:t>
      </w:r>
      <w:r w:rsidR="003B75CE">
        <w:t>6</w:t>
      </w:r>
      <w:r w:rsidR="00914A9D">
        <w:t>% della SAU totale</w:t>
      </w:r>
      <w:r w:rsidR="00C36FD0">
        <w:t xml:space="preserve"> (</w:t>
      </w:r>
      <w:r w:rsidR="00C36FD0" w:rsidRPr="00C36FD0">
        <w:rPr>
          <w:b/>
          <w:bCs/>
        </w:rPr>
        <w:t>Tabella 8</w:t>
      </w:r>
      <w:r w:rsidR="00C36FD0">
        <w:t>)</w:t>
      </w:r>
      <w:r w:rsidR="00914A9D">
        <w:t xml:space="preserve">. </w:t>
      </w:r>
      <w:r w:rsidR="00BC77AC">
        <w:t>Con una dimensione media di 18 ettari di SAU, l</w:t>
      </w:r>
      <w:r w:rsidR="00EA46E3" w:rsidRPr="00914A9D">
        <w:t xml:space="preserve">e imprese </w:t>
      </w:r>
      <w:r w:rsidR="00BC77AC">
        <w:t xml:space="preserve">dei giovani imprenditori superano i 10 ettari di media nazionale </w:t>
      </w:r>
      <w:r w:rsidR="00B01DC5">
        <w:t>in tutte le regioni ad eccezione della P.A di Bolzano</w:t>
      </w:r>
      <w:r w:rsidR="00BC77AC">
        <w:t>;</w:t>
      </w:r>
      <w:r w:rsidR="00B01DC5">
        <w:t xml:space="preserve"> sono soprattutto le regioni del nord est e la Sardegna a presentare dimensioni che superano i 25 ettari. </w:t>
      </w:r>
    </w:p>
    <w:p w14:paraId="0D2F2BC2" w14:textId="332D343B" w:rsidR="0050110F" w:rsidRDefault="00BC77AC" w:rsidP="00283FFA">
      <w:pPr>
        <w:pStyle w:val="Paragrafoelenco"/>
        <w:numPr>
          <w:ilvl w:val="0"/>
          <w:numId w:val="8"/>
        </w:numPr>
        <w:spacing w:after="120" w:line="240" w:lineRule="auto"/>
        <w:ind w:left="709" w:hanging="284"/>
        <w:contextualSpacing w:val="0"/>
      </w:pPr>
      <w:r>
        <w:t xml:space="preserve">Anche l’analisi </w:t>
      </w:r>
      <w:r w:rsidR="00C36FD0">
        <w:t>dei dati relativi a</w:t>
      </w:r>
      <w:r>
        <w:t xml:space="preserve">lla dimensione economica evidenzia </w:t>
      </w:r>
      <w:r w:rsidR="00EA46E3" w:rsidRPr="00914A9D">
        <w:t>una produzione</w:t>
      </w:r>
      <w:r w:rsidR="00286141">
        <w:t xml:space="preserve"> media</w:t>
      </w:r>
      <w:r w:rsidR="00EA46E3" w:rsidRPr="00914A9D">
        <w:t xml:space="preserve"> standard </w:t>
      </w:r>
      <w:r w:rsidR="00C36FD0">
        <w:t xml:space="preserve">per i giovani </w:t>
      </w:r>
      <w:r w:rsidR="009B52E1">
        <w:t xml:space="preserve">di </w:t>
      </w:r>
      <w:r w:rsidR="00FF3D74">
        <w:t xml:space="preserve">poco </w:t>
      </w:r>
      <w:r w:rsidR="00C36FD0">
        <w:t>superiore agli</w:t>
      </w:r>
      <w:r w:rsidR="00FF3D74">
        <w:t xml:space="preserve"> 80.000 </w:t>
      </w:r>
      <w:r w:rsidR="009B52E1">
        <w:t xml:space="preserve">euro </w:t>
      </w:r>
      <w:r w:rsidR="00C36FD0">
        <w:t xml:space="preserve">e </w:t>
      </w:r>
      <w:r w:rsidR="00EA46E3" w:rsidRPr="00914A9D">
        <w:t xml:space="preserve">pari </w:t>
      </w:r>
      <w:r w:rsidR="00FF3D74">
        <w:t>a</w:t>
      </w:r>
      <w:r w:rsidR="00286141">
        <w:t xml:space="preserve"> quasi</w:t>
      </w:r>
      <w:r w:rsidR="00EA46E3" w:rsidRPr="00914A9D">
        <w:t xml:space="preserve"> </w:t>
      </w:r>
      <w:r w:rsidR="00286141">
        <w:t xml:space="preserve">al </w:t>
      </w:r>
      <w:r w:rsidR="00EA46E3" w:rsidRPr="00914A9D">
        <w:t xml:space="preserve">doppio </w:t>
      </w:r>
      <w:r w:rsidR="00286141">
        <w:t xml:space="preserve">di quella rilevata per il </w:t>
      </w:r>
      <w:r w:rsidR="00EA46E3" w:rsidRPr="00914A9D">
        <w:t>totale delle imprese</w:t>
      </w:r>
      <w:r w:rsidR="00FC3933">
        <w:t xml:space="preserve"> (</w:t>
      </w:r>
      <w:r w:rsidR="00FC3933" w:rsidRPr="00D45592">
        <w:rPr>
          <w:b/>
          <w:bCs/>
        </w:rPr>
        <w:t xml:space="preserve">Tabella </w:t>
      </w:r>
      <w:r w:rsidR="00D45592" w:rsidRPr="00D45592">
        <w:rPr>
          <w:b/>
          <w:bCs/>
        </w:rPr>
        <w:t>8</w:t>
      </w:r>
      <w:r w:rsidR="00FC3933">
        <w:t>)</w:t>
      </w:r>
      <w:r w:rsidR="00EA46E3" w:rsidRPr="00914A9D">
        <w:t>.</w:t>
      </w:r>
      <w:r w:rsidR="003E5F81">
        <w:t xml:space="preserve"> </w:t>
      </w:r>
      <w:r w:rsidR="003047F2">
        <w:t xml:space="preserve">Tuttavia, a livello regionale l’analisi rileva importanti differenze: la produzione media standard </w:t>
      </w:r>
      <w:r w:rsidR="00B05863">
        <w:t xml:space="preserve">delle aziende condotte dai giovani </w:t>
      </w:r>
      <w:r w:rsidR="003047F2">
        <w:t>presenta valori importanti in Lombardia (con oltre 300.000 euro</w:t>
      </w:r>
      <w:r w:rsidR="00B05863">
        <w:t xml:space="preserve">) e in Veneto (con </w:t>
      </w:r>
      <w:r w:rsidR="003047F2">
        <w:t xml:space="preserve">236.945 </w:t>
      </w:r>
      <w:r w:rsidR="00B05863">
        <w:t>euro)</w:t>
      </w:r>
      <w:r w:rsidR="003047F2">
        <w:t xml:space="preserve">, supera i 110.000 in Piemonte, </w:t>
      </w:r>
      <w:r w:rsidR="00B05863">
        <w:t>Friuli-Venezia Giulia</w:t>
      </w:r>
      <w:r w:rsidR="003047F2">
        <w:t xml:space="preserve"> e in </w:t>
      </w:r>
      <w:r w:rsidR="00B05863">
        <w:t xml:space="preserve">Emilia-Romagna mentre in tutte le altre regioni si rilevano valori inferiori </w:t>
      </w:r>
      <w:proofErr w:type="gramStart"/>
      <w:r w:rsidR="00B05863">
        <w:t>al quello</w:t>
      </w:r>
      <w:proofErr w:type="gramEnd"/>
      <w:r w:rsidR="00B05863">
        <w:t xml:space="preserve"> della media nazionale.</w:t>
      </w:r>
    </w:p>
    <w:p w14:paraId="4DD61C48" w14:textId="74D04F07" w:rsidR="008F692F" w:rsidRPr="008F692F" w:rsidRDefault="008F692F" w:rsidP="001D04BC">
      <w:pPr>
        <w:spacing w:after="120"/>
        <w:ind w:left="426"/>
        <w:rPr>
          <w:b/>
          <w:bCs/>
        </w:rPr>
      </w:pPr>
      <w:r w:rsidRPr="008F692F">
        <w:rPr>
          <w:b/>
          <w:bCs/>
        </w:rPr>
        <w:t>8.</w:t>
      </w:r>
      <w:r w:rsidRPr="008F692F">
        <w:rPr>
          <w:b/>
          <w:bCs/>
        </w:rPr>
        <w:tab/>
        <w:t>Italia - Le imprese dei giovani (40 anni) rispetto al totale delle imprese - 2016</w:t>
      </w:r>
    </w:p>
    <w:p w14:paraId="0983D2A6" w14:textId="2D6DBC9E" w:rsidR="008F692F" w:rsidRDefault="008F692F" w:rsidP="008F692F">
      <w:pPr>
        <w:spacing w:after="60"/>
        <w:ind w:left="425"/>
      </w:pPr>
      <w:r>
        <w:rPr>
          <w:noProof/>
          <w:lang w:eastAsia="it-IT"/>
        </w:rPr>
        <w:drawing>
          <wp:inline distT="0" distB="0" distL="0" distR="0" wp14:anchorId="64ADFE4A" wp14:editId="79E0F7BA">
            <wp:extent cx="5431792" cy="457835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pic:nvPicPr>
                  <pic:blipFill>
                    <a:blip r:embed="rId18">
                      <a:extLst>
                        <a:ext uri="{28A0092B-C50C-407E-A947-70E740481C1C}">
                          <a14:useLocalDpi xmlns:a14="http://schemas.microsoft.com/office/drawing/2010/main" val="0"/>
                        </a:ext>
                      </a:extLst>
                    </a:blip>
                    <a:stretch>
                      <a:fillRect/>
                    </a:stretch>
                  </pic:blipFill>
                  <pic:spPr>
                    <a:xfrm>
                      <a:off x="0" y="0"/>
                      <a:ext cx="5431792" cy="4578350"/>
                    </a:xfrm>
                    <a:prstGeom prst="rect">
                      <a:avLst/>
                    </a:prstGeom>
                  </pic:spPr>
                </pic:pic>
              </a:graphicData>
            </a:graphic>
          </wp:inline>
        </w:drawing>
      </w:r>
    </w:p>
    <w:p w14:paraId="02F9812C" w14:textId="10E37D60" w:rsidR="008F692F" w:rsidRDefault="008F692F" w:rsidP="008F692F">
      <w:pPr>
        <w:spacing w:after="120"/>
        <w:ind w:firstLine="425"/>
        <w:rPr>
          <w:i/>
          <w:iCs/>
          <w:sz w:val="20"/>
          <w:szCs w:val="20"/>
        </w:rPr>
      </w:pPr>
      <w:r w:rsidRPr="008F692F">
        <w:rPr>
          <w:i/>
          <w:iCs/>
          <w:sz w:val="20"/>
          <w:szCs w:val="20"/>
        </w:rPr>
        <w:t>Fonte: elaborazione CREA – Centro Politiche e Bioeconomia su dati ISTAT Indagine SPA (2016)</w:t>
      </w:r>
    </w:p>
    <w:p w14:paraId="024D8F3D" w14:textId="747CD5F2" w:rsidR="00283FFA" w:rsidRDefault="00283FFA" w:rsidP="008F692F">
      <w:pPr>
        <w:spacing w:after="120"/>
        <w:ind w:firstLine="425"/>
        <w:rPr>
          <w:i/>
          <w:iCs/>
          <w:sz w:val="20"/>
          <w:szCs w:val="20"/>
        </w:rPr>
      </w:pPr>
    </w:p>
    <w:p w14:paraId="7428AD5C" w14:textId="77777777" w:rsidR="00283FFA" w:rsidRPr="008F692F" w:rsidRDefault="00283FFA" w:rsidP="008F692F">
      <w:pPr>
        <w:spacing w:after="120"/>
        <w:ind w:firstLine="425"/>
        <w:rPr>
          <w:i/>
          <w:iCs/>
          <w:sz w:val="20"/>
          <w:szCs w:val="20"/>
        </w:rPr>
      </w:pPr>
    </w:p>
    <w:p w14:paraId="76F4A2CE" w14:textId="699BED8D" w:rsidR="00C36FD0" w:rsidRDefault="00C36FD0" w:rsidP="00283FFA">
      <w:pPr>
        <w:pStyle w:val="Paragrafoelenco"/>
        <w:numPr>
          <w:ilvl w:val="0"/>
          <w:numId w:val="8"/>
        </w:numPr>
        <w:spacing w:after="120" w:line="240" w:lineRule="auto"/>
        <w:ind w:left="709" w:hanging="284"/>
        <w:contextualSpacing w:val="0"/>
      </w:pPr>
      <w:r>
        <w:lastRenderedPageBreak/>
        <w:t>Se i valor</w:t>
      </w:r>
      <w:r w:rsidR="00667DD0">
        <w:t>i</w:t>
      </w:r>
      <w:r>
        <w:t xml:space="preserve"> della produzione media standard </w:t>
      </w:r>
      <w:r w:rsidR="00667DD0">
        <w:t xml:space="preserve">per ettari di SAU rilevati per i giovani e </w:t>
      </w:r>
      <w:r w:rsidR="00911D7E">
        <w:t>per il</w:t>
      </w:r>
      <w:r w:rsidR="00667DD0">
        <w:t xml:space="preserve"> totale degli imprenditori non mostrano grandi differenze, </w:t>
      </w:r>
      <w:r w:rsidR="00667DD0" w:rsidRPr="006738FD">
        <w:t>l’analisi a livello regionale</w:t>
      </w:r>
      <w:r w:rsidR="00667DD0">
        <w:t xml:space="preserve"> evidenzia </w:t>
      </w:r>
      <w:r w:rsidR="003047F2">
        <w:t xml:space="preserve">valori diversificati: in Veneto e Lombardia </w:t>
      </w:r>
      <w:r w:rsidR="003047F2" w:rsidRPr="003047F2">
        <w:t>la produzione media standard per ettari di SAU</w:t>
      </w:r>
      <w:r w:rsidR="003047F2">
        <w:t xml:space="preserve"> dei giovani supera i 10.000 euro mentre valori inferiori ai 2.000 euro si rilevano in Basilicata, Sardegna e Valle d’Aosta.</w:t>
      </w:r>
      <w:r w:rsidR="00B05863">
        <w:t xml:space="preserve"> </w:t>
      </w:r>
    </w:p>
    <w:p w14:paraId="4D245E09" w14:textId="04F037CC" w:rsidR="002242F2" w:rsidRDefault="00B42C0C" w:rsidP="00283FFA">
      <w:pPr>
        <w:pStyle w:val="Paragrafoelenco"/>
        <w:numPr>
          <w:ilvl w:val="0"/>
          <w:numId w:val="8"/>
        </w:numPr>
        <w:spacing w:after="120" w:line="240" w:lineRule="auto"/>
        <w:ind w:left="709" w:hanging="284"/>
        <w:contextualSpacing w:val="0"/>
      </w:pPr>
      <w:r>
        <w:t>La lettura dei dati</w:t>
      </w:r>
      <w:r w:rsidR="003D75AA">
        <w:t xml:space="preserve"> ISTAT </w:t>
      </w:r>
      <w:r>
        <w:t>relativi alla dimensione economica delle imprese condotte da</w:t>
      </w:r>
      <w:r w:rsidR="00283FFA">
        <w:t>i</w:t>
      </w:r>
      <w:r>
        <w:t xml:space="preserve"> giovani </w:t>
      </w:r>
      <w:r w:rsidR="00980AD9">
        <w:t>rileva</w:t>
      </w:r>
      <w:r>
        <w:t xml:space="preserve">, </w:t>
      </w:r>
      <w:r w:rsidR="00980AD9">
        <w:t xml:space="preserve">per le </w:t>
      </w:r>
      <w:r>
        <w:t xml:space="preserve">classi intermedie di reddito, performance migliori rispetto </w:t>
      </w:r>
      <w:r w:rsidR="00C00440">
        <w:t>a quelle</w:t>
      </w:r>
      <w:r>
        <w:t xml:space="preserve"> rilevat</w:t>
      </w:r>
      <w:r w:rsidR="00C00440">
        <w:t>e</w:t>
      </w:r>
      <w:r>
        <w:t xml:space="preserve"> per gli imprenditori delle classi successive di età</w:t>
      </w:r>
      <w:r w:rsidR="00FC3933">
        <w:t xml:space="preserve"> (</w:t>
      </w:r>
      <w:r w:rsidR="00FC3933" w:rsidRPr="002242F2">
        <w:rPr>
          <w:b/>
          <w:bCs/>
        </w:rPr>
        <w:t xml:space="preserve">Tabella </w:t>
      </w:r>
      <w:r w:rsidR="00980AD9" w:rsidRPr="002242F2">
        <w:rPr>
          <w:b/>
          <w:bCs/>
        </w:rPr>
        <w:t>9</w:t>
      </w:r>
      <w:r w:rsidR="00FC3933">
        <w:t>)</w:t>
      </w:r>
      <w:r w:rsidR="003D75AA">
        <w:t>.</w:t>
      </w:r>
      <w:r w:rsidR="00FC3933" w:rsidRPr="00FC3933">
        <w:t xml:space="preserve"> </w:t>
      </w:r>
      <w:r w:rsidR="002242F2">
        <w:t xml:space="preserve">Solo il 29% delle imprese condotte da giovani presentano una dimensione economica inferiore agli 8.000 euro mentre il valore aumenta al 46% per la classe di età 41-64 e al 62% per la classe oltre dai 65 anni in poi. </w:t>
      </w:r>
    </w:p>
    <w:p w14:paraId="1B25EDCC" w14:textId="242A5599" w:rsidR="0050110F" w:rsidRDefault="007631B6" w:rsidP="00283FFA">
      <w:pPr>
        <w:pStyle w:val="Paragrafoelenco"/>
        <w:numPr>
          <w:ilvl w:val="0"/>
          <w:numId w:val="8"/>
        </w:numPr>
        <w:spacing w:after="120" w:line="240" w:lineRule="auto"/>
        <w:ind w:left="709" w:hanging="284"/>
        <w:contextualSpacing w:val="0"/>
      </w:pPr>
      <w:r w:rsidRPr="00286141">
        <w:t>Il valore di produzione standard contribuisce, insieme al dato relativo alla SAU</w:t>
      </w:r>
      <w:r>
        <w:t xml:space="preserve"> e alla dimensione economica</w:t>
      </w:r>
      <w:r w:rsidRPr="00286141">
        <w:t xml:space="preserve">, a formare l’idea </w:t>
      </w:r>
      <w:r>
        <w:t xml:space="preserve">che le </w:t>
      </w:r>
      <w:r w:rsidRPr="00286141">
        <w:t xml:space="preserve">imprese </w:t>
      </w:r>
      <w:r>
        <w:t xml:space="preserve">condotte dai giovani si presentino </w:t>
      </w:r>
      <w:r w:rsidRPr="00286141">
        <w:t xml:space="preserve">più competitive e capaci, a parità di condizioni, di garantire una produttività più elevata. </w:t>
      </w:r>
    </w:p>
    <w:p w14:paraId="15869247" w14:textId="1478E909" w:rsidR="001D04BC" w:rsidRPr="001D04BC" w:rsidRDefault="001D04BC" w:rsidP="001D04BC">
      <w:pPr>
        <w:spacing w:after="120"/>
        <w:ind w:left="426"/>
        <w:rPr>
          <w:b/>
          <w:bCs/>
        </w:rPr>
      </w:pPr>
      <w:r w:rsidRPr="001D04BC">
        <w:rPr>
          <w:b/>
          <w:bCs/>
        </w:rPr>
        <w:t>9.</w:t>
      </w:r>
      <w:r w:rsidRPr="001D04BC">
        <w:rPr>
          <w:b/>
          <w:bCs/>
        </w:rPr>
        <w:tab/>
        <w:t>Numero di aziende per classe di dimensione economica ed età del conduttore - 2016</w:t>
      </w:r>
    </w:p>
    <w:p w14:paraId="7EF9FE46" w14:textId="6C9589EC" w:rsidR="001D04BC" w:rsidRDefault="001D04BC" w:rsidP="001D04BC">
      <w:pPr>
        <w:spacing w:after="60"/>
        <w:ind w:left="425"/>
      </w:pPr>
      <w:r>
        <w:rPr>
          <w:noProof/>
          <w:lang w:eastAsia="it-IT"/>
        </w:rPr>
        <w:drawing>
          <wp:inline distT="0" distB="0" distL="0" distR="0" wp14:anchorId="67BBEFD5" wp14:editId="3A387CBD">
            <wp:extent cx="6023610" cy="166433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pic:nvPicPr>
                  <pic:blipFill>
                    <a:blip r:embed="rId19">
                      <a:extLst>
                        <a:ext uri="{28A0092B-C50C-407E-A947-70E740481C1C}">
                          <a14:useLocalDpi xmlns:a14="http://schemas.microsoft.com/office/drawing/2010/main" val="0"/>
                        </a:ext>
                      </a:extLst>
                    </a:blip>
                    <a:stretch>
                      <a:fillRect/>
                    </a:stretch>
                  </pic:blipFill>
                  <pic:spPr>
                    <a:xfrm>
                      <a:off x="0" y="0"/>
                      <a:ext cx="6023610" cy="1664335"/>
                    </a:xfrm>
                    <a:prstGeom prst="rect">
                      <a:avLst/>
                    </a:prstGeom>
                  </pic:spPr>
                </pic:pic>
              </a:graphicData>
            </a:graphic>
          </wp:inline>
        </w:drawing>
      </w:r>
    </w:p>
    <w:p w14:paraId="2A709473" w14:textId="645B934C" w:rsidR="001D04BC" w:rsidRPr="001D04BC" w:rsidRDefault="001D04BC" w:rsidP="001D04BC">
      <w:pPr>
        <w:spacing w:after="60"/>
        <w:ind w:left="425"/>
        <w:rPr>
          <w:i/>
          <w:iCs/>
          <w:sz w:val="20"/>
          <w:szCs w:val="20"/>
        </w:rPr>
      </w:pPr>
      <w:r w:rsidRPr="001D04BC">
        <w:rPr>
          <w:i/>
          <w:iCs/>
          <w:sz w:val="20"/>
          <w:szCs w:val="20"/>
        </w:rPr>
        <w:t>Fonte: elaborazioni CREA – Centro Politiche e Bioeconomia su dati ISTAT Indagine SPA (2016)</w:t>
      </w:r>
    </w:p>
    <w:p w14:paraId="22B20712" w14:textId="0722934C" w:rsidR="001D04BC" w:rsidRPr="001D04BC" w:rsidRDefault="001D04BC" w:rsidP="00283FFA">
      <w:pPr>
        <w:spacing w:after="120"/>
        <w:ind w:left="426"/>
        <w:rPr>
          <w:i/>
          <w:iCs/>
          <w:sz w:val="20"/>
          <w:szCs w:val="20"/>
        </w:rPr>
      </w:pPr>
      <w:proofErr w:type="spellStart"/>
      <w:r w:rsidRPr="001D04BC">
        <w:rPr>
          <w:i/>
          <w:iCs/>
          <w:sz w:val="20"/>
          <w:szCs w:val="20"/>
        </w:rPr>
        <w:t>n.d.</w:t>
      </w:r>
      <w:proofErr w:type="spellEnd"/>
      <w:r w:rsidRPr="001D04BC">
        <w:rPr>
          <w:i/>
          <w:iCs/>
          <w:sz w:val="20"/>
          <w:szCs w:val="20"/>
        </w:rPr>
        <w:t xml:space="preserve"> L'informazione manca nei casi in cui il capo azienda non coincide con il conduttore.</w:t>
      </w:r>
    </w:p>
    <w:p w14:paraId="5E1B400A" w14:textId="653783CD" w:rsidR="00FE6C49" w:rsidRDefault="00FC3933" w:rsidP="00283FFA">
      <w:pPr>
        <w:pStyle w:val="Paragrafoelenco"/>
        <w:numPr>
          <w:ilvl w:val="0"/>
          <w:numId w:val="8"/>
        </w:numPr>
        <w:spacing w:after="120" w:line="240" w:lineRule="auto"/>
        <w:ind w:left="709" w:hanging="284"/>
        <w:contextualSpacing w:val="0"/>
      </w:pPr>
      <w:r w:rsidRPr="00886BD3">
        <w:t>Sulla base dei dati Eurostat per il 2016 si rileva una dimensione economica delle imprese condotte da giovani fino a 35 anni di poco al di sotto dei 100.000 euro</w:t>
      </w:r>
      <w:r w:rsidR="009144EC">
        <w:t xml:space="preserve"> (</w:t>
      </w:r>
      <w:r w:rsidR="009144EC" w:rsidRPr="009144EC">
        <w:rPr>
          <w:b/>
          <w:bCs/>
        </w:rPr>
        <w:t>Grafico 10</w:t>
      </w:r>
      <w:r w:rsidR="009144EC">
        <w:t>)</w:t>
      </w:r>
      <w:r w:rsidR="00FE6C49">
        <w:t>.</w:t>
      </w:r>
      <w:r w:rsidR="00E55E64">
        <w:t xml:space="preserve"> </w:t>
      </w:r>
      <w:r w:rsidR="00FE6C49">
        <w:t>Il valore della dimensione economica delle imprese condotte dai giovani risulta</w:t>
      </w:r>
      <w:r w:rsidR="00FE6C49" w:rsidRPr="00886BD3">
        <w:t xml:space="preserve"> maggiore rispetto a </w:t>
      </w:r>
      <w:r w:rsidR="00FE6C49">
        <w:t>quanto</w:t>
      </w:r>
      <w:r w:rsidR="00FE6C49" w:rsidRPr="00886BD3">
        <w:t xml:space="preserve"> rilevato per le imprese condotte da imprenditori di età più “matura” e al valore medio europeo che si attesta intorno ai 55 mila euro.</w:t>
      </w:r>
    </w:p>
    <w:p w14:paraId="57A4F2ED" w14:textId="76B72CCF" w:rsidR="00FC3933" w:rsidRDefault="00FE6C49" w:rsidP="00283FFA">
      <w:pPr>
        <w:pStyle w:val="Paragrafoelenco"/>
        <w:numPr>
          <w:ilvl w:val="0"/>
          <w:numId w:val="8"/>
        </w:numPr>
        <w:spacing w:after="120" w:line="240" w:lineRule="auto"/>
        <w:ind w:left="709" w:hanging="284"/>
        <w:contextualSpacing w:val="0"/>
      </w:pPr>
      <w:r>
        <w:t xml:space="preserve">Tra il 2013 e il 2016 si rileva </w:t>
      </w:r>
      <w:proofErr w:type="gramStart"/>
      <w:r>
        <w:t xml:space="preserve">un </w:t>
      </w:r>
      <w:r w:rsidRPr="00886BD3">
        <w:t>trend positivo</w:t>
      </w:r>
      <w:proofErr w:type="gramEnd"/>
      <w:r w:rsidRPr="00886BD3">
        <w:t xml:space="preserve"> </w:t>
      </w:r>
      <w:r>
        <w:t>per tutte le classi di età degli imprenditori a eccezione di quella degli over 65. Le variazioni più rilevanti si riscontrano per le imprese condotte dai giovani che riportano</w:t>
      </w:r>
      <w:r w:rsidR="00E55E64">
        <w:t xml:space="preserve"> un incremento del 25%</w:t>
      </w:r>
      <w:r>
        <w:t xml:space="preserve"> mentre quelle </w:t>
      </w:r>
      <w:r w:rsidR="00E55E64">
        <w:t>e condotte da imprenditori con età</w:t>
      </w:r>
      <w:r>
        <w:t xml:space="preserve"> compresa</w:t>
      </w:r>
      <w:r w:rsidR="00E55E64">
        <w:t xml:space="preserve"> tra i 45 e i 54 </w:t>
      </w:r>
      <w:r>
        <w:t>una variazione del 10%. Nelle altre classi di età l’incremento si aggira tra il 2 e il 3</w:t>
      </w:r>
      <w:r w:rsidR="00283FFA">
        <w:t>%</w:t>
      </w:r>
      <w:r w:rsidR="00E55E64">
        <w:t xml:space="preserve">. </w:t>
      </w:r>
      <w:r w:rsidR="00FC3933">
        <w:t>(</w:t>
      </w:r>
      <w:r w:rsidR="00FC3933" w:rsidRPr="002242F2">
        <w:rPr>
          <w:b/>
          <w:bCs/>
        </w:rPr>
        <w:t xml:space="preserve">Grafico </w:t>
      </w:r>
      <w:r w:rsidR="00980AD9" w:rsidRPr="002242F2">
        <w:rPr>
          <w:b/>
          <w:bCs/>
        </w:rPr>
        <w:t>10</w:t>
      </w:r>
      <w:r w:rsidR="00FC3933">
        <w:t>)</w:t>
      </w:r>
      <w:r w:rsidR="00FC3933" w:rsidRPr="00886BD3">
        <w:t>.</w:t>
      </w:r>
    </w:p>
    <w:p w14:paraId="5FDF2D86" w14:textId="77777777" w:rsidR="00DE6DB1" w:rsidRDefault="00DE6DB1" w:rsidP="00283FFA">
      <w:pPr>
        <w:spacing w:after="120" w:line="240" w:lineRule="auto"/>
        <w:ind w:firstLine="426"/>
        <w:rPr>
          <w:i/>
          <w:sz w:val="20"/>
          <w:szCs w:val="20"/>
        </w:rPr>
      </w:pPr>
    </w:p>
    <w:p w14:paraId="31183094" w14:textId="77FF075A" w:rsidR="00230F8B" w:rsidRDefault="00230F8B" w:rsidP="00A727F5">
      <w:pPr>
        <w:tabs>
          <w:tab w:val="left" w:pos="426"/>
        </w:tabs>
        <w:spacing w:after="0"/>
        <w:ind w:left="426"/>
        <w:rPr>
          <w:i/>
          <w:sz w:val="20"/>
          <w:szCs w:val="20"/>
        </w:rPr>
      </w:pPr>
    </w:p>
    <w:p w14:paraId="58C383DA" w14:textId="1E4D408D" w:rsidR="00C36FD0" w:rsidRDefault="00C36FD0">
      <w:pPr>
        <w:jc w:val="left"/>
        <w:rPr>
          <w:i/>
          <w:sz w:val="20"/>
          <w:szCs w:val="20"/>
        </w:rPr>
      </w:pPr>
    </w:p>
    <w:p w14:paraId="14B22B08" w14:textId="1229822A" w:rsidR="0050110F" w:rsidRDefault="0050110F">
      <w:pPr>
        <w:jc w:val="left"/>
        <w:rPr>
          <w:i/>
          <w:sz w:val="20"/>
          <w:szCs w:val="20"/>
        </w:rPr>
      </w:pPr>
    </w:p>
    <w:p w14:paraId="5D7337D5" w14:textId="77777777" w:rsidR="0050110F" w:rsidRDefault="0050110F">
      <w:pPr>
        <w:jc w:val="left"/>
        <w:rPr>
          <w:i/>
          <w:sz w:val="20"/>
          <w:szCs w:val="20"/>
        </w:rPr>
      </w:pPr>
    </w:p>
    <w:p w14:paraId="4725C9C0" w14:textId="77777777" w:rsidR="00283FFA" w:rsidRDefault="00283FFA" w:rsidP="00283FFA">
      <w:pPr>
        <w:pStyle w:val="Paragrafoelenco"/>
        <w:spacing w:after="0"/>
        <w:ind w:left="786"/>
        <w:rPr>
          <w:b/>
        </w:rPr>
      </w:pPr>
    </w:p>
    <w:p w14:paraId="5F6D8C37" w14:textId="77777777" w:rsidR="00283FFA" w:rsidRPr="00283FFA" w:rsidRDefault="00283FFA" w:rsidP="00283FFA">
      <w:pPr>
        <w:spacing w:after="0"/>
        <w:rPr>
          <w:b/>
        </w:rPr>
      </w:pPr>
    </w:p>
    <w:p w14:paraId="58BAA1A0" w14:textId="77777777" w:rsidR="00283FFA" w:rsidRPr="00283FFA" w:rsidRDefault="00283FFA" w:rsidP="00283FFA">
      <w:pPr>
        <w:spacing w:after="0"/>
        <w:rPr>
          <w:b/>
        </w:rPr>
      </w:pPr>
    </w:p>
    <w:p w14:paraId="0526B8EB" w14:textId="77777777" w:rsidR="00283FFA" w:rsidRPr="00283FFA" w:rsidRDefault="00283FFA" w:rsidP="00283FFA">
      <w:pPr>
        <w:spacing w:after="0"/>
        <w:rPr>
          <w:b/>
        </w:rPr>
      </w:pPr>
    </w:p>
    <w:p w14:paraId="125FC53C" w14:textId="0AD76ABE" w:rsidR="00230F8B" w:rsidRPr="001D04BC" w:rsidRDefault="00230F8B" w:rsidP="00E347BE">
      <w:pPr>
        <w:pStyle w:val="Paragrafoelenco"/>
        <w:numPr>
          <w:ilvl w:val="0"/>
          <w:numId w:val="28"/>
        </w:numPr>
        <w:spacing w:after="0"/>
        <w:rPr>
          <w:b/>
        </w:rPr>
      </w:pPr>
      <w:r w:rsidRPr="001D04BC">
        <w:rPr>
          <w:b/>
        </w:rPr>
        <w:lastRenderedPageBreak/>
        <w:t>Evoluzione della dimensione economica delle imprese per classi di età (€)</w:t>
      </w:r>
    </w:p>
    <w:p w14:paraId="7F1E5959" w14:textId="2923AA93" w:rsidR="00230F8B" w:rsidRPr="00A727F5" w:rsidRDefault="00A727F5" w:rsidP="00A727F5">
      <w:pPr>
        <w:tabs>
          <w:tab w:val="left" w:pos="426"/>
        </w:tabs>
        <w:spacing w:after="0"/>
        <w:ind w:left="426"/>
        <w:rPr>
          <w:i/>
          <w:sz w:val="20"/>
          <w:szCs w:val="20"/>
        </w:rPr>
      </w:pPr>
      <w:r>
        <w:rPr>
          <w:noProof/>
          <w:lang w:eastAsia="it-IT"/>
        </w:rPr>
        <w:drawing>
          <wp:inline distT="0" distB="0" distL="0" distR="0" wp14:anchorId="5853A351" wp14:editId="2CDD5AF6">
            <wp:extent cx="6013450" cy="3733800"/>
            <wp:effectExtent l="0" t="0" r="6350" b="0"/>
            <wp:docPr id="1" name="Grafico 1">
              <a:extLst xmlns:a="http://schemas.openxmlformats.org/drawingml/2006/main">
                <a:ext uri="{FF2B5EF4-FFF2-40B4-BE49-F238E27FC236}">
                  <a16:creationId xmlns:a16="http://schemas.microsoft.com/office/drawing/2014/main" id="{725AE8B1-B868-4AC4-95F3-FBF86A62F8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A56A145" w14:textId="328AEFC1" w:rsidR="00230F8B" w:rsidRPr="00230F8B" w:rsidRDefault="00A727F5" w:rsidP="00A727F5">
      <w:pPr>
        <w:ind w:firstLine="357"/>
        <w:rPr>
          <w:i/>
          <w:sz w:val="20"/>
          <w:szCs w:val="20"/>
        </w:rPr>
      </w:pPr>
      <w:bookmarkStart w:id="15" w:name="_Hlk12366393"/>
      <w:r>
        <w:rPr>
          <w:i/>
          <w:sz w:val="20"/>
          <w:szCs w:val="20"/>
        </w:rPr>
        <w:t>Fonte: e</w:t>
      </w:r>
      <w:r w:rsidR="00230F8B" w:rsidRPr="00230F8B">
        <w:rPr>
          <w:i/>
          <w:sz w:val="20"/>
          <w:szCs w:val="20"/>
        </w:rPr>
        <w:t>laborazione CREA</w:t>
      </w:r>
      <w:r w:rsidR="00C00440">
        <w:rPr>
          <w:i/>
          <w:sz w:val="20"/>
          <w:szCs w:val="20"/>
        </w:rPr>
        <w:t xml:space="preserve"> – Centro Politiche e Bioeconomia</w:t>
      </w:r>
      <w:r w:rsidR="00230F8B" w:rsidRPr="00230F8B">
        <w:rPr>
          <w:i/>
          <w:sz w:val="20"/>
          <w:szCs w:val="20"/>
        </w:rPr>
        <w:t xml:space="preserve"> su dati Eurostat</w:t>
      </w:r>
    </w:p>
    <w:bookmarkEnd w:id="15"/>
    <w:p w14:paraId="7875AA4E" w14:textId="6E135087" w:rsidR="00CA5A75" w:rsidRPr="00D604BE" w:rsidRDefault="00CA5A75" w:rsidP="000C7F95">
      <w:pPr>
        <w:pStyle w:val="Paragrafoelenco"/>
        <w:numPr>
          <w:ilvl w:val="0"/>
          <w:numId w:val="9"/>
        </w:numPr>
        <w:spacing w:before="120" w:after="0"/>
        <w:ind w:left="714" w:hanging="357"/>
        <w:contextualSpacing w:val="0"/>
        <w:rPr>
          <w:b/>
        </w:rPr>
      </w:pPr>
      <w:r>
        <w:t xml:space="preserve">La lettura dei dati relativi all’orientamento produttivo delle imprese giovanile </w:t>
      </w:r>
      <w:r w:rsidR="00C903ED">
        <w:t>conferma per il 2016</w:t>
      </w:r>
      <w:r>
        <w:t xml:space="preserve"> </w:t>
      </w:r>
      <w:r w:rsidR="003F0CD8">
        <w:t>il crescente interesse</w:t>
      </w:r>
      <w:r w:rsidR="00B24D1D">
        <w:t xml:space="preserve"> da parte</w:t>
      </w:r>
      <w:r>
        <w:t xml:space="preserve"> dei giovani nei confronti </w:t>
      </w:r>
      <w:proofErr w:type="gramStart"/>
      <w:r w:rsidR="000963A8">
        <w:t>del poli</w:t>
      </w:r>
      <w:proofErr w:type="gramEnd"/>
      <w:r w:rsidR="000963A8">
        <w:t xml:space="preserve"> allevamento </w:t>
      </w:r>
      <w:r w:rsidR="00B24D1D">
        <w:t>e dell’allevamento di erbivori</w:t>
      </w:r>
      <w:r w:rsidR="00D604BE">
        <w:t xml:space="preserve"> (</w:t>
      </w:r>
      <w:r w:rsidR="00D604BE" w:rsidRPr="00D604BE">
        <w:rPr>
          <w:b/>
          <w:bCs/>
        </w:rPr>
        <w:t>Grafico 11</w:t>
      </w:r>
      <w:r w:rsidR="00D604BE">
        <w:t>)</w:t>
      </w:r>
      <w:r w:rsidR="00B24D1D">
        <w:t xml:space="preserve">. </w:t>
      </w:r>
      <w:r w:rsidR="00D604BE">
        <w:t xml:space="preserve">Rilevante è anche il dato relativo alle imprese cosiddette “miste” che </w:t>
      </w:r>
      <w:r w:rsidR="00D604BE" w:rsidRPr="00D604BE">
        <w:t>mettono a produzione in modo non specialistico o univoco più tipologie di colture (in pieno campo, legnose, vivaistiche, terricole e ortive).</w:t>
      </w:r>
      <w:r w:rsidR="00A92BFB">
        <w:t xml:space="preserve"> Tuttavia, si segnala che il 43% delle giovani donne imprenditrici conduce aziende specializzate in colture permanenti e il 26% in seminativi mentre il 43% dei poli allevamenti è condotto dai giovani imprenditori maschi.</w:t>
      </w:r>
    </w:p>
    <w:p w14:paraId="7472BD9A" w14:textId="5B0F26D8" w:rsidR="00D604BE" w:rsidRPr="0087438A" w:rsidRDefault="0087438A" w:rsidP="000C7F95">
      <w:pPr>
        <w:pStyle w:val="Paragrafoelenco"/>
        <w:numPr>
          <w:ilvl w:val="0"/>
          <w:numId w:val="9"/>
        </w:numPr>
        <w:spacing w:before="120" w:after="0"/>
        <w:ind w:left="714" w:hanging="357"/>
        <w:contextualSpacing w:val="0"/>
        <w:rPr>
          <w:bCs/>
        </w:rPr>
      </w:pPr>
      <w:r w:rsidRPr="0087438A">
        <w:rPr>
          <w:bCs/>
        </w:rPr>
        <w:t>Nel 2016</w:t>
      </w:r>
      <w:r>
        <w:rPr>
          <w:bCs/>
        </w:rPr>
        <w:t xml:space="preserve"> i dati ISTAT evidenziano che</w:t>
      </w:r>
      <w:r w:rsidRPr="0087438A">
        <w:rPr>
          <w:bCs/>
        </w:rPr>
        <w:t xml:space="preserve"> il 21% dei gio</w:t>
      </w:r>
      <w:r>
        <w:rPr>
          <w:bCs/>
        </w:rPr>
        <w:t>vani imprenditori conduce la propria azienda seguendo il regime biologico</w:t>
      </w:r>
      <w:r w:rsidR="00A2753D">
        <w:rPr>
          <w:bCs/>
        </w:rPr>
        <w:t>; solo l’8% di essi ha scelto di produrre secondo il metodo convenzionale</w:t>
      </w:r>
      <w:r>
        <w:rPr>
          <w:bCs/>
        </w:rPr>
        <w:t>.</w:t>
      </w:r>
    </w:p>
    <w:p w14:paraId="55137529" w14:textId="7DE06B07" w:rsidR="00811706" w:rsidRPr="00CA5A75" w:rsidRDefault="00811706" w:rsidP="000C7F95">
      <w:pPr>
        <w:pStyle w:val="Paragrafoelenco"/>
        <w:numPr>
          <w:ilvl w:val="0"/>
          <w:numId w:val="9"/>
        </w:numPr>
        <w:spacing w:before="120" w:after="0"/>
        <w:ind w:left="714" w:hanging="357"/>
        <w:contextualSpacing w:val="0"/>
        <w:rPr>
          <w:b/>
        </w:rPr>
      </w:pPr>
      <w:r>
        <w:t xml:space="preserve">Con riferimento alle attività connesse a quella agricola si rileva l’orientamento </w:t>
      </w:r>
      <w:r w:rsidR="00F57E17">
        <w:t xml:space="preserve">dei giovani </w:t>
      </w:r>
      <w:r>
        <w:t xml:space="preserve">verso </w:t>
      </w:r>
      <w:r w:rsidR="00341AFB">
        <w:t xml:space="preserve">i servizi sanitari, sociali </w:t>
      </w:r>
      <w:proofErr w:type="gramStart"/>
      <w:r w:rsidR="00341AFB">
        <w:t>e</w:t>
      </w:r>
      <w:r w:rsidR="00510C57">
        <w:t>d</w:t>
      </w:r>
      <w:proofErr w:type="gramEnd"/>
      <w:r w:rsidR="00341AFB">
        <w:t xml:space="preserve"> educativi</w:t>
      </w:r>
      <w:r>
        <w:t xml:space="preserve"> (</w:t>
      </w:r>
      <w:r w:rsidR="00341AFB">
        <w:t>30</w:t>
      </w:r>
      <w:r>
        <w:t xml:space="preserve">%), </w:t>
      </w:r>
      <w:r w:rsidR="00341AFB">
        <w:t xml:space="preserve">il turismo (26%), la lavorazione </w:t>
      </w:r>
      <w:r w:rsidR="00510C57">
        <w:t xml:space="preserve">dei prodotti agricoli </w:t>
      </w:r>
      <w:r w:rsidR="00A92BFB">
        <w:t xml:space="preserve">(22%) seguita da quella </w:t>
      </w:r>
      <w:r w:rsidR="00341AFB">
        <w:t>del legno</w:t>
      </w:r>
      <w:r w:rsidR="00A92BFB">
        <w:t xml:space="preserve"> e </w:t>
      </w:r>
      <w:r w:rsidR="00341AFB">
        <w:t>il contoterzismo si</w:t>
      </w:r>
      <w:r w:rsidR="00401710">
        <w:t>a</w:t>
      </w:r>
      <w:r w:rsidR="00341AFB">
        <w:t xml:space="preserve"> in altre aziende </w:t>
      </w:r>
      <w:r w:rsidR="002F2015">
        <w:t>sia</w:t>
      </w:r>
      <w:r w:rsidR="00341AFB">
        <w:t xml:space="preserve"> in attività non agricole (21%). </w:t>
      </w:r>
      <w:r w:rsidR="002F2015">
        <w:t>Basso è invece l’interesse mostrato nei confronti dell’acquacoltura e dell’artigianato portati avanti soprattutto dagli imprenditori della classe di età successiva</w:t>
      </w:r>
      <w:r w:rsidR="00A207F9">
        <w:t>.</w:t>
      </w:r>
      <w:r w:rsidR="002F2015">
        <w:t xml:space="preserve"> </w:t>
      </w:r>
      <w:r>
        <w:t>In crescita,</w:t>
      </w:r>
      <w:r w:rsidR="00A621B6">
        <w:t xml:space="preserve"> negli ultimi anni,</w:t>
      </w:r>
      <w:r>
        <w:t xml:space="preserve"> l’avvio della produzione di energia rinnovabile</w:t>
      </w:r>
      <w:r w:rsidR="00FC3933">
        <w:t xml:space="preserve"> (</w:t>
      </w:r>
      <w:r w:rsidR="00FC3933" w:rsidRPr="00A2753D">
        <w:rPr>
          <w:b/>
          <w:bCs/>
        </w:rPr>
        <w:t>Grafico 1</w:t>
      </w:r>
      <w:r w:rsidR="00A2753D" w:rsidRPr="00A2753D">
        <w:rPr>
          <w:b/>
          <w:bCs/>
        </w:rPr>
        <w:t>2</w:t>
      </w:r>
      <w:r w:rsidR="00FC3933">
        <w:t>)</w:t>
      </w:r>
      <w:r w:rsidR="006357E1">
        <w:t>.</w:t>
      </w:r>
    </w:p>
    <w:p w14:paraId="6682856D" w14:textId="77777777" w:rsidR="00CA5A75" w:rsidRDefault="00CA5A75" w:rsidP="00CA5A75">
      <w:pPr>
        <w:spacing w:after="0"/>
        <w:rPr>
          <w:b/>
        </w:rPr>
      </w:pPr>
    </w:p>
    <w:p w14:paraId="68CC58CE" w14:textId="77777777" w:rsidR="000B325D" w:rsidRDefault="000B325D">
      <w:pPr>
        <w:jc w:val="left"/>
        <w:rPr>
          <w:b/>
        </w:rPr>
      </w:pPr>
      <w:r>
        <w:rPr>
          <w:b/>
        </w:rPr>
        <w:br w:type="page"/>
      </w:r>
    </w:p>
    <w:p w14:paraId="6D2F4D57" w14:textId="62CC23ED" w:rsidR="00230F8B" w:rsidRPr="00D604BE" w:rsidRDefault="009C4468" w:rsidP="00E347BE">
      <w:pPr>
        <w:pStyle w:val="Paragrafoelenco"/>
        <w:numPr>
          <w:ilvl w:val="0"/>
          <w:numId w:val="28"/>
        </w:numPr>
        <w:spacing w:after="0"/>
        <w:rPr>
          <w:b/>
        </w:rPr>
      </w:pPr>
      <w:r w:rsidRPr="00D604BE">
        <w:rPr>
          <w:b/>
        </w:rPr>
        <w:lastRenderedPageBreak/>
        <w:t xml:space="preserve">Italia - </w:t>
      </w:r>
      <w:r w:rsidR="00CA5A75" w:rsidRPr="00D604BE">
        <w:rPr>
          <w:b/>
        </w:rPr>
        <w:t>L’orientamento tecnico economico delle imprese dei giovani</w:t>
      </w:r>
      <w:r w:rsidR="00EA0830" w:rsidRPr="00D604BE">
        <w:rPr>
          <w:b/>
        </w:rPr>
        <w:t xml:space="preserve"> </w:t>
      </w:r>
      <w:r w:rsidR="002A7DFC" w:rsidRPr="00D604BE">
        <w:rPr>
          <w:b/>
        </w:rPr>
        <w:t xml:space="preserve">- </w:t>
      </w:r>
      <w:r w:rsidR="00EA0830" w:rsidRPr="00D604BE">
        <w:rPr>
          <w:b/>
        </w:rPr>
        <w:t>2016</w:t>
      </w:r>
    </w:p>
    <w:p w14:paraId="4AB701FC" w14:textId="20BCF7DB" w:rsidR="00230F8B" w:rsidRPr="00230F8B" w:rsidRDefault="00FC4B9F" w:rsidP="00D604BE">
      <w:pPr>
        <w:spacing w:after="60"/>
        <w:ind w:left="425"/>
      </w:pPr>
      <w:r>
        <w:rPr>
          <w:noProof/>
          <w:lang w:eastAsia="it-IT"/>
        </w:rPr>
        <w:drawing>
          <wp:inline distT="0" distB="0" distL="0" distR="0" wp14:anchorId="6D9D4D9C" wp14:editId="6425937C">
            <wp:extent cx="6013451" cy="2833903"/>
            <wp:effectExtent l="0" t="0" r="6350" b="508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pic:nvPicPr>
                  <pic:blipFill>
                    <a:blip r:embed="rId21">
                      <a:extLst>
                        <a:ext uri="{28A0092B-C50C-407E-A947-70E740481C1C}">
                          <a14:useLocalDpi xmlns:a14="http://schemas.microsoft.com/office/drawing/2010/main" val="0"/>
                        </a:ext>
                      </a:extLst>
                    </a:blip>
                    <a:stretch>
                      <a:fillRect/>
                    </a:stretch>
                  </pic:blipFill>
                  <pic:spPr>
                    <a:xfrm>
                      <a:off x="0" y="0"/>
                      <a:ext cx="6013451" cy="2833903"/>
                    </a:xfrm>
                    <a:prstGeom prst="rect">
                      <a:avLst/>
                    </a:prstGeom>
                  </pic:spPr>
                </pic:pic>
              </a:graphicData>
            </a:graphic>
          </wp:inline>
        </w:drawing>
      </w:r>
    </w:p>
    <w:p w14:paraId="69D3F24B" w14:textId="06FC9389" w:rsidR="00811706" w:rsidRPr="00230F8B" w:rsidRDefault="00A727F5" w:rsidP="00A727F5">
      <w:pPr>
        <w:spacing w:after="0"/>
        <w:ind w:firstLine="426"/>
        <w:rPr>
          <w:i/>
          <w:sz w:val="20"/>
          <w:szCs w:val="20"/>
        </w:rPr>
      </w:pPr>
      <w:r>
        <w:rPr>
          <w:i/>
          <w:sz w:val="20"/>
          <w:szCs w:val="20"/>
        </w:rPr>
        <w:t>Fonte: e</w:t>
      </w:r>
      <w:r w:rsidR="00811706" w:rsidRPr="00230F8B">
        <w:rPr>
          <w:i/>
          <w:sz w:val="20"/>
          <w:szCs w:val="20"/>
        </w:rPr>
        <w:t>laborazione CREA</w:t>
      </w:r>
      <w:r w:rsidR="00811706">
        <w:rPr>
          <w:i/>
          <w:sz w:val="20"/>
          <w:szCs w:val="20"/>
        </w:rPr>
        <w:t xml:space="preserve"> – Centro Politiche e Bioeconomia</w:t>
      </w:r>
      <w:r w:rsidR="00811706" w:rsidRPr="00230F8B">
        <w:rPr>
          <w:i/>
          <w:sz w:val="20"/>
          <w:szCs w:val="20"/>
        </w:rPr>
        <w:t xml:space="preserve"> su dati </w:t>
      </w:r>
      <w:r w:rsidR="00811706">
        <w:rPr>
          <w:i/>
          <w:sz w:val="20"/>
          <w:szCs w:val="20"/>
        </w:rPr>
        <w:t>ISTAT Indagine SPA</w:t>
      </w:r>
    </w:p>
    <w:p w14:paraId="0303079C" w14:textId="77777777" w:rsidR="00230F8B" w:rsidRDefault="00230F8B" w:rsidP="00811706">
      <w:pPr>
        <w:spacing w:after="0"/>
        <w:rPr>
          <w:b/>
        </w:rPr>
      </w:pPr>
    </w:p>
    <w:p w14:paraId="26478F6A" w14:textId="23DB0342" w:rsidR="00811706" w:rsidRPr="00D604BE" w:rsidRDefault="009C4468" w:rsidP="00E347BE">
      <w:pPr>
        <w:pStyle w:val="Paragrafoelenco"/>
        <w:numPr>
          <w:ilvl w:val="0"/>
          <w:numId w:val="29"/>
        </w:numPr>
        <w:spacing w:after="0" w:line="240" w:lineRule="auto"/>
        <w:rPr>
          <w:b/>
        </w:rPr>
      </w:pPr>
      <w:r w:rsidRPr="00D604BE">
        <w:rPr>
          <w:b/>
        </w:rPr>
        <w:t xml:space="preserve">Italia - </w:t>
      </w:r>
      <w:r w:rsidR="00811706" w:rsidRPr="00D604BE">
        <w:rPr>
          <w:b/>
        </w:rPr>
        <w:t xml:space="preserve">Le attività connesse delle imprese condotte da giovani </w:t>
      </w:r>
      <w:r w:rsidR="002A7DFC" w:rsidRPr="00D604BE">
        <w:rPr>
          <w:b/>
        </w:rPr>
        <w:t xml:space="preserve">- </w:t>
      </w:r>
      <w:r w:rsidR="00811706" w:rsidRPr="00D604BE">
        <w:rPr>
          <w:b/>
        </w:rPr>
        <w:t>201</w:t>
      </w:r>
      <w:r w:rsidR="00FA467A" w:rsidRPr="00D604BE">
        <w:rPr>
          <w:b/>
        </w:rPr>
        <w:t>6</w:t>
      </w:r>
    </w:p>
    <w:p w14:paraId="2255A1A4" w14:textId="5483E77E" w:rsidR="00811706" w:rsidRDefault="00886BD3" w:rsidP="00D604BE">
      <w:pPr>
        <w:tabs>
          <w:tab w:val="left" w:pos="284"/>
          <w:tab w:val="left" w:pos="426"/>
        </w:tabs>
        <w:spacing w:after="60" w:line="240" w:lineRule="auto"/>
        <w:ind w:left="425"/>
        <w:rPr>
          <w:b/>
        </w:rPr>
      </w:pPr>
      <w:r>
        <w:rPr>
          <w:noProof/>
          <w:lang w:eastAsia="it-IT"/>
        </w:rPr>
        <w:drawing>
          <wp:inline distT="0" distB="0" distL="0" distR="0" wp14:anchorId="15E45C7A" wp14:editId="283BE502">
            <wp:extent cx="6018536" cy="3575050"/>
            <wp:effectExtent l="0" t="0" r="1270" b="635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pic:nvPicPr>
                  <pic:blipFill>
                    <a:blip r:embed="rId22">
                      <a:extLst>
                        <a:ext uri="{28A0092B-C50C-407E-A947-70E740481C1C}">
                          <a14:useLocalDpi xmlns:a14="http://schemas.microsoft.com/office/drawing/2010/main" val="0"/>
                        </a:ext>
                      </a:extLst>
                    </a:blip>
                    <a:stretch>
                      <a:fillRect/>
                    </a:stretch>
                  </pic:blipFill>
                  <pic:spPr>
                    <a:xfrm>
                      <a:off x="0" y="0"/>
                      <a:ext cx="6018536" cy="3575050"/>
                    </a:xfrm>
                    <a:prstGeom prst="rect">
                      <a:avLst/>
                    </a:prstGeom>
                  </pic:spPr>
                </pic:pic>
              </a:graphicData>
            </a:graphic>
          </wp:inline>
        </w:drawing>
      </w:r>
    </w:p>
    <w:p w14:paraId="4A26C9AC" w14:textId="2AEFEB34" w:rsidR="00811706" w:rsidRPr="00230F8B" w:rsidRDefault="00A727F5" w:rsidP="00A727F5">
      <w:pPr>
        <w:spacing w:after="0"/>
        <w:ind w:firstLine="426"/>
        <w:rPr>
          <w:i/>
          <w:sz w:val="20"/>
          <w:szCs w:val="20"/>
        </w:rPr>
      </w:pPr>
      <w:r>
        <w:rPr>
          <w:i/>
          <w:sz w:val="20"/>
          <w:szCs w:val="20"/>
        </w:rPr>
        <w:t>Fonte: e</w:t>
      </w:r>
      <w:r w:rsidR="00811706" w:rsidRPr="00230F8B">
        <w:rPr>
          <w:i/>
          <w:sz w:val="20"/>
          <w:szCs w:val="20"/>
        </w:rPr>
        <w:t>laborazione CREA</w:t>
      </w:r>
      <w:r w:rsidR="00811706">
        <w:rPr>
          <w:i/>
          <w:sz w:val="20"/>
          <w:szCs w:val="20"/>
        </w:rPr>
        <w:t xml:space="preserve"> – Centro Politiche e Bioeconomia</w:t>
      </w:r>
      <w:r w:rsidR="00811706" w:rsidRPr="00230F8B">
        <w:rPr>
          <w:i/>
          <w:sz w:val="20"/>
          <w:szCs w:val="20"/>
        </w:rPr>
        <w:t xml:space="preserve"> su dati </w:t>
      </w:r>
      <w:r w:rsidR="00811706">
        <w:rPr>
          <w:i/>
          <w:sz w:val="20"/>
          <w:szCs w:val="20"/>
        </w:rPr>
        <w:t>ISTAT Indagine SPA</w:t>
      </w:r>
    </w:p>
    <w:p w14:paraId="4D13B50F" w14:textId="77777777" w:rsidR="00811706" w:rsidRDefault="00811706" w:rsidP="00811706">
      <w:pPr>
        <w:spacing w:after="0" w:line="240" w:lineRule="auto"/>
        <w:rPr>
          <w:b/>
        </w:rPr>
      </w:pPr>
    </w:p>
    <w:p w14:paraId="0770648D" w14:textId="77777777" w:rsidR="00145933" w:rsidRDefault="00145933" w:rsidP="00542C79">
      <w:pPr>
        <w:spacing w:before="120" w:after="0" w:line="240" w:lineRule="auto"/>
        <w:contextualSpacing/>
        <w:rPr>
          <w:lang w:eastAsia="it-IT"/>
        </w:rPr>
      </w:pPr>
      <w:r>
        <w:rPr>
          <w:lang w:eastAsia="it-IT"/>
        </w:rPr>
        <w:br w:type="page"/>
      </w:r>
    </w:p>
    <w:p w14:paraId="7B41D932" w14:textId="6DA8FFF6" w:rsidR="00CE6EE0" w:rsidRPr="002A6B52" w:rsidRDefault="00CE6EE0" w:rsidP="00145933">
      <w:pPr>
        <w:spacing w:after="120" w:line="240" w:lineRule="auto"/>
        <w:rPr>
          <w:lang w:eastAsia="it-IT"/>
        </w:rPr>
      </w:pPr>
      <w:r w:rsidRPr="002A6B52">
        <w:rPr>
          <w:lang w:eastAsia="it-IT"/>
        </w:rPr>
        <w:lastRenderedPageBreak/>
        <w:t>L’analisi dei dati della RICA</w:t>
      </w:r>
      <w:r w:rsidRPr="002A6B52">
        <w:rPr>
          <w:vertAlign w:val="superscript"/>
          <w:lang w:eastAsia="it-IT"/>
        </w:rPr>
        <w:footnoteReference w:id="4"/>
      </w:r>
      <w:r w:rsidRPr="002A6B52">
        <w:rPr>
          <w:lang w:eastAsia="it-IT"/>
        </w:rPr>
        <w:t xml:space="preserve"> conferma la concentrazione delle imprese condotte dai giovani </w:t>
      </w:r>
      <w:r w:rsidR="00726380">
        <w:rPr>
          <w:lang w:eastAsia="it-IT"/>
        </w:rPr>
        <w:t xml:space="preserve">di 40 anni </w:t>
      </w:r>
      <w:r w:rsidRPr="002A6B52">
        <w:rPr>
          <w:lang w:eastAsia="it-IT"/>
        </w:rPr>
        <w:t>nelle classi di dimensioni aziendali più alte e la loro marcata presenza nei settori ad alta intensità di capitale e lavoro come l’allevamento bovino e suino e nelle aree più dinamiche dal punto di vista agricolo come le zone collinari e quelle di pianura.</w:t>
      </w:r>
    </w:p>
    <w:p w14:paraId="31D2B8EF" w14:textId="7165D5CE" w:rsidR="00F63835" w:rsidRDefault="00F63835" w:rsidP="00145933">
      <w:pPr>
        <w:pStyle w:val="Paragrafoelenco"/>
        <w:numPr>
          <w:ilvl w:val="0"/>
          <w:numId w:val="9"/>
        </w:numPr>
        <w:spacing w:after="120" w:line="240" w:lineRule="auto"/>
        <w:ind w:left="714" w:hanging="357"/>
        <w:contextualSpacing w:val="0"/>
      </w:pPr>
      <w:r>
        <w:t>La lettura territoriale dello Standard output (SO)</w:t>
      </w:r>
      <w:r w:rsidR="009644FD">
        <w:t xml:space="preserve"> pone in evidenza performance virtuose da parte delle imprese condotte dai giovani locate nell’area </w:t>
      </w:r>
      <w:proofErr w:type="gramStart"/>
      <w:r w:rsidR="00D75906">
        <w:t>N</w:t>
      </w:r>
      <w:r w:rsidR="00A85072">
        <w:t>ord</w:t>
      </w:r>
      <w:r w:rsidR="00D75906">
        <w:t xml:space="preserve"> </w:t>
      </w:r>
      <w:r w:rsidR="00A85072">
        <w:t>orientale</w:t>
      </w:r>
      <w:proofErr w:type="gramEnd"/>
      <w:r w:rsidR="009644FD">
        <w:t xml:space="preserve"> dell’Italia</w:t>
      </w:r>
      <w:r w:rsidR="00145933">
        <w:t xml:space="preserve"> (</w:t>
      </w:r>
      <w:r w:rsidR="00145933" w:rsidRPr="009644FD">
        <w:rPr>
          <w:b/>
          <w:bCs/>
        </w:rPr>
        <w:t>Tabella 13</w:t>
      </w:r>
      <w:r w:rsidR="00145933">
        <w:t>)</w:t>
      </w:r>
      <w:r w:rsidR="009644FD">
        <w:t>,</w:t>
      </w:r>
      <w:r w:rsidR="00D75906">
        <w:t xml:space="preserve"> area in cui il</w:t>
      </w:r>
      <w:r w:rsidR="009644FD">
        <w:t xml:space="preserve"> valore medio </w:t>
      </w:r>
      <w:r w:rsidR="00A57061">
        <w:t xml:space="preserve">conseguito dalle </w:t>
      </w:r>
      <w:r w:rsidR="009644FD">
        <w:t xml:space="preserve">imprese femminili </w:t>
      </w:r>
      <w:r w:rsidR="00145933">
        <w:t xml:space="preserve">(235.853 euro) </w:t>
      </w:r>
      <w:r w:rsidR="00D75906">
        <w:t xml:space="preserve">è </w:t>
      </w:r>
      <w:r w:rsidR="009644FD">
        <w:t xml:space="preserve">maggiore rispetto a quello </w:t>
      </w:r>
      <w:r w:rsidR="0007771D">
        <w:t>de</w:t>
      </w:r>
      <w:r w:rsidR="009644FD">
        <w:t>lle imprese condotte dagli uomini</w:t>
      </w:r>
      <w:r w:rsidR="00145933">
        <w:t xml:space="preserve"> (201.919 euro)</w:t>
      </w:r>
      <w:r w:rsidR="009644FD">
        <w:t>.</w:t>
      </w:r>
    </w:p>
    <w:p w14:paraId="7C6220EE" w14:textId="00AEE8F7" w:rsidR="009644FD" w:rsidRDefault="009644FD" w:rsidP="00145933">
      <w:pPr>
        <w:pStyle w:val="Paragrafoelenco"/>
        <w:numPr>
          <w:ilvl w:val="0"/>
          <w:numId w:val="9"/>
        </w:numPr>
        <w:spacing w:after="120" w:line="240" w:lineRule="auto"/>
        <w:ind w:left="714" w:hanging="357"/>
        <w:contextualSpacing w:val="0"/>
        <w:rPr>
          <w:rFonts w:eastAsiaTheme="minorEastAsia"/>
        </w:rPr>
      </w:pPr>
      <w:r>
        <w:t>Bassa è la percentuale relativa alla proprietà della SAU</w:t>
      </w:r>
      <w:r w:rsidR="00D75906">
        <w:t>;</w:t>
      </w:r>
      <w:r w:rsidR="00A85072">
        <w:t xml:space="preserve"> il valore riferito a tutte le imprese </w:t>
      </w:r>
      <w:r w:rsidR="0007771D">
        <w:t xml:space="preserve">del </w:t>
      </w:r>
      <w:r w:rsidR="00D75906">
        <w:t xml:space="preserve">campione è di </w:t>
      </w:r>
      <w:r w:rsidR="00A85072">
        <w:t>circa il 46%</w:t>
      </w:r>
      <w:r w:rsidR="00D75906">
        <w:t xml:space="preserve"> mentre quello relativo alle imprese dei giovani </w:t>
      </w:r>
      <w:r w:rsidR="0007771D">
        <w:t xml:space="preserve">si attesta </w:t>
      </w:r>
      <w:r w:rsidR="00D75906">
        <w:t xml:space="preserve">intorno </w:t>
      </w:r>
      <w:r w:rsidR="0007771D">
        <w:t>al 30%</w:t>
      </w:r>
      <w:r w:rsidR="00A85072">
        <w:t xml:space="preserve">. </w:t>
      </w:r>
      <w:r w:rsidR="00145933">
        <w:t>L</w:t>
      </w:r>
      <w:r w:rsidR="00A85072">
        <w:t xml:space="preserve">a SAU di proprietà delle giovani donne imprenditrici </w:t>
      </w:r>
      <w:r w:rsidR="00145933">
        <w:t>è inferiore al valore dei colleghi uomini del 3%</w:t>
      </w:r>
      <w:r w:rsidR="00A85072">
        <w:t xml:space="preserve">. </w:t>
      </w:r>
      <w:r w:rsidR="0E3B8A5E">
        <w:t>A livello territoriale la SAU di proprietà presenta n</w:t>
      </w:r>
      <w:r w:rsidR="00C14734">
        <w:t xml:space="preserve">el Nord </w:t>
      </w:r>
      <w:r w:rsidR="00845156">
        <w:t>E</w:t>
      </w:r>
      <w:r w:rsidR="00C14734">
        <w:t>st valori più alti rispetto alla media</w:t>
      </w:r>
      <w:r w:rsidR="003840FA">
        <w:t xml:space="preserve"> </w:t>
      </w:r>
      <w:r w:rsidR="00463404">
        <w:t>a cui è associato</w:t>
      </w:r>
      <w:r w:rsidR="003840FA">
        <w:t xml:space="preserve"> un forte orientamento </w:t>
      </w:r>
      <w:r w:rsidR="00845156">
        <w:t>produttivo verso i seminativi e la policoltura</w:t>
      </w:r>
      <w:r w:rsidR="00F42D69">
        <w:t xml:space="preserve"> (</w:t>
      </w:r>
      <w:r w:rsidR="00F42D69" w:rsidRPr="7903F9D4">
        <w:rPr>
          <w:b/>
          <w:bCs/>
        </w:rPr>
        <w:t>Tabella 13</w:t>
      </w:r>
      <w:r w:rsidR="00F42D69">
        <w:t>)</w:t>
      </w:r>
      <w:r w:rsidR="003840FA">
        <w:t>.</w:t>
      </w:r>
      <w:r w:rsidR="00C14734">
        <w:t xml:space="preserve"> </w:t>
      </w:r>
    </w:p>
    <w:p w14:paraId="6255B6EE" w14:textId="33E47F5D" w:rsidR="003840FA" w:rsidRDefault="003840FA" w:rsidP="00145933">
      <w:pPr>
        <w:pStyle w:val="Paragrafoelenco"/>
        <w:numPr>
          <w:ilvl w:val="0"/>
          <w:numId w:val="9"/>
        </w:numPr>
        <w:spacing w:after="120" w:line="240" w:lineRule="auto"/>
        <w:ind w:left="714" w:hanging="357"/>
        <w:contextualSpacing w:val="0"/>
      </w:pPr>
      <w:r>
        <w:t xml:space="preserve">La forza lavoro </w:t>
      </w:r>
      <w:r w:rsidR="0045666B">
        <w:t>impiegata nelle</w:t>
      </w:r>
      <w:r w:rsidR="00D619A5">
        <w:t xml:space="preserve"> imprese </w:t>
      </w:r>
      <w:r>
        <w:t xml:space="preserve">è prevalentemente di origine familiare; non si </w:t>
      </w:r>
      <w:r w:rsidR="00B17CBE">
        <w:t>evidenzia</w:t>
      </w:r>
      <w:r>
        <w:t xml:space="preserve"> una rilevante differenza tra il valore </w:t>
      </w:r>
      <w:r w:rsidR="00D75906">
        <w:t>del campione</w:t>
      </w:r>
      <w:r>
        <w:t xml:space="preserve"> e quello </w:t>
      </w:r>
      <w:r w:rsidR="0007771D">
        <w:t xml:space="preserve">rilevato </w:t>
      </w:r>
      <w:r w:rsidR="00D75906">
        <w:t>per le</w:t>
      </w:r>
      <w:r w:rsidR="0007771D">
        <w:t xml:space="preserve"> i</w:t>
      </w:r>
      <w:r>
        <w:t>mprese condotte da giovani imprenditori.</w:t>
      </w:r>
      <w:r w:rsidR="005F71B8">
        <w:t xml:space="preserve"> </w:t>
      </w:r>
      <w:r w:rsidR="00D619A5">
        <w:t xml:space="preserve">Tuttavia, percentuali più elevate si riscontrano nell’area </w:t>
      </w:r>
      <w:proofErr w:type="gramStart"/>
      <w:r w:rsidR="00D75906">
        <w:t>N</w:t>
      </w:r>
      <w:r w:rsidR="00D619A5">
        <w:t>ord</w:t>
      </w:r>
      <w:r w:rsidR="00D75906">
        <w:t xml:space="preserve"> </w:t>
      </w:r>
      <w:r w:rsidR="00D619A5">
        <w:t>occidentale</w:t>
      </w:r>
      <w:proofErr w:type="gramEnd"/>
      <w:r w:rsidR="00D619A5">
        <w:t xml:space="preserve"> del Paese</w:t>
      </w:r>
      <w:r w:rsidR="00F42D69">
        <w:t xml:space="preserve"> (</w:t>
      </w:r>
      <w:r w:rsidR="00F42D69" w:rsidRPr="009A1B3F">
        <w:rPr>
          <w:b/>
          <w:bCs/>
        </w:rPr>
        <w:t>Tabella 1</w:t>
      </w:r>
      <w:r w:rsidR="00F42D69">
        <w:rPr>
          <w:b/>
          <w:bCs/>
        </w:rPr>
        <w:t>3</w:t>
      </w:r>
      <w:r w:rsidR="00F42D69">
        <w:t>)</w:t>
      </w:r>
      <w:r w:rsidR="00D619A5">
        <w:t>.</w:t>
      </w:r>
    </w:p>
    <w:p w14:paraId="78734115" w14:textId="512BFFE1" w:rsidR="00634412" w:rsidRDefault="00D619A5" w:rsidP="00145933">
      <w:pPr>
        <w:pStyle w:val="Paragrafoelenco"/>
        <w:numPr>
          <w:ilvl w:val="0"/>
          <w:numId w:val="9"/>
        </w:numPr>
        <w:spacing w:after="120" w:line="240" w:lineRule="auto"/>
        <w:ind w:left="714" w:hanging="357"/>
        <w:contextualSpacing w:val="0"/>
      </w:pPr>
      <w:r>
        <w:t xml:space="preserve">Le imprese agricole condotte dai giovani </w:t>
      </w:r>
      <w:r w:rsidR="008D0354">
        <w:t xml:space="preserve">nelle regioni del Nord Italia, e in particolare nel Nord Est, </w:t>
      </w:r>
      <w:r>
        <w:t xml:space="preserve">presentano </w:t>
      </w:r>
      <w:r w:rsidR="003034F3">
        <w:t>valori della produttività del lavoro</w:t>
      </w:r>
      <w:r w:rsidR="00F42D69">
        <w:t xml:space="preserve"> e della terra</w:t>
      </w:r>
      <w:r w:rsidR="003034F3">
        <w:t xml:space="preserve"> più alti </w:t>
      </w:r>
      <w:r w:rsidR="00C16E86">
        <w:t>rispetto a quelli rilevati dalle imprese delle aree del</w:t>
      </w:r>
      <w:r w:rsidR="003034F3">
        <w:t xml:space="preserve"> Centro e </w:t>
      </w:r>
      <w:r w:rsidR="00C16E86">
        <w:t>d</w:t>
      </w:r>
      <w:r w:rsidR="003034F3">
        <w:t>el Sud</w:t>
      </w:r>
      <w:r w:rsidR="0057737B">
        <w:t xml:space="preserve">. </w:t>
      </w:r>
      <w:r w:rsidR="000D2712">
        <w:t xml:space="preserve">Si </w:t>
      </w:r>
      <w:r w:rsidR="00634412">
        <w:t xml:space="preserve">rileva un </w:t>
      </w:r>
      <w:r w:rsidR="00F42D69">
        <w:t xml:space="preserve">elevato valore </w:t>
      </w:r>
      <w:r w:rsidR="00845156">
        <w:t>del</w:t>
      </w:r>
      <w:r w:rsidR="00F42D69">
        <w:t xml:space="preserve">la produttività del lavoro e della terra nelle imprese condotte dalle donne nell’area </w:t>
      </w:r>
      <w:proofErr w:type="gramStart"/>
      <w:r w:rsidR="00D568C4">
        <w:t>N</w:t>
      </w:r>
      <w:r w:rsidR="00F42D69">
        <w:t>ord</w:t>
      </w:r>
      <w:r w:rsidR="0058751A">
        <w:t xml:space="preserve"> </w:t>
      </w:r>
      <w:r w:rsidR="00F42D69">
        <w:t>orientale</w:t>
      </w:r>
      <w:proofErr w:type="gramEnd"/>
      <w:r w:rsidR="00634412">
        <w:t xml:space="preserve"> prevalentemente orientate nel poli</w:t>
      </w:r>
      <w:r w:rsidR="00463404">
        <w:t xml:space="preserve"> </w:t>
      </w:r>
      <w:r w:rsidR="00634412">
        <w:t>allevamento o nella produzione mista coltivazioni/allevamento</w:t>
      </w:r>
      <w:r w:rsidR="00F42D69">
        <w:t xml:space="preserve">. </w:t>
      </w:r>
    </w:p>
    <w:p w14:paraId="49EE980E" w14:textId="3BB83F4A" w:rsidR="003034F3" w:rsidRDefault="0058751A" w:rsidP="00145933">
      <w:pPr>
        <w:pStyle w:val="Paragrafoelenco"/>
        <w:numPr>
          <w:ilvl w:val="0"/>
          <w:numId w:val="9"/>
        </w:numPr>
        <w:spacing w:after="120" w:line="240" w:lineRule="auto"/>
        <w:ind w:left="714" w:hanging="357"/>
        <w:contextualSpacing w:val="0"/>
      </w:pPr>
      <w:r>
        <w:t>In</w:t>
      </w:r>
      <w:r w:rsidR="00F42D69">
        <w:t xml:space="preserve"> </w:t>
      </w:r>
      <w:r>
        <w:t>definitiva</w:t>
      </w:r>
      <w:r w:rsidR="000D2712">
        <w:t>,</w:t>
      </w:r>
      <w:r>
        <w:t xml:space="preserve"> si può affermare che dal punto di vista de</w:t>
      </w:r>
      <w:r w:rsidRPr="002A6B52">
        <w:t xml:space="preserve">i risultati economici e reddituali i dati </w:t>
      </w:r>
      <w:r w:rsidR="007F1D89">
        <w:t>fanno presupporre che</w:t>
      </w:r>
      <w:r w:rsidRPr="002A6B52">
        <w:t xml:space="preserve"> le imprese </w:t>
      </w:r>
      <w:r w:rsidR="007F1D89">
        <w:t xml:space="preserve">dei giovani </w:t>
      </w:r>
      <w:r w:rsidRPr="002A6B52">
        <w:t xml:space="preserve">risentano delle dinamiche di start up, registrando indici di redditività e produttività </w:t>
      </w:r>
      <w:r>
        <w:t xml:space="preserve">un poco </w:t>
      </w:r>
      <w:r w:rsidRPr="002A6B52">
        <w:t>più bassi rispetto alle fasce di età</w:t>
      </w:r>
      <w:r>
        <w:t xml:space="preserve"> </w:t>
      </w:r>
      <w:r w:rsidR="007F1D89">
        <w:t xml:space="preserve">successive </w:t>
      </w:r>
      <w:r w:rsidR="00F42D69">
        <w:t>(</w:t>
      </w:r>
      <w:r w:rsidR="00F42D69" w:rsidRPr="009A1B3F">
        <w:rPr>
          <w:b/>
          <w:bCs/>
        </w:rPr>
        <w:t>Tabella 1</w:t>
      </w:r>
      <w:r w:rsidR="00F42D69">
        <w:rPr>
          <w:b/>
          <w:bCs/>
        </w:rPr>
        <w:t>3</w:t>
      </w:r>
      <w:r w:rsidR="00F42D69">
        <w:t>)</w:t>
      </w:r>
      <w:r w:rsidR="0075481B">
        <w:t>.</w:t>
      </w:r>
      <w:r w:rsidR="00F42D69">
        <w:t xml:space="preserve"> </w:t>
      </w:r>
    </w:p>
    <w:p w14:paraId="6D315D50" w14:textId="0140E8B0" w:rsidR="0060354C" w:rsidRPr="00145933" w:rsidRDefault="00F42D69" w:rsidP="00145933">
      <w:pPr>
        <w:pStyle w:val="Paragrafoelenco"/>
        <w:numPr>
          <w:ilvl w:val="0"/>
          <w:numId w:val="9"/>
        </w:numPr>
        <w:spacing w:after="120" w:line="240" w:lineRule="auto"/>
        <w:ind w:left="714" w:hanging="357"/>
        <w:contextualSpacing w:val="0"/>
      </w:pPr>
      <w:r>
        <w:t xml:space="preserve">Una più alta </w:t>
      </w:r>
      <w:r w:rsidR="0058751A">
        <w:t>p</w:t>
      </w:r>
      <w:r>
        <w:t xml:space="preserve">ercentuale di </w:t>
      </w:r>
      <w:r w:rsidR="0058751A">
        <w:t xml:space="preserve">intensità della </w:t>
      </w:r>
      <w:r>
        <w:t xml:space="preserve">meccanizzazione si riscontra nelle aree </w:t>
      </w:r>
      <w:r w:rsidR="00D568C4">
        <w:t>N</w:t>
      </w:r>
      <w:r>
        <w:t>ord occidentale e orientale</w:t>
      </w:r>
      <w:r w:rsidR="0058751A">
        <w:t xml:space="preserve">. La percentuale rilevata </w:t>
      </w:r>
      <w:r w:rsidR="326B9C0F">
        <w:t xml:space="preserve">per le </w:t>
      </w:r>
      <w:r w:rsidR="0058751A">
        <w:t xml:space="preserve">aziende </w:t>
      </w:r>
      <w:r w:rsidR="41AD0E44">
        <w:t xml:space="preserve">condotte </w:t>
      </w:r>
      <w:r w:rsidR="0058751A">
        <w:t>d</w:t>
      </w:r>
      <w:r w:rsidR="38C27CBE">
        <w:t>a</w:t>
      </w:r>
      <w:r w:rsidR="0058751A">
        <w:t>i giovani è inferiore al valore totale di poco più dell’1% (</w:t>
      </w:r>
      <w:r w:rsidR="0058751A" w:rsidRPr="7903F9D4">
        <w:rPr>
          <w:b/>
          <w:bCs/>
        </w:rPr>
        <w:t>Tabella 13</w:t>
      </w:r>
      <w:r w:rsidR="0058751A">
        <w:t>).</w:t>
      </w:r>
    </w:p>
    <w:p w14:paraId="3DA02F18" w14:textId="30C576C4" w:rsidR="00585795" w:rsidRPr="00A92BFB" w:rsidRDefault="00585795" w:rsidP="00E347BE">
      <w:pPr>
        <w:pStyle w:val="Paragrafoelenco"/>
        <w:numPr>
          <w:ilvl w:val="0"/>
          <w:numId w:val="30"/>
        </w:numPr>
        <w:spacing w:after="60" w:line="240" w:lineRule="auto"/>
        <w:rPr>
          <w:b/>
          <w:bCs/>
        </w:rPr>
      </w:pPr>
      <w:bookmarkStart w:id="16" w:name="_Hlk18571028"/>
      <w:r w:rsidRPr="7903F9D4">
        <w:rPr>
          <w:b/>
          <w:bCs/>
        </w:rPr>
        <w:t xml:space="preserve">I giovani agricoltori per genere secondo l’analisi dei dati RICA </w:t>
      </w:r>
      <w:r w:rsidR="00E95BEE" w:rsidRPr="7903F9D4">
        <w:rPr>
          <w:b/>
          <w:bCs/>
        </w:rPr>
        <w:t>(valore medio</w:t>
      </w:r>
      <w:r w:rsidR="00DF59D9" w:rsidRPr="7903F9D4">
        <w:rPr>
          <w:b/>
          <w:bCs/>
        </w:rPr>
        <w:t xml:space="preserve"> 2015 </w:t>
      </w:r>
      <w:r w:rsidR="0058751A" w:rsidRPr="7903F9D4">
        <w:rPr>
          <w:b/>
          <w:bCs/>
        </w:rPr>
        <w:t>–</w:t>
      </w:r>
      <w:r w:rsidR="00DF59D9" w:rsidRPr="7903F9D4">
        <w:rPr>
          <w:b/>
          <w:bCs/>
        </w:rPr>
        <w:t xml:space="preserve"> 2018</w:t>
      </w:r>
      <w:r w:rsidR="00E95BEE" w:rsidRPr="7903F9D4">
        <w:rPr>
          <w:b/>
          <w:bCs/>
        </w:rPr>
        <w:t>)</w:t>
      </w:r>
    </w:p>
    <w:bookmarkEnd w:id="16"/>
    <w:p w14:paraId="453B75AC" w14:textId="2782CEFA" w:rsidR="00585795" w:rsidRDefault="00D568C4" w:rsidP="00C35339">
      <w:pPr>
        <w:spacing w:after="0" w:line="240" w:lineRule="auto"/>
        <w:ind w:left="426"/>
        <w:rPr>
          <w:b/>
        </w:rPr>
      </w:pPr>
      <w:r w:rsidRPr="00D568C4">
        <w:rPr>
          <w:noProof/>
          <w:lang w:eastAsia="it-IT"/>
        </w:rPr>
        <w:drawing>
          <wp:inline distT="0" distB="0" distL="0" distR="0" wp14:anchorId="29E36584" wp14:editId="082AF20C">
            <wp:extent cx="6120130" cy="209736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31286" cy="2101188"/>
                    </a:xfrm>
                    <a:prstGeom prst="rect">
                      <a:avLst/>
                    </a:prstGeom>
                    <a:noFill/>
                    <a:ln>
                      <a:noFill/>
                    </a:ln>
                  </pic:spPr>
                </pic:pic>
              </a:graphicData>
            </a:graphic>
          </wp:inline>
        </w:drawing>
      </w:r>
    </w:p>
    <w:p w14:paraId="151E2C0B" w14:textId="4DB0E99C" w:rsidR="00585795" w:rsidRDefault="00C35339" w:rsidP="00C35339">
      <w:pPr>
        <w:spacing w:after="0" w:line="240" w:lineRule="auto"/>
        <w:ind w:left="426"/>
        <w:rPr>
          <w:i/>
          <w:sz w:val="20"/>
          <w:szCs w:val="20"/>
        </w:rPr>
      </w:pPr>
      <w:r>
        <w:rPr>
          <w:i/>
          <w:sz w:val="20"/>
          <w:szCs w:val="20"/>
        </w:rPr>
        <w:t>Fonte: e</w:t>
      </w:r>
      <w:r w:rsidR="00CE6EE0" w:rsidRPr="00CE6EE0">
        <w:rPr>
          <w:i/>
          <w:sz w:val="20"/>
          <w:szCs w:val="20"/>
        </w:rPr>
        <w:t xml:space="preserve">laborazioni </w:t>
      </w:r>
      <w:r w:rsidR="00F37511">
        <w:rPr>
          <w:i/>
          <w:sz w:val="20"/>
          <w:szCs w:val="20"/>
        </w:rPr>
        <w:t>CREA</w:t>
      </w:r>
      <w:r w:rsidR="00F37511" w:rsidRPr="00CE6EE0">
        <w:rPr>
          <w:i/>
          <w:sz w:val="20"/>
          <w:szCs w:val="20"/>
        </w:rPr>
        <w:t xml:space="preserve"> </w:t>
      </w:r>
      <w:r>
        <w:rPr>
          <w:i/>
          <w:sz w:val="20"/>
          <w:szCs w:val="20"/>
        </w:rPr>
        <w:t xml:space="preserve">– Centro di </w:t>
      </w:r>
      <w:r w:rsidR="00CE6EE0" w:rsidRPr="00CE6EE0">
        <w:rPr>
          <w:i/>
          <w:sz w:val="20"/>
          <w:szCs w:val="20"/>
        </w:rPr>
        <w:t xml:space="preserve">Politiche e Bioeconomia su dati Rica </w:t>
      </w:r>
    </w:p>
    <w:p w14:paraId="16FEDFF7" w14:textId="77777777" w:rsidR="00D84CF0" w:rsidRDefault="00D84CF0" w:rsidP="00145933">
      <w:pPr>
        <w:spacing w:after="0" w:line="240" w:lineRule="auto"/>
        <w:ind w:left="426"/>
        <w:rPr>
          <w:i/>
          <w:iCs/>
          <w:sz w:val="20"/>
          <w:szCs w:val="20"/>
        </w:rPr>
      </w:pPr>
    </w:p>
    <w:p w14:paraId="7C7272F4" w14:textId="42027969" w:rsidR="00D84CF0" w:rsidRPr="002A6B52" w:rsidRDefault="00D84CF0" w:rsidP="00145933">
      <w:pPr>
        <w:pStyle w:val="Paragrafoelenco"/>
        <w:numPr>
          <w:ilvl w:val="0"/>
          <w:numId w:val="9"/>
        </w:numPr>
        <w:spacing w:after="0" w:line="240" w:lineRule="auto"/>
        <w:ind w:left="714" w:hanging="357"/>
        <w:contextualSpacing w:val="0"/>
        <w:rPr>
          <w:lang w:eastAsia="it-IT"/>
        </w:rPr>
      </w:pPr>
      <w:r>
        <w:t xml:space="preserve">Nell’area </w:t>
      </w:r>
      <w:proofErr w:type="gramStart"/>
      <w:r>
        <w:t>Nord orientale</w:t>
      </w:r>
      <w:proofErr w:type="gramEnd"/>
      <w:r>
        <w:t xml:space="preserve"> le imprese dimostrano di essere più indipendenti dagli aiuti pubblici e più performanti considerato il valore della produzione media standard che, in diverse regioni, supera il </w:t>
      </w:r>
      <w:r>
        <w:lastRenderedPageBreak/>
        <w:t>valore medio nazionale (</w:t>
      </w:r>
      <w:r w:rsidRPr="00D84CF0">
        <w:rPr>
          <w:b/>
          <w:bCs/>
        </w:rPr>
        <w:t>Tabella 8</w:t>
      </w:r>
      <w:r>
        <w:t>). Diversamente le imprese del Sud, e in particolare quelle dei giovani e delle donne, presentano</w:t>
      </w:r>
      <w:r w:rsidRPr="002A6B52">
        <w:t xml:space="preserve"> un reddito aziendale tendenzialmente più dipendente dagli aiuti pubblici</w:t>
      </w:r>
      <w:r>
        <w:rPr>
          <w:lang w:eastAsia="it-IT"/>
        </w:rPr>
        <w:t xml:space="preserve">. </w:t>
      </w:r>
      <w:r w:rsidR="00634412">
        <w:rPr>
          <w:lang w:eastAsia="it-IT"/>
        </w:rPr>
        <w:t>Si evidenzia che in quest’</w:t>
      </w:r>
      <w:r>
        <w:rPr>
          <w:lang w:eastAsia="it-IT"/>
        </w:rPr>
        <w:t>area la produzione standard conseguita è più bassa rispetto a quella del</w:t>
      </w:r>
      <w:r w:rsidRPr="004C0865">
        <w:rPr>
          <w:lang w:eastAsia="it-IT"/>
        </w:rPr>
        <w:t xml:space="preserve"> </w:t>
      </w:r>
      <w:r>
        <w:rPr>
          <w:lang w:eastAsia="it-IT"/>
        </w:rPr>
        <w:t>Nord Italia (</w:t>
      </w:r>
      <w:r w:rsidRPr="004C0865">
        <w:rPr>
          <w:b/>
          <w:bCs/>
          <w:lang w:eastAsia="it-IT"/>
        </w:rPr>
        <w:t>Tabella 8</w:t>
      </w:r>
      <w:r>
        <w:rPr>
          <w:lang w:eastAsia="it-IT"/>
        </w:rPr>
        <w:t>).</w:t>
      </w:r>
    </w:p>
    <w:p w14:paraId="187BA025" w14:textId="59BB777E" w:rsidR="0058751A" w:rsidRDefault="0058751A" w:rsidP="00C35339">
      <w:pPr>
        <w:spacing w:after="0" w:line="240" w:lineRule="auto"/>
        <w:ind w:left="426"/>
        <w:rPr>
          <w:i/>
          <w:sz w:val="20"/>
          <w:szCs w:val="20"/>
        </w:rPr>
      </w:pPr>
    </w:p>
    <w:p w14:paraId="07E404A1" w14:textId="3C4AA697" w:rsidR="0058751A" w:rsidRPr="007F1D89" w:rsidRDefault="004C0865" w:rsidP="00E347BE">
      <w:pPr>
        <w:pStyle w:val="Paragrafoelenco"/>
        <w:numPr>
          <w:ilvl w:val="0"/>
          <w:numId w:val="33"/>
        </w:numPr>
        <w:spacing w:after="0" w:line="240" w:lineRule="auto"/>
        <w:ind w:left="709" w:hanging="283"/>
        <w:rPr>
          <w:i/>
        </w:rPr>
      </w:pPr>
      <w:r>
        <w:rPr>
          <w:iCs/>
        </w:rPr>
        <w:t>I giovani imprenditori, soprattutto quelli del Nord, presentano una maggiore dinamicità in termini di investimenti rispetto al totale.</w:t>
      </w:r>
    </w:p>
    <w:p w14:paraId="418C4C55" w14:textId="77777777" w:rsidR="00585795" w:rsidRPr="00CE6EE0" w:rsidRDefault="00FC7F84" w:rsidP="00FC7F84">
      <w:pPr>
        <w:tabs>
          <w:tab w:val="left" w:pos="1836"/>
        </w:tabs>
        <w:spacing w:after="0" w:line="240" w:lineRule="auto"/>
        <w:rPr>
          <w:i/>
          <w:sz w:val="20"/>
          <w:szCs w:val="20"/>
        </w:rPr>
      </w:pPr>
      <w:r>
        <w:rPr>
          <w:i/>
          <w:sz w:val="20"/>
          <w:szCs w:val="20"/>
        </w:rPr>
        <w:tab/>
      </w:r>
    </w:p>
    <w:p w14:paraId="3E592468" w14:textId="07018A21" w:rsidR="00765FA6" w:rsidRPr="0058751A" w:rsidRDefault="00765FA6" w:rsidP="00E347BE">
      <w:pPr>
        <w:pStyle w:val="Paragrafoelenco"/>
        <w:numPr>
          <w:ilvl w:val="0"/>
          <w:numId w:val="32"/>
        </w:numPr>
        <w:spacing w:after="0" w:line="240" w:lineRule="auto"/>
        <w:rPr>
          <w:b/>
        </w:rPr>
      </w:pPr>
      <w:r w:rsidRPr="0058751A">
        <w:rPr>
          <w:b/>
        </w:rPr>
        <w:br w:type="page"/>
      </w:r>
    </w:p>
    <w:p w14:paraId="611CC4C4" w14:textId="77777777" w:rsidR="00585795" w:rsidRDefault="00585795" w:rsidP="00811706">
      <w:pPr>
        <w:spacing w:after="0" w:line="240" w:lineRule="auto"/>
        <w:rPr>
          <w:b/>
        </w:rPr>
      </w:pPr>
    </w:p>
    <w:p w14:paraId="7B5A9B93" w14:textId="044D9089" w:rsidR="00542C79" w:rsidRPr="00195C4E" w:rsidRDefault="00767EB9" w:rsidP="00767EB9">
      <w:pPr>
        <w:pStyle w:val="Titolo2"/>
      </w:pPr>
      <w:proofErr w:type="gramStart"/>
      <w:r>
        <w:t>1.4</w:t>
      </w:r>
      <w:r w:rsidR="00542C79" w:rsidRPr="00195C4E">
        <w:t xml:space="preserve">  </w:t>
      </w:r>
      <w:bookmarkStart w:id="17" w:name="_Toc22736705"/>
      <w:r w:rsidR="00542C79" w:rsidRPr="00195C4E">
        <w:t>Le</w:t>
      </w:r>
      <w:proofErr w:type="gramEnd"/>
      <w:r w:rsidR="00542C79" w:rsidRPr="00195C4E">
        <w:t xml:space="preserve"> dinamiche delle imprese agricole</w:t>
      </w:r>
      <w:r w:rsidR="00F37511" w:rsidRPr="00195C4E">
        <w:t xml:space="preserve"> in Italia</w:t>
      </w:r>
      <w:bookmarkEnd w:id="17"/>
      <w:r w:rsidR="00F37511" w:rsidRPr="00195C4E">
        <w:t xml:space="preserve"> </w:t>
      </w:r>
    </w:p>
    <w:p w14:paraId="534436CB" w14:textId="094317A4" w:rsidR="00F37511" w:rsidRDefault="00F37511" w:rsidP="00767EB9">
      <w:pPr>
        <w:spacing w:after="120" w:line="240" w:lineRule="auto"/>
      </w:pPr>
      <w:r>
        <w:t xml:space="preserve">Le dinamiche delle imprese agricole italiane condotte da imprenditori giovani e non sono brevemente riportate di seguito. Per le elaborazioni sono stati utilizzati i dati di </w:t>
      </w:r>
      <w:proofErr w:type="spellStart"/>
      <w:r>
        <w:t>Movimpresa</w:t>
      </w:r>
      <w:proofErr w:type="spellEnd"/>
      <w:r>
        <w:t xml:space="preserve"> (</w:t>
      </w:r>
      <w:proofErr w:type="spellStart"/>
      <w:r>
        <w:t>UnionCamere</w:t>
      </w:r>
      <w:proofErr w:type="spellEnd"/>
      <w:r>
        <w:t xml:space="preserve">), unica </w:t>
      </w:r>
      <w:r w:rsidR="008A6B1D">
        <w:t>f</w:t>
      </w:r>
      <w:r>
        <w:t xml:space="preserve">onte amministrativa che registra iscrizioni e cancellazioni delle attività imprenditoriali. Si evidenzia, tuttavia, che il campo di osservazione è limitato alle </w:t>
      </w:r>
      <w:r w:rsidR="008A6B1D">
        <w:t xml:space="preserve">sole </w:t>
      </w:r>
      <w:r>
        <w:t>imprese professionali iscritte nel Registro delle Imprese tenuto dalle Camere di Commercio, riducendo in questo modo l’universo di riferimento rispetto a quello censuario.</w:t>
      </w:r>
    </w:p>
    <w:p w14:paraId="23F9CA84" w14:textId="7C8E26E3" w:rsidR="00BE376D" w:rsidRDefault="00BE376D" w:rsidP="00767EB9">
      <w:pPr>
        <w:spacing w:after="120" w:line="240" w:lineRule="auto"/>
      </w:pPr>
      <w:r>
        <w:t>Per quanto riguarda le età dei giovani conduttori, i dati elaborati riguardano i capo azienda con età fino a 35 anni.</w:t>
      </w:r>
    </w:p>
    <w:p w14:paraId="519EBCB9" w14:textId="3D186512" w:rsidR="039E463F" w:rsidRDefault="039E463F" w:rsidP="5B813BCF">
      <w:pPr>
        <w:pStyle w:val="Paragrafoelenco"/>
        <w:numPr>
          <w:ilvl w:val="0"/>
          <w:numId w:val="24"/>
        </w:numPr>
        <w:spacing w:after="120" w:line="240" w:lineRule="auto"/>
        <w:ind w:left="426" w:hanging="357"/>
      </w:pPr>
      <w:r w:rsidRPr="5B813BCF">
        <w:rPr>
          <w:rFonts w:ascii="Calibri" w:eastAsia="Calibri" w:hAnsi="Calibri" w:cs="Calibri"/>
          <w:highlight w:val="yellow"/>
        </w:rPr>
        <w:t>Per i</w:t>
      </w:r>
      <w:r w:rsidR="35156F18" w:rsidRPr="5B813BCF">
        <w:rPr>
          <w:rFonts w:ascii="Calibri" w:eastAsia="Calibri" w:hAnsi="Calibri" w:cs="Calibri"/>
          <w:highlight w:val="yellow"/>
        </w:rPr>
        <w:t xml:space="preserve"> dati relativi al numero delle nuove imprese </w:t>
      </w:r>
      <w:r w:rsidR="358B6820" w:rsidRPr="5B813BCF">
        <w:rPr>
          <w:rFonts w:ascii="Calibri" w:eastAsia="Calibri" w:hAnsi="Calibri" w:cs="Calibri"/>
          <w:highlight w:val="yellow"/>
        </w:rPr>
        <w:t xml:space="preserve">non agricole </w:t>
      </w:r>
      <w:r w:rsidR="35156F18" w:rsidRPr="5B813BCF">
        <w:rPr>
          <w:rFonts w:ascii="Calibri" w:eastAsia="Calibri" w:hAnsi="Calibri" w:cs="Calibri"/>
          <w:highlight w:val="yellow"/>
        </w:rPr>
        <w:t>nelle aree rurali nel 2016</w:t>
      </w:r>
      <w:r w:rsidR="2FA903DE" w:rsidRPr="5B813BCF">
        <w:rPr>
          <w:rFonts w:ascii="Calibri" w:eastAsia="Calibri" w:hAnsi="Calibri" w:cs="Calibri"/>
          <w:highlight w:val="yellow"/>
        </w:rPr>
        <w:t xml:space="preserve"> si rimanda all’analisi </w:t>
      </w:r>
      <w:r w:rsidR="405D35D8" w:rsidRPr="5B813BCF">
        <w:rPr>
          <w:rFonts w:ascii="Calibri" w:eastAsia="Calibri" w:hAnsi="Calibri" w:cs="Calibri"/>
          <w:highlight w:val="yellow"/>
        </w:rPr>
        <w:t>riportat</w:t>
      </w:r>
      <w:r w:rsidR="2CF5DD3A" w:rsidRPr="5B813BCF">
        <w:rPr>
          <w:rFonts w:ascii="Calibri" w:eastAsia="Calibri" w:hAnsi="Calibri" w:cs="Calibri"/>
          <w:highlight w:val="yellow"/>
        </w:rPr>
        <w:t>a</w:t>
      </w:r>
      <w:r w:rsidR="405D35D8" w:rsidRPr="5B813BCF">
        <w:rPr>
          <w:rFonts w:ascii="Calibri" w:eastAsia="Calibri" w:hAnsi="Calibri" w:cs="Calibri"/>
          <w:highlight w:val="yellow"/>
        </w:rPr>
        <w:t xml:space="preserve"> nel</w:t>
      </w:r>
      <w:r w:rsidR="2C7CD539" w:rsidRPr="5B813BCF">
        <w:rPr>
          <w:rFonts w:ascii="Calibri" w:eastAsia="Calibri" w:hAnsi="Calibri" w:cs="Calibri"/>
          <w:highlight w:val="yellow"/>
        </w:rPr>
        <w:t xml:space="preserve"> capitolo 1 del</w:t>
      </w:r>
      <w:r w:rsidR="405D35D8" w:rsidRPr="5B813BCF">
        <w:rPr>
          <w:rFonts w:ascii="Calibri" w:eastAsia="Calibri" w:hAnsi="Calibri" w:cs="Calibri"/>
          <w:highlight w:val="yellow"/>
        </w:rPr>
        <w:t xml:space="preserve"> Policy Brief 8 </w:t>
      </w:r>
      <w:r w:rsidR="0911E1D7" w:rsidRPr="5B813BCF">
        <w:rPr>
          <w:rFonts w:ascii="Calibri" w:eastAsia="Calibri" w:hAnsi="Calibri" w:cs="Calibri"/>
          <w:highlight w:val="yellow"/>
        </w:rPr>
        <w:t>“</w:t>
      </w:r>
      <w:r w:rsidR="405D35D8" w:rsidRPr="5B813BCF">
        <w:rPr>
          <w:rFonts w:ascii="Calibri" w:eastAsia="Calibri" w:hAnsi="Calibri" w:cs="Calibri"/>
          <w:highlight w:val="yellow"/>
        </w:rPr>
        <w:t>Promuovere l’occupazione, la crescita, l’inclusione sociale e lo sviluppo locale nelle aree rurali, comprese la bioeconomia e la silvicoltura sostenibile</w:t>
      </w:r>
      <w:r w:rsidR="52B92876" w:rsidRPr="5B813BCF">
        <w:rPr>
          <w:rFonts w:ascii="Calibri" w:eastAsia="Calibri" w:hAnsi="Calibri" w:cs="Calibri"/>
          <w:highlight w:val="yellow"/>
        </w:rPr>
        <w:t>”</w:t>
      </w:r>
      <w:r w:rsidR="0DFE739A" w:rsidRPr="5B813BCF">
        <w:rPr>
          <w:rFonts w:ascii="Calibri" w:eastAsia="Calibri" w:hAnsi="Calibri" w:cs="Calibri"/>
          <w:highlight w:val="yellow"/>
        </w:rPr>
        <w:t>.</w:t>
      </w:r>
      <w:r w:rsidR="405D35D8" w:rsidRPr="5B813BCF">
        <w:rPr>
          <w:rFonts w:ascii="Calibri" w:eastAsia="Calibri" w:hAnsi="Calibri" w:cs="Calibri"/>
          <w:highlight w:val="yellow"/>
        </w:rPr>
        <w:t xml:space="preserve"> </w:t>
      </w:r>
    </w:p>
    <w:p w14:paraId="3B74E216" w14:textId="08E0C6AA" w:rsidR="00354EC6" w:rsidRDefault="001E6BF0" w:rsidP="00E347BE">
      <w:pPr>
        <w:pStyle w:val="Paragrafoelenco"/>
        <w:numPr>
          <w:ilvl w:val="0"/>
          <w:numId w:val="24"/>
        </w:numPr>
        <w:spacing w:after="120" w:line="240" w:lineRule="auto"/>
        <w:ind w:left="426" w:hanging="357"/>
        <w:contextualSpacing w:val="0"/>
      </w:pPr>
      <w:r>
        <w:t>Nel 201</w:t>
      </w:r>
      <w:r w:rsidR="004E04FF">
        <w:t>8</w:t>
      </w:r>
      <w:r>
        <w:t xml:space="preserve"> le</w:t>
      </w:r>
      <w:r w:rsidR="0028208B">
        <w:t xml:space="preserve"> </w:t>
      </w:r>
      <w:r>
        <w:t>imprese agricole</w:t>
      </w:r>
      <w:r w:rsidR="00FF3ADD">
        <w:t xml:space="preserve"> </w:t>
      </w:r>
      <w:proofErr w:type="gramStart"/>
      <w:r w:rsidR="0028208B">
        <w:t xml:space="preserve">neo </w:t>
      </w:r>
      <w:r>
        <w:t>iscritte</w:t>
      </w:r>
      <w:proofErr w:type="gramEnd"/>
      <w:r>
        <w:t xml:space="preserve"> al Registro delle Imprese sono </w:t>
      </w:r>
      <w:r w:rsidRPr="00354EC6">
        <w:rPr>
          <w:rFonts w:ascii="Calibri" w:eastAsia="Times New Roman" w:hAnsi="Calibri" w:cs="Calibri"/>
          <w:bCs/>
          <w:color w:val="000000"/>
          <w:lang w:eastAsia="it-IT"/>
        </w:rPr>
        <w:t>27.467</w:t>
      </w:r>
      <w:r w:rsidR="00354EC6">
        <w:rPr>
          <w:rFonts w:ascii="Calibri" w:eastAsia="Times New Roman" w:hAnsi="Calibri" w:cs="Calibri"/>
          <w:bCs/>
          <w:color w:val="000000"/>
          <w:lang w:eastAsia="it-IT"/>
        </w:rPr>
        <w:t xml:space="preserve">; </w:t>
      </w:r>
      <w:r w:rsidR="007C6ECD" w:rsidRPr="00354EC6">
        <w:rPr>
          <w:rFonts w:ascii="Calibri" w:eastAsia="Times New Roman" w:hAnsi="Calibri" w:cs="Calibri"/>
          <w:bCs/>
          <w:color w:val="000000"/>
          <w:lang w:eastAsia="it-IT"/>
        </w:rPr>
        <w:t>il 35% di queste è condotto da giovani imprenditori</w:t>
      </w:r>
      <w:r w:rsidR="006620D8" w:rsidRPr="00354EC6">
        <w:rPr>
          <w:rFonts w:ascii="Calibri" w:eastAsia="Times New Roman" w:hAnsi="Calibri" w:cs="Calibri"/>
          <w:bCs/>
          <w:color w:val="000000"/>
          <w:lang w:eastAsia="it-IT"/>
        </w:rPr>
        <w:t xml:space="preserve">. </w:t>
      </w:r>
      <w:r w:rsidR="00354EC6" w:rsidRPr="00354EC6">
        <w:rPr>
          <w:rFonts w:ascii="Calibri" w:eastAsia="Times New Roman" w:hAnsi="Calibri" w:cs="Calibri"/>
          <w:bCs/>
          <w:color w:val="000000"/>
          <w:lang w:eastAsia="it-IT"/>
        </w:rPr>
        <w:t>Tra il 2011 e il 2018 le imprese sono complessivamente aumentate de</w:t>
      </w:r>
      <w:r w:rsidR="00633F89">
        <w:rPr>
          <w:rFonts w:ascii="Calibri" w:eastAsia="Times New Roman" w:hAnsi="Calibri" w:cs="Calibri"/>
          <w:bCs/>
          <w:color w:val="000000"/>
          <w:lang w:eastAsia="it-IT"/>
        </w:rPr>
        <w:t>l</w:t>
      </w:r>
      <w:r w:rsidR="00354EC6" w:rsidRPr="00354EC6">
        <w:rPr>
          <w:rFonts w:ascii="Calibri" w:eastAsia="Times New Roman" w:hAnsi="Calibri" w:cs="Calibri"/>
          <w:bCs/>
          <w:color w:val="000000"/>
          <w:lang w:eastAsia="it-IT"/>
        </w:rPr>
        <w:t>l</w:t>
      </w:r>
      <w:r w:rsidR="00633F89">
        <w:rPr>
          <w:rFonts w:ascii="Calibri" w:eastAsia="Times New Roman" w:hAnsi="Calibri" w:cs="Calibri"/>
          <w:bCs/>
          <w:color w:val="000000"/>
          <w:lang w:eastAsia="it-IT"/>
        </w:rPr>
        <w:t>’1</w:t>
      </w:r>
      <w:r w:rsidR="00354EC6">
        <w:rPr>
          <w:rFonts w:ascii="Calibri" w:eastAsia="Times New Roman" w:hAnsi="Calibri" w:cs="Calibri"/>
          <w:bCs/>
          <w:color w:val="000000"/>
          <w:lang w:eastAsia="it-IT"/>
        </w:rPr>
        <w:t xml:space="preserve">1%; tuttavia, nel 2014 è stato registrato un calo delle stesse del </w:t>
      </w:r>
      <w:r w:rsidR="00633F89">
        <w:rPr>
          <w:rFonts w:ascii="Calibri" w:eastAsia="Times New Roman" w:hAnsi="Calibri" w:cs="Calibri"/>
          <w:bCs/>
          <w:color w:val="000000"/>
          <w:lang w:eastAsia="it-IT"/>
        </w:rPr>
        <w:t>16</w:t>
      </w:r>
      <w:r w:rsidR="00767EB9">
        <w:rPr>
          <w:rFonts w:ascii="Calibri" w:eastAsia="Times New Roman" w:hAnsi="Calibri" w:cs="Calibri"/>
          <w:bCs/>
          <w:color w:val="000000"/>
          <w:lang w:eastAsia="it-IT"/>
        </w:rPr>
        <w:t xml:space="preserve">% che ha interessato </w:t>
      </w:r>
      <w:r w:rsidR="00633F89">
        <w:rPr>
          <w:rFonts w:ascii="Calibri" w:eastAsia="Times New Roman" w:hAnsi="Calibri" w:cs="Calibri"/>
          <w:bCs/>
          <w:color w:val="000000"/>
          <w:lang w:eastAsia="it-IT"/>
        </w:rPr>
        <w:t xml:space="preserve">quasi tutte le regioni ma le percentuali </w:t>
      </w:r>
      <w:r w:rsidR="00641C64">
        <w:rPr>
          <w:rFonts w:ascii="Calibri" w:eastAsia="Times New Roman" w:hAnsi="Calibri" w:cs="Calibri"/>
          <w:bCs/>
          <w:color w:val="000000"/>
          <w:lang w:eastAsia="it-IT"/>
        </w:rPr>
        <w:t>di diminuzione più elevate</w:t>
      </w:r>
      <w:r w:rsidR="00633F89">
        <w:rPr>
          <w:rFonts w:ascii="Calibri" w:eastAsia="Times New Roman" w:hAnsi="Calibri" w:cs="Calibri"/>
          <w:bCs/>
          <w:color w:val="000000"/>
          <w:lang w:eastAsia="it-IT"/>
        </w:rPr>
        <w:t xml:space="preserve"> si sono rilevate nel centro sud e in particolare nelle regioni Abruzzo, Campania e Molise (</w:t>
      </w:r>
      <w:r w:rsidR="00633F89" w:rsidRPr="00633F89">
        <w:rPr>
          <w:rFonts w:ascii="Calibri" w:eastAsia="Times New Roman" w:hAnsi="Calibri" w:cs="Calibri"/>
          <w:b/>
          <w:color w:val="000000"/>
          <w:lang w:eastAsia="it-IT"/>
        </w:rPr>
        <w:t>Tabella 14</w:t>
      </w:r>
      <w:r w:rsidR="00633F89">
        <w:rPr>
          <w:rFonts w:ascii="Calibri" w:eastAsia="Times New Roman" w:hAnsi="Calibri" w:cs="Calibri"/>
          <w:bCs/>
          <w:color w:val="000000"/>
          <w:lang w:eastAsia="it-IT"/>
        </w:rPr>
        <w:t>).</w:t>
      </w:r>
    </w:p>
    <w:p w14:paraId="06F6CACA" w14:textId="448DE97B" w:rsidR="00B66327" w:rsidRPr="003C24FC" w:rsidRDefault="00390837" w:rsidP="00E347BE">
      <w:pPr>
        <w:pStyle w:val="Paragrafoelenco"/>
        <w:numPr>
          <w:ilvl w:val="0"/>
          <w:numId w:val="31"/>
        </w:numPr>
        <w:spacing w:after="60" w:line="240" w:lineRule="auto"/>
        <w:ind w:left="426" w:hanging="426"/>
        <w:rPr>
          <w:b/>
        </w:rPr>
      </w:pPr>
      <w:r w:rsidRPr="003C24FC">
        <w:rPr>
          <w:b/>
        </w:rPr>
        <w:t>Le</w:t>
      </w:r>
      <w:r w:rsidR="00483A9B" w:rsidRPr="003C24FC">
        <w:rPr>
          <w:b/>
        </w:rPr>
        <w:t xml:space="preserve"> </w:t>
      </w:r>
      <w:r w:rsidR="00465034">
        <w:rPr>
          <w:b/>
        </w:rPr>
        <w:t>“</w:t>
      </w:r>
      <w:r w:rsidR="00DB17D9" w:rsidRPr="003C24FC">
        <w:rPr>
          <w:b/>
        </w:rPr>
        <w:t>nuove</w:t>
      </w:r>
      <w:r w:rsidR="00465034">
        <w:rPr>
          <w:b/>
        </w:rPr>
        <w:t>”</w:t>
      </w:r>
      <w:r w:rsidR="00DB17D9" w:rsidRPr="003C24FC">
        <w:rPr>
          <w:b/>
        </w:rPr>
        <w:t xml:space="preserve"> </w:t>
      </w:r>
      <w:r w:rsidR="00483A9B" w:rsidRPr="003C24FC">
        <w:rPr>
          <w:b/>
        </w:rPr>
        <w:t>iscrizioni delle</w:t>
      </w:r>
      <w:r w:rsidRPr="003C24FC">
        <w:rPr>
          <w:b/>
        </w:rPr>
        <w:t xml:space="preserve"> imprese agricole </w:t>
      </w:r>
      <w:r w:rsidR="00AB7AAB" w:rsidRPr="003C24FC">
        <w:rPr>
          <w:b/>
        </w:rPr>
        <w:t>nel Registro delle Imprese</w:t>
      </w:r>
      <w:r w:rsidR="002A7DFC" w:rsidRPr="003C24FC">
        <w:rPr>
          <w:b/>
        </w:rPr>
        <w:t xml:space="preserve"> </w:t>
      </w:r>
      <w:r w:rsidR="00AB7AAB" w:rsidRPr="003C24FC">
        <w:rPr>
          <w:b/>
        </w:rPr>
        <w:t>-</w:t>
      </w:r>
      <w:r w:rsidR="00483A9B" w:rsidRPr="003C24FC">
        <w:rPr>
          <w:b/>
        </w:rPr>
        <w:t xml:space="preserve"> anni 2011-2014-2018</w:t>
      </w:r>
    </w:p>
    <w:p w14:paraId="271AE519" w14:textId="7BF32F5D" w:rsidR="00AB7AAB" w:rsidRPr="00390837" w:rsidRDefault="00AB7AAB" w:rsidP="00AB7AAB">
      <w:pPr>
        <w:pStyle w:val="Paragrafoelenco"/>
        <w:spacing w:after="60" w:line="240" w:lineRule="auto"/>
        <w:ind w:left="714"/>
        <w:contextualSpacing w:val="0"/>
        <w:rPr>
          <w:b/>
        </w:rPr>
      </w:pPr>
      <w:r w:rsidRPr="00AB7AAB">
        <w:rPr>
          <w:noProof/>
          <w:lang w:eastAsia="it-IT"/>
        </w:rPr>
        <w:drawing>
          <wp:inline distT="0" distB="0" distL="0" distR="0" wp14:anchorId="37BB5067" wp14:editId="34A7AE7B">
            <wp:extent cx="4908550" cy="4553386"/>
            <wp:effectExtent l="0" t="0" r="635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10315" cy="4555023"/>
                    </a:xfrm>
                    <a:prstGeom prst="rect">
                      <a:avLst/>
                    </a:prstGeom>
                    <a:noFill/>
                    <a:ln>
                      <a:noFill/>
                    </a:ln>
                  </pic:spPr>
                </pic:pic>
              </a:graphicData>
            </a:graphic>
          </wp:inline>
        </w:drawing>
      </w:r>
    </w:p>
    <w:p w14:paraId="08DD60BF" w14:textId="66D64E08" w:rsidR="00B66327" w:rsidRDefault="00C35339" w:rsidP="00691375">
      <w:pPr>
        <w:spacing w:after="0" w:line="240" w:lineRule="auto"/>
        <w:ind w:left="709"/>
        <w:rPr>
          <w:i/>
          <w:sz w:val="20"/>
          <w:szCs w:val="20"/>
        </w:rPr>
      </w:pPr>
      <w:r>
        <w:rPr>
          <w:i/>
          <w:sz w:val="20"/>
          <w:szCs w:val="20"/>
        </w:rPr>
        <w:t>Fonte: E</w:t>
      </w:r>
      <w:r w:rsidR="00B66327" w:rsidRPr="00F37511">
        <w:rPr>
          <w:i/>
          <w:sz w:val="20"/>
          <w:szCs w:val="20"/>
        </w:rPr>
        <w:t xml:space="preserve">laborazioni </w:t>
      </w:r>
      <w:r w:rsidR="00B66327">
        <w:rPr>
          <w:i/>
          <w:sz w:val="20"/>
          <w:szCs w:val="20"/>
        </w:rPr>
        <w:t xml:space="preserve">ISMEA su dati </w:t>
      </w:r>
      <w:proofErr w:type="spellStart"/>
      <w:r w:rsidR="00B66327">
        <w:rPr>
          <w:i/>
          <w:sz w:val="20"/>
          <w:szCs w:val="20"/>
        </w:rPr>
        <w:t>UnionCamere</w:t>
      </w:r>
      <w:proofErr w:type="spellEnd"/>
    </w:p>
    <w:p w14:paraId="0ABA5A50" w14:textId="77777777" w:rsidR="00B66327" w:rsidRDefault="00B66327" w:rsidP="5B813BCF">
      <w:pPr>
        <w:spacing w:after="0" w:line="240" w:lineRule="auto"/>
        <w:rPr>
          <w:i/>
          <w:iCs/>
          <w:sz w:val="20"/>
          <w:szCs w:val="20"/>
        </w:rPr>
      </w:pPr>
    </w:p>
    <w:p w14:paraId="0046BC01" w14:textId="266F81F0" w:rsidR="5B813BCF" w:rsidRDefault="5B813BCF" w:rsidP="5B813BCF">
      <w:pPr>
        <w:spacing w:after="0" w:line="240" w:lineRule="auto"/>
        <w:rPr>
          <w:i/>
          <w:iCs/>
          <w:sz w:val="20"/>
          <w:szCs w:val="20"/>
        </w:rPr>
      </w:pPr>
    </w:p>
    <w:p w14:paraId="60AA5B68" w14:textId="70044414" w:rsidR="5B813BCF" w:rsidRDefault="5B813BCF" w:rsidP="5B813BCF">
      <w:pPr>
        <w:spacing w:after="0" w:line="240" w:lineRule="auto"/>
        <w:rPr>
          <w:i/>
          <w:iCs/>
          <w:sz w:val="20"/>
          <w:szCs w:val="20"/>
        </w:rPr>
      </w:pPr>
    </w:p>
    <w:p w14:paraId="138687D7" w14:textId="338E331E" w:rsidR="00354EC6" w:rsidRDefault="00354EC6" w:rsidP="00E347BE">
      <w:pPr>
        <w:pStyle w:val="Paragrafoelenco"/>
        <w:numPr>
          <w:ilvl w:val="0"/>
          <w:numId w:val="24"/>
        </w:numPr>
        <w:spacing w:after="120" w:line="240" w:lineRule="auto"/>
        <w:ind w:left="426" w:hanging="357"/>
        <w:contextualSpacing w:val="0"/>
      </w:pPr>
      <w:r>
        <w:rPr>
          <w:rFonts w:ascii="Calibri" w:eastAsia="Times New Roman" w:hAnsi="Calibri" w:cs="Calibri"/>
          <w:bCs/>
          <w:color w:val="000000"/>
          <w:lang w:eastAsia="it-IT"/>
        </w:rPr>
        <w:lastRenderedPageBreak/>
        <w:t>A livello regionale il peso delle imprese giovanili sul totale assume valori che vanno dal 21% della regione Umbria al 55% della Campania</w:t>
      </w:r>
      <w:r w:rsidRPr="00B02B59">
        <w:rPr>
          <w:rFonts w:ascii="Calibri" w:eastAsia="Times New Roman" w:hAnsi="Calibri" w:cs="Calibri"/>
          <w:bCs/>
          <w:color w:val="000000"/>
          <w:lang w:eastAsia="it-IT"/>
        </w:rPr>
        <w:t xml:space="preserve">. </w:t>
      </w:r>
      <w:r>
        <w:rPr>
          <w:rFonts w:ascii="Calibri" w:eastAsia="Times New Roman" w:hAnsi="Calibri" w:cs="Calibri"/>
          <w:bCs/>
          <w:color w:val="000000"/>
          <w:lang w:eastAsia="it-IT"/>
        </w:rPr>
        <w:t xml:space="preserve">Ciò troverebbe conferma anche nel decremento del peso dei giovani iscritti pari a -33% nel periodo tra il </w:t>
      </w:r>
      <w:r w:rsidRPr="001E6BF0">
        <w:rPr>
          <w:rFonts w:ascii="Calibri" w:eastAsia="Times New Roman" w:hAnsi="Calibri" w:cs="Calibri"/>
          <w:bCs/>
          <w:color w:val="000000"/>
          <w:lang w:eastAsia="it-IT"/>
        </w:rPr>
        <w:t>2011</w:t>
      </w:r>
      <w:r>
        <w:rPr>
          <w:rFonts w:ascii="Calibri" w:eastAsia="Times New Roman" w:hAnsi="Calibri" w:cs="Calibri"/>
          <w:bCs/>
          <w:color w:val="000000"/>
          <w:lang w:eastAsia="it-IT"/>
        </w:rPr>
        <w:t xml:space="preserve"> (inizio della programmazione 2007-2014) e il 2014 (a fine programmazione)</w:t>
      </w:r>
      <w:r w:rsidR="00641C64">
        <w:t xml:space="preserve"> e nel loro aumento</w:t>
      </w:r>
      <w:r>
        <w:t xml:space="preserve"> pari al 31% nel 2017 a programmazione 2014 – 2020 avviata (</w:t>
      </w:r>
      <w:r w:rsidRPr="00DB17D9">
        <w:rPr>
          <w:b/>
          <w:bCs/>
        </w:rPr>
        <w:t>Tabella 1</w:t>
      </w:r>
      <w:r>
        <w:rPr>
          <w:b/>
          <w:bCs/>
        </w:rPr>
        <w:t>4</w:t>
      </w:r>
      <w:r>
        <w:t>).</w:t>
      </w:r>
    </w:p>
    <w:p w14:paraId="6BCD255D" w14:textId="0F09DE77" w:rsidR="00855D74" w:rsidRDefault="00C610BD" w:rsidP="00E347BE">
      <w:pPr>
        <w:pStyle w:val="Paragrafoelenco"/>
        <w:numPr>
          <w:ilvl w:val="0"/>
          <w:numId w:val="24"/>
        </w:numPr>
        <w:spacing w:after="120" w:line="240" w:lineRule="auto"/>
        <w:ind w:left="426" w:hanging="357"/>
        <w:contextualSpacing w:val="0"/>
      </w:pPr>
      <w:r>
        <w:t>Analizzando i dati relativi al</w:t>
      </w:r>
      <w:r w:rsidR="00641C64">
        <w:t xml:space="preserve"> totale delle</w:t>
      </w:r>
      <w:r>
        <w:t xml:space="preserve"> </w:t>
      </w:r>
      <w:r w:rsidR="003C24FC">
        <w:t>imprese iscritte</w:t>
      </w:r>
      <w:r>
        <w:t>, n</w:t>
      </w:r>
      <w:r w:rsidR="00855D74" w:rsidRPr="00181E7F">
        <w:t xml:space="preserve">onostante </w:t>
      </w:r>
      <w:r w:rsidR="00322546">
        <w:t>l’</w:t>
      </w:r>
      <w:r w:rsidR="00855D74" w:rsidRPr="00181E7F">
        <w:t xml:space="preserve">incremento </w:t>
      </w:r>
      <w:r>
        <w:t>rilevato n</w:t>
      </w:r>
      <w:r w:rsidR="00855D74" w:rsidRPr="00181E7F">
        <w:t>el numero di iscrizioni registrato negli ultimi anni</w:t>
      </w:r>
      <w:r w:rsidR="00641C64">
        <w:t xml:space="preserve"> de</w:t>
      </w:r>
      <w:r w:rsidR="00855D74" w:rsidRPr="00181E7F">
        <w:t xml:space="preserve">lle imprese </w:t>
      </w:r>
      <w:r w:rsidR="0028208B">
        <w:t>condotte</w:t>
      </w:r>
      <w:r w:rsidR="0028208B" w:rsidRPr="00181E7F">
        <w:t xml:space="preserve"> </w:t>
      </w:r>
      <w:r w:rsidR="00855D74" w:rsidRPr="00181E7F">
        <w:t xml:space="preserve">da giovani imprenditori agricoli, il peso </w:t>
      </w:r>
      <w:r w:rsidR="00322546">
        <w:t>di quest’ultime</w:t>
      </w:r>
      <w:r w:rsidR="00855D74" w:rsidRPr="00181E7F">
        <w:t xml:space="preserve"> </w:t>
      </w:r>
      <w:r w:rsidR="00B77575">
        <w:t xml:space="preserve">nei </w:t>
      </w:r>
      <w:r w:rsidR="00855D74" w:rsidRPr="00181E7F">
        <w:t xml:space="preserve">registri camerali non </w:t>
      </w:r>
      <w:r w:rsidR="00B77575">
        <w:t>evidenzia tra il 2016 e 2018</w:t>
      </w:r>
      <w:r w:rsidR="00855D74" w:rsidRPr="00181E7F">
        <w:t xml:space="preserve"> un significativo aumento in termini di peso percentuale rispetto </w:t>
      </w:r>
      <w:r w:rsidR="0028208B">
        <w:t>al totale delle</w:t>
      </w:r>
      <w:r w:rsidR="00855D74" w:rsidRPr="00181E7F">
        <w:t xml:space="preserve"> imprese agricole complessive</w:t>
      </w:r>
      <w:r w:rsidR="00322546">
        <w:t xml:space="preserve">; i dati infatti evidenziano </w:t>
      </w:r>
      <w:r w:rsidR="00B77575">
        <w:t xml:space="preserve">solo un </w:t>
      </w:r>
      <w:r w:rsidR="00322546">
        <w:t xml:space="preserve">incremento dell’1% </w:t>
      </w:r>
      <w:r w:rsidR="002A7DFC">
        <w:t>(</w:t>
      </w:r>
      <w:r w:rsidR="002A7DFC" w:rsidRPr="0019373F">
        <w:rPr>
          <w:b/>
          <w:bCs/>
        </w:rPr>
        <w:t xml:space="preserve">Tabella </w:t>
      </w:r>
      <w:r w:rsidR="0019373F" w:rsidRPr="0019373F">
        <w:rPr>
          <w:b/>
          <w:bCs/>
        </w:rPr>
        <w:t>15</w:t>
      </w:r>
      <w:r w:rsidR="002A7DFC" w:rsidRPr="00181E7F">
        <w:t>)</w:t>
      </w:r>
      <w:r w:rsidR="00195C4E">
        <w:t>.</w:t>
      </w:r>
    </w:p>
    <w:p w14:paraId="080C2E52" w14:textId="76FE2622" w:rsidR="00465034" w:rsidRPr="00181E7F" w:rsidRDefault="00465034" w:rsidP="00E347BE">
      <w:pPr>
        <w:pStyle w:val="Paragrafoelenco"/>
        <w:numPr>
          <w:ilvl w:val="0"/>
          <w:numId w:val="24"/>
        </w:numPr>
        <w:spacing w:after="120" w:line="240" w:lineRule="auto"/>
        <w:ind w:left="425" w:hanging="357"/>
        <w:contextualSpacing w:val="0"/>
      </w:pPr>
      <w:r>
        <w:t xml:space="preserve">Nel 2018 il peso delle imprese condotte dai giovani imprenditori iscritte nel registro sul totale delle imprese è dell’8%, valore pressoché in linea con quanto rilevato dai dati Eurostat su scala nazionale. </w:t>
      </w:r>
    </w:p>
    <w:p w14:paraId="5C310936" w14:textId="26818059" w:rsidR="00AB7AAB" w:rsidRPr="00AB7AAB" w:rsidRDefault="00465034" w:rsidP="00E347BE">
      <w:pPr>
        <w:pStyle w:val="Paragrafoelenco"/>
        <w:numPr>
          <w:ilvl w:val="0"/>
          <w:numId w:val="31"/>
        </w:numPr>
        <w:spacing w:after="120"/>
        <w:ind w:left="426"/>
        <w:contextualSpacing w:val="0"/>
        <w:rPr>
          <w:b/>
        </w:rPr>
      </w:pPr>
      <w:r>
        <w:rPr>
          <w:b/>
        </w:rPr>
        <w:t>L</w:t>
      </w:r>
      <w:r w:rsidR="00AB7AAB" w:rsidRPr="00AB7AAB">
        <w:rPr>
          <w:b/>
        </w:rPr>
        <w:t>e imprese agricole iscritte nel Registro delle Imprese – anni 2016 -2017-2018</w:t>
      </w:r>
    </w:p>
    <w:p w14:paraId="5BECA96E" w14:textId="0790D0C0" w:rsidR="00AB7AAB" w:rsidRPr="00181E7F" w:rsidRDefault="00AB7AAB" w:rsidP="002A7DFC">
      <w:pPr>
        <w:pStyle w:val="Paragrafoelenco"/>
        <w:spacing w:after="120"/>
        <w:ind w:left="426"/>
        <w:contextualSpacing w:val="0"/>
      </w:pPr>
      <w:r w:rsidRPr="00AB7AAB">
        <w:rPr>
          <w:noProof/>
          <w:lang w:eastAsia="it-IT"/>
        </w:rPr>
        <w:drawing>
          <wp:inline distT="0" distB="0" distL="0" distR="0" wp14:anchorId="59A4FE5C" wp14:editId="29ED308C">
            <wp:extent cx="6120130" cy="4410075"/>
            <wp:effectExtent l="0" t="0" r="0" b="952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4410075"/>
                    </a:xfrm>
                    <a:prstGeom prst="rect">
                      <a:avLst/>
                    </a:prstGeom>
                    <a:noFill/>
                    <a:ln>
                      <a:noFill/>
                    </a:ln>
                  </pic:spPr>
                </pic:pic>
              </a:graphicData>
            </a:graphic>
          </wp:inline>
        </w:drawing>
      </w:r>
    </w:p>
    <w:p w14:paraId="03B38872" w14:textId="501676C4" w:rsidR="00855D74" w:rsidRPr="00181E7F" w:rsidRDefault="00181E7F" w:rsidP="002A7DFC">
      <w:pPr>
        <w:spacing w:after="0" w:line="240" w:lineRule="auto"/>
        <w:ind w:left="426"/>
        <w:rPr>
          <w:i/>
          <w:sz w:val="20"/>
          <w:szCs w:val="20"/>
        </w:rPr>
      </w:pPr>
      <w:r w:rsidRPr="00181E7F">
        <w:rPr>
          <w:i/>
          <w:sz w:val="20"/>
          <w:szCs w:val="20"/>
        </w:rPr>
        <w:t>Fonte: e</w:t>
      </w:r>
      <w:r w:rsidR="00855D74" w:rsidRPr="00181E7F">
        <w:rPr>
          <w:i/>
          <w:sz w:val="20"/>
          <w:szCs w:val="20"/>
        </w:rPr>
        <w:t xml:space="preserve">laborazioni ISMEA su dati </w:t>
      </w:r>
      <w:proofErr w:type="spellStart"/>
      <w:r w:rsidR="00855D74" w:rsidRPr="00181E7F">
        <w:rPr>
          <w:i/>
          <w:sz w:val="20"/>
          <w:szCs w:val="20"/>
        </w:rPr>
        <w:t>UnionCamere</w:t>
      </w:r>
      <w:proofErr w:type="spellEnd"/>
    </w:p>
    <w:p w14:paraId="41A354D5" w14:textId="01B85BA7" w:rsidR="00B66327" w:rsidRPr="00181E7F" w:rsidRDefault="00B66327" w:rsidP="00F37511">
      <w:pPr>
        <w:spacing w:after="0" w:line="240" w:lineRule="auto"/>
        <w:rPr>
          <w:sz w:val="20"/>
          <w:szCs w:val="20"/>
        </w:rPr>
      </w:pPr>
    </w:p>
    <w:p w14:paraId="2B89DC85" w14:textId="69AC9C01" w:rsidR="003C24FC" w:rsidRDefault="003C24FC" w:rsidP="003C24FC">
      <w:pPr>
        <w:pStyle w:val="Paragrafoelenco"/>
        <w:numPr>
          <w:ilvl w:val="0"/>
          <w:numId w:val="2"/>
        </w:numPr>
        <w:spacing w:after="120"/>
        <w:ind w:left="426" w:hanging="357"/>
        <w:contextualSpacing w:val="0"/>
      </w:pPr>
      <w:r>
        <w:t>Uno studio condotto dall’INEA (2014) sulle strutture e dinamiche delle imprese giovanili evidenza due aspetti rilevanti: la difficoltà delle imprese giovanili di consolidarsi sul mercato e una loro maggiore mortalità se condotte da imprenditori riconducibili a quella classe di età che segna il passaggio virtuale dagli agricoltori “giovani” a quella “non giovani”.</w:t>
      </w:r>
    </w:p>
    <w:p w14:paraId="674C7E00" w14:textId="2BF290DC" w:rsidR="0019373F" w:rsidRDefault="0019373F" w:rsidP="00F37511">
      <w:pPr>
        <w:spacing w:after="0" w:line="240" w:lineRule="auto"/>
        <w:rPr>
          <w:i/>
          <w:sz w:val="20"/>
          <w:szCs w:val="20"/>
        </w:rPr>
      </w:pPr>
      <w:r>
        <w:rPr>
          <w:i/>
          <w:sz w:val="20"/>
          <w:szCs w:val="20"/>
        </w:rPr>
        <w:br w:type="page"/>
      </w:r>
    </w:p>
    <w:p w14:paraId="4D0E363A" w14:textId="77777777" w:rsidR="00811706" w:rsidRDefault="00C50921" w:rsidP="000C7F95">
      <w:pPr>
        <w:pStyle w:val="Titolo1"/>
        <w:numPr>
          <w:ilvl w:val="0"/>
          <w:numId w:val="10"/>
        </w:numPr>
      </w:pPr>
      <w:bookmarkStart w:id="18" w:name="_Toc22736706"/>
      <w:r>
        <w:lastRenderedPageBreak/>
        <w:t>I fabbisogni dei giovani imprenditori</w:t>
      </w:r>
      <w:bookmarkEnd w:id="18"/>
    </w:p>
    <w:p w14:paraId="3543229E" w14:textId="38562790" w:rsidR="00C50921" w:rsidRDefault="00C50921" w:rsidP="000C7F95">
      <w:pPr>
        <w:pStyle w:val="Titolo2"/>
        <w:numPr>
          <w:ilvl w:val="1"/>
          <w:numId w:val="13"/>
        </w:numPr>
        <w:tabs>
          <w:tab w:val="left" w:pos="1276"/>
        </w:tabs>
        <w:ind w:left="1418" w:hanging="709"/>
      </w:pPr>
      <w:bookmarkStart w:id="19" w:name="_Toc22736707"/>
      <w:r>
        <w:t>Accesso alla Terra</w:t>
      </w:r>
      <w:bookmarkEnd w:id="19"/>
    </w:p>
    <w:p w14:paraId="4706DD81" w14:textId="27366395" w:rsidR="0004072A" w:rsidRPr="009C035B" w:rsidRDefault="0004072A" w:rsidP="0004072A">
      <w:pPr>
        <w:pStyle w:val="Paragrafoelenco"/>
        <w:numPr>
          <w:ilvl w:val="0"/>
          <w:numId w:val="12"/>
        </w:numPr>
        <w:spacing w:after="120"/>
        <w:contextualSpacing w:val="0"/>
      </w:pPr>
      <w:r>
        <w:t xml:space="preserve">I dati ISTAT evidenziano una contrazione del 22% del numero di aziende tra il 2013 e il 2016 a cui corrisponde, nello stesso intervallo di tempo, un incremento delle dimensioni medie aziendali che passano dal 8,4 ettari del 2013 a 10 ettari del 2016. La dimensione media delle aziende condotte da </w:t>
      </w:r>
      <w:r w:rsidRPr="009C035B">
        <w:t>giovani è pari, invece, a 18 ettari nel 2016 (</w:t>
      </w:r>
      <w:r w:rsidRPr="00B94842">
        <w:rPr>
          <w:b/>
          <w:bCs/>
        </w:rPr>
        <w:t>Tabella 8</w:t>
      </w:r>
      <w:r w:rsidRPr="009C035B">
        <w:t>).</w:t>
      </w:r>
    </w:p>
    <w:p w14:paraId="6D6C8317" w14:textId="77777777" w:rsidR="0004072A" w:rsidRPr="009C035B" w:rsidRDefault="0004072A" w:rsidP="0004072A">
      <w:pPr>
        <w:pStyle w:val="Paragrafoelenco"/>
        <w:numPr>
          <w:ilvl w:val="0"/>
          <w:numId w:val="12"/>
        </w:numPr>
        <w:spacing w:after="120" w:line="280" w:lineRule="exact"/>
        <w:contextualSpacing w:val="0"/>
        <w:rPr>
          <w:lang w:eastAsia="it-IT"/>
        </w:rPr>
      </w:pPr>
      <w:r w:rsidRPr="009C035B">
        <w:rPr>
          <w:lang w:eastAsia="it-IT"/>
        </w:rPr>
        <w:t>Relativamente al titolo di possesso del terreno, poco più della metà della SAU condotta da giovani è in affitto, l’11% è gestito a titolo gratuito mentre quello di proprietà si attesta al 38%, dato inferiore rispetto al 55% registrato per la classe di imprenditori di età compresa tra i 41 e i 64 anni (</w:t>
      </w:r>
      <w:r w:rsidRPr="00B94842">
        <w:rPr>
          <w:b/>
          <w:bCs/>
          <w:lang w:eastAsia="it-IT"/>
        </w:rPr>
        <w:t>Tabella 16</w:t>
      </w:r>
      <w:r w:rsidRPr="009C035B">
        <w:rPr>
          <w:lang w:eastAsia="it-IT"/>
        </w:rPr>
        <w:t xml:space="preserve">). </w:t>
      </w:r>
    </w:p>
    <w:p w14:paraId="76EDF267" w14:textId="08BEBD57" w:rsidR="0004072A" w:rsidRPr="009404EF" w:rsidRDefault="009C035B" w:rsidP="0099728D">
      <w:pPr>
        <w:pStyle w:val="Paragrafoelenco"/>
        <w:spacing w:after="0"/>
        <w:ind w:left="284"/>
        <w:rPr>
          <w:b/>
        </w:rPr>
      </w:pPr>
      <w:r>
        <w:rPr>
          <w:b/>
        </w:rPr>
        <w:t xml:space="preserve">16. </w:t>
      </w:r>
      <w:r w:rsidR="0004072A" w:rsidRPr="009404EF">
        <w:rPr>
          <w:b/>
        </w:rPr>
        <w:t>SAU per titolo di possesso e classe di età del capo d’azienda (aziende totali)</w:t>
      </w:r>
    </w:p>
    <w:p w14:paraId="21794CBC" w14:textId="77777777" w:rsidR="0004072A" w:rsidRDefault="0004072A" w:rsidP="0099728D">
      <w:pPr>
        <w:spacing w:after="0"/>
        <w:ind w:left="709"/>
        <w:rPr>
          <w:i/>
        </w:rPr>
      </w:pPr>
      <w:r w:rsidRPr="00545842">
        <w:rPr>
          <w:noProof/>
          <w:lang w:eastAsia="it-IT"/>
        </w:rPr>
        <w:drawing>
          <wp:inline distT="0" distB="0" distL="0" distR="0" wp14:anchorId="72A2552F" wp14:editId="58AADBCB">
            <wp:extent cx="5591175" cy="962025"/>
            <wp:effectExtent l="0" t="0" r="9525" b="952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591175" cy="962025"/>
                    </a:xfrm>
                    <a:prstGeom prst="rect">
                      <a:avLst/>
                    </a:prstGeom>
                    <a:noFill/>
                    <a:ln>
                      <a:noFill/>
                    </a:ln>
                  </pic:spPr>
                </pic:pic>
              </a:graphicData>
            </a:graphic>
          </wp:inline>
        </w:drawing>
      </w:r>
    </w:p>
    <w:p w14:paraId="5F4C86AC" w14:textId="716C7C89" w:rsidR="009C035B" w:rsidRDefault="0004072A" w:rsidP="009C035B">
      <w:pPr>
        <w:spacing w:after="120"/>
        <w:ind w:firstLine="360"/>
        <w:rPr>
          <w:i/>
          <w:sz w:val="20"/>
          <w:szCs w:val="20"/>
        </w:rPr>
      </w:pPr>
      <w:r>
        <w:rPr>
          <w:i/>
          <w:sz w:val="20"/>
          <w:szCs w:val="20"/>
        </w:rPr>
        <w:t>Fonte: e</w:t>
      </w:r>
      <w:r w:rsidRPr="005D308B">
        <w:rPr>
          <w:i/>
          <w:sz w:val="20"/>
          <w:szCs w:val="20"/>
        </w:rPr>
        <w:t>laborazione del CREA – Centro Politiche Bioeconomia s</w:t>
      </w:r>
      <w:r>
        <w:rPr>
          <w:i/>
          <w:sz w:val="20"/>
          <w:szCs w:val="20"/>
        </w:rPr>
        <w:t>u</w:t>
      </w:r>
      <w:r w:rsidRPr="005D308B">
        <w:rPr>
          <w:i/>
          <w:sz w:val="20"/>
          <w:szCs w:val="20"/>
        </w:rPr>
        <w:t xml:space="preserve"> dati ISTAT</w:t>
      </w:r>
      <w:r>
        <w:rPr>
          <w:i/>
          <w:sz w:val="20"/>
          <w:szCs w:val="20"/>
        </w:rPr>
        <w:t xml:space="preserve"> dell’</w:t>
      </w:r>
      <w:r w:rsidRPr="00EA0830">
        <w:rPr>
          <w:i/>
          <w:sz w:val="20"/>
          <w:szCs w:val="20"/>
        </w:rPr>
        <w:t xml:space="preserve">Indagine Strutture Agricole </w:t>
      </w:r>
      <w:r>
        <w:rPr>
          <w:i/>
          <w:sz w:val="20"/>
          <w:szCs w:val="20"/>
        </w:rPr>
        <w:t>2016</w:t>
      </w:r>
    </w:p>
    <w:p w14:paraId="169B0865" w14:textId="7B8BF0EB" w:rsidR="0004072A" w:rsidRDefault="0004072A" w:rsidP="0004072A">
      <w:pPr>
        <w:pStyle w:val="Paragrafoelenco"/>
        <w:numPr>
          <w:ilvl w:val="0"/>
          <w:numId w:val="12"/>
        </w:numPr>
        <w:spacing w:after="120"/>
        <w:contextualSpacing w:val="0"/>
      </w:pPr>
      <w:r>
        <w:t>Tra il 2000 e il 2016 si assiste a un calo del titolo della proprietà dei terreni agricoli (-20%) e a un incremento costante del loro affitto. Sulla base dell’indagine SPA dell’ISTAT nel 2016 quasi la metà della superficie agricola complessiva (46%) è data in locazione e in uso gratuito (</w:t>
      </w:r>
      <w:r w:rsidR="009C035B" w:rsidRPr="00B94842">
        <w:rPr>
          <w:b/>
          <w:bCs/>
        </w:rPr>
        <w:t>Tabella 17</w:t>
      </w:r>
      <w:r>
        <w:t>).</w:t>
      </w:r>
    </w:p>
    <w:p w14:paraId="579EDA37" w14:textId="77777777" w:rsidR="0099728D" w:rsidRDefault="0099728D" w:rsidP="00B94842">
      <w:pPr>
        <w:tabs>
          <w:tab w:val="left" w:pos="360"/>
        </w:tabs>
        <w:spacing w:after="0"/>
        <w:rPr>
          <w:b/>
        </w:rPr>
      </w:pPr>
      <w:r>
        <w:rPr>
          <w:b/>
        </w:rPr>
        <w:br w:type="page"/>
      </w:r>
    </w:p>
    <w:p w14:paraId="5FDCFA90" w14:textId="793A9624" w:rsidR="0004072A" w:rsidRPr="00B94842" w:rsidRDefault="009C035B" w:rsidP="00B94842">
      <w:pPr>
        <w:tabs>
          <w:tab w:val="left" w:pos="360"/>
        </w:tabs>
        <w:spacing w:after="0"/>
        <w:rPr>
          <w:b/>
        </w:rPr>
      </w:pPr>
      <w:r w:rsidRPr="00B94842">
        <w:rPr>
          <w:b/>
        </w:rPr>
        <w:lastRenderedPageBreak/>
        <w:t>17.</w:t>
      </w:r>
      <w:r>
        <w:t xml:space="preserve"> </w:t>
      </w:r>
      <w:r w:rsidR="0004072A" w:rsidRPr="00B94842">
        <w:rPr>
          <w:b/>
        </w:rPr>
        <w:t>Evoluzione della superficie in affitto per circoscrizione geografica (SAU in ha)</w:t>
      </w:r>
    </w:p>
    <w:p w14:paraId="3B8551C3" w14:textId="77777777" w:rsidR="0004072A" w:rsidRDefault="0004072A" w:rsidP="0004072A">
      <w:pPr>
        <w:spacing w:after="0"/>
        <w:ind w:left="426"/>
      </w:pPr>
      <w:r w:rsidRPr="00B435FD">
        <w:rPr>
          <w:noProof/>
          <w:lang w:eastAsia="it-IT"/>
        </w:rPr>
        <w:drawing>
          <wp:inline distT="0" distB="0" distL="0" distR="0" wp14:anchorId="2DBECDFE" wp14:editId="0BF15B8C">
            <wp:extent cx="5267325" cy="5191125"/>
            <wp:effectExtent l="0" t="0" r="9525" b="952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67325" cy="5191125"/>
                    </a:xfrm>
                    <a:prstGeom prst="rect">
                      <a:avLst/>
                    </a:prstGeom>
                    <a:noFill/>
                    <a:ln>
                      <a:noFill/>
                    </a:ln>
                  </pic:spPr>
                </pic:pic>
              </a:graphicData>
            </a:graphic>
          </wp:inline>
        </w:drawing>
      </w:r>
    </w:p>
    <w:p w14:paraId="049E6B74" w14:textId="77777777" w:rsidR="0004072A" w:rsidRPr="00487B08" w:rsidRDefault="0004072A" w:rsidP="0099728D">
      <w:pPr>
        <w:spacing w:after="120" w:line="240" w:lineRule="auto"/>
        <w:ind w:left="425"/>
        <w:rPr>
          <w:i/>
          <w:sz w:val="20"/>
          <w:szCs w:val="20"/>
        </w:rPr>
      </w:pPr>
      <w:r>
        <w:rPr>
          <w:i/>
          <w:sz w:val="20"/>
          <w:szCs w:val="20"/>
        </w:rPr>
        <w:t>Fonte: E</w:t>
      </w:r>
      <w:r w:rsidRPr="00487B08">
        <w:rPr>
          <w:i/>
          <w:sz w:val="20"/>
          <w:szCs w:val="20"/>
        </w:rPr>
        <w:t>laborazione del CREA – Centro Politiche Bioeconomia su dati ISTAT, Censimento dell’agricoltura 1990, 2000 e 2010 e Indagine Strutture Agricole 2016</w:t>
      </w:r>
    </w:p>
    <w:p w14:paraId="55189403" w14:textId="6E0A1AAC" w:rsidR="0004072A" w:rsidRDefault="0004072A" w:rsidP="0004072A">
      <w:pPr>
        <w:pStyle w:val="Paragrafoelenco"/>
        <w:numPr>
          <w:ilvl w:val="0"/>
          <w:numId w:val="12"/>
        </w:numPr>
        <w:spacing w:after="120"/>
        <w:contextualSpacing w:val="0"/>
      </w:pPr>
      <w:r>
        <w:t xml:space="preserve">L’affitto della SAU </w:t>
      </w:r>
      <w:r w:rsidRPr="002A6B52">
        <w:t>(comprensivo degli usi gratuiti)</w:t>
      </w:r>
      <w:r>
        <w:t xml:space="preserve"> si concentra prevalentemente nelle regioni dell’area nord-occidentale (circa 63%), seguono le regioni del nord est (46%), del centro (45%), le isole (44%) e le regioni meridionali (37%) (</w:t>
      </w:r>
      <w:r w:rsidR="009C035B">
        <w:t>Tabella 18</w:t>
      </w:r>
      <w:r>
        <w:t xml:space="preserve">). Questa configurazione è in parte confermata se si considera l’incidenza della SAU in affitto sul totale per singola regione dove prevale la Valle d’Aosta (89%) seguita rispettivamente da Piemonte (63%), Lombardia (62%) e Campania (52%), mentre tra le regioni italiane con la minor diffusione dell’affitto si trovano il Molise (28%), il Trentino-Alto Adige (28%) e la Basilicata (32%) </w:t>
      </w:r>
      <w:r w:rsidRPr="009C035B">
        <w:t>(</w:t>
      </w:r>
      <w:r w:rsidRPr="0099728D">
        <w:rPr>
          <w:b/>
          <w:bCs/>
        </w:rPr>
        <w:t xml:space="preserve">Tabella </w:t>
      </w:r>
      <w:r w:rsidR="009C035B" w:rsidRPr="0099728D">
        <w:rPr>
          <w:b/>
          <w:bCs/>
        </w:rPr>
        <w:t>18</w:t>
      </w:r>
      <w:r w:rsidRPr="009C035B">
        <w:t>).</w:t>
      </w:r>
      <w:r>
        <w:t xml:space="preserve"> </w:t>
      </w:r>
    </w:p>
    <w:p w14:paraId="2AF31341" w14:textId="77777777" w:rsidR="0004072A" w:rsidRDefault="0004072A" w:rsidP="0004072A">
      <w:pPr>
        <w:spacing w:after="120"/>
      </w:pPr>
    </w:p>
    <w:p w14:paraId="4A366820" w14:textId="77777777" w:rsidR="0004072A" w:rsidRDefault="0004072A" w:rsidP="0004072A">
      <w:pPr>
        <w:spacing w:after="120"/>
      </w:pPr>
    </w:p>
    <w:p w14:paraId="2445605B" w14:textId="77777777" w:rsidR="0004072A" w:rsidRDefault="0004072A" w:rsidP="0004072A">
      <w:pPr>
        <w:spacing w:after="120"/>
      </w:pPr>
    </w:p>
    <w:p w14:paraId="148E368A" w14:textId="77777777" w:rsidR="0004072A" w:rsidRDefault="0004072A" w:rsidP="0004072A">
      <w:pPr>
        <w:spacing w:after="120"/>
      </w:pPr>
    </w:p>
    <w:p w14:paraId="2ECEF771" w14:textId="77777777" w:rsidR="0004072A" w:rsidRDefault="0004072A" w:rsidP="0004072A">
      <w:pPr>
        <w:spacing w:after="120"/>
      </w:pPr>
    </w:p>
    <w:p w14:paraId="54F78370" w14:textId="77777777" w:rsidR="0004072A" w:rsidRPr="009C035B" w:rsidRDefault="0004072A" w:rsidP="0004072A">
      <w:pPr>
        <w:spacing w:after="120"/>
        <w:rPr>
          <w:b/>
        </w:rPr>
      </w:pPr>
    </w:p>
    <w:p w14:paraId="367A5447" w14:textId="6F49693B" w:rsidR="0004072A" w:rsidRPr="009C035B" w:rsidRDefault="009C035B" w:rsidP="004C75A2">
      <w:pPr>
        <w:pStyle w:val="Paragrafoelenco"/>
        <w:tabs>
          <w:tab w:val="left" w:pos="426"/>
        </w:tabs>
        <w:spacing w:after="120"/>
        <w:ind w:left="284" w:hanging="284"/>
        <w:contextualSpacing w:val="0"/>
        <w:rPr>
          <w:b/>
        </w:rPr>
      </w:pPr>
      <w:r w:rsidRPr="009C035B">
        <w:rPr>
          <w:b/>
        </w:rPr>
        <w:t>18</w:t>
      </w:r>
      <w:r w:rsidR="004C75A2">
        <w:rPr>
          <w:b/>
        </w:rPr>
        <w:t>.</w:t>
      </w:r>
      <w:r w:rsidR="004C75A2">
        <w:rPr>
          <w:b/>
        </w:rPr>
        <w:tab/>
      </w:r>
      <w:r w:rsidR="004C75A2">
        <w:rPr>
          <w:b/>
        </w:rPr>
        <w:tab/>
      </w:r>
      <w:r w:rsidR="0004072A" w:rsidRPr="009C035B">
        <w:rPr>
          <w:b/>
        </w:rPr>
        <w:t>Aziende, SAU e superficie in affitto per regione e incidenza % (superficie in ha) - 2016</w:t>
      </w:r>
    </w:p>
    <w:tbl>
      <w:tblPr>
        <w:tblStyle w:val="Tabellaelenco3-colore1"/>
        <w:tblW w:w="4638" w:type="pct"/>
        <w:tblInd w:w="562" w:type="dxa"/>
        <w:tblLook w:val="04A0" w:firstRow="1" w:lastRow="0" w:firstColumn="1" w:lastColumn="0" w:noHBand="0" w:noVBand="1"/>
      </w:tblPr>
      <w:tblGrid>
        <w:gridCol w:w="1885"/>
        <w:gridCol w:w="1661"/>
        <w:gridCol w:w="1699"/>
        <w:gridCol w:w="1843"/>
        <w:gridCol w:w="1843"/>
      </w:tblGrid>
      <w:tr w:rsidR="0004072A" w:rsidRPr="005E5929" w14:paraId="67934D91" w14:textId="77777777" w:rsidTr="004C75A2">
        <w:trPr>
          <w:cnfStyle w:val="100000000000" w:firstRow="1" w:lastRow="0" w:firstColumn="0" w:lastColumn="0" w:oddVBand="0" w:evenVBand="0" w:oddHBand="0" w:evenHBand="0" w:firstRowFirstColumn="0" w:firstRowLastColumn="0" w:lastRowFirstColumn="0" w:lastRowLastColumn="0"/>
          <w:trHeight w:val="800"/>
        </w:trPr>
        <w:tc>
          <w:tcPr>
            <w:cnfStyle w:val="001000000100" w:firstRow="0" w:lastRow="0" w:firstColumn="1" w:lastColumn="0" w:oddVBand="0" w:evenVBand="0" w:oddHBand="0" w:evenHBand="0" w:firstRowFirstColumn="1" w:firstRowLastColumn="0" w:lastRowFirstColumn="0" w:lastRowLastColumn="0"/>
            <w:tcW w:w="1055" w:type="pct"/>
            <w:hideMark/>
          </w:tcPr>
          <w:p w14:paraId="49BE6293" w14:textId="77777777" w:rsidR="0099728D" w:rsidRDefault="0099728D" w:rsidP="000561ED">
            <w:pPr>
              <w:jc w:val="center"/>
              <w:rPr>
                <w:rFonts w:eastAsia="Times New Roman" w:cs="Times New Roman"/>
                <w:b w:val="0"/>
                <w:bCs w:val="0"/>
                <w:sz w:val="20"/>
                <w:szCs w:val="20"/>
                <w:lang w:eastAsia="it-IT"/>
              </w:rPr>
            </w:pPr>
          </w:p>
          <w:p w14:paraId="0DFFF38D" w14:textId="4D9434E7" w:rsidR="0004072A" w:rsidRPr="0099728D" w:rsidRDefault="0004072A" w:rsidP="000561ED">
            <w:pPr>
              <w:jc w:val="center"/>
              <w:rPr>
                <w:rFonts w:eastAsia="Times New Roman" w:cs="Times New Roman"/>
                <w:b w:val="0"/>
                <w:bCs w:val="0"/>
                <w:sz w:val="20"/>
                <w:szCs w:val="20"/>
                <w:lang w:eastAsia="it-IT"/>
              </w:rPr>
            </w:pPr>
            <w:r w:rsidRPr="0099728D">
              <w:rPr>
                <w:rFonts w:eastAsia="Times New Roman" w:cs="Times New Roman"/>
                <w:sz w:val="20"/>
                <w:szCs w:val="20"/>
                <w:lang w:eastAsia="it-IT"/>
              </w:rPr>
              <w:t>Regioni</w:t>
            </w:r>
          </w:p>
        </w:tc>
        <w:tc>
          <w:tcPr>
            <w:tcW w:w="930" w:type="pct"/>
            <w:hideMark/>
          </w:tcPr>
          <w:p w14:paraId="38CE763F" w14:textId="77777777" w:rsidR="0099728D" w:rsidRDefault="0099728D"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 w:val="20"/>
                <w:szCs w:val="20"/>
                <w:lang w:eastAsia="it-IT"/>
              </w:rPr>
            </w:pPr>
          </w:p>
          <w:p w14:paraId="2F2F0DD7" w14:textId="27D88762" w:rsidR="0004072A" w:rsidRPr="0099728D" w:rsidRDefault="0004072A"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 w:val="20"/>
                <w:szCs w:val="20"/>
                <w:lang w:eastAsia="it-IT"/>
              </w:rPr>
            </w:pPr>
            <w:r w:rsidRPr="0099728D">
              <w:rPr>
                <w:rFonts w:eastAsia="Times New Roman" w:cs="Times New Roman"/>
                <w:sz w:val="20"/>
                <w:szCs w:val="20"/>
                <w:lang w:eastAsia="it-IT"/>
              </w:rPr>
              <w:t>Aziende</w:t>
            </w:r>
          </w:p>
        </w:tc>
        <w:tc>
          <w:tcPr>
            <w:tcW w:w="951" w:type="pct"/>
            <w:hideMark/>
          </w:tcPr>
          <w:p w14:paraId="5014D4A9" w14:textId="77777777" w:rsidR="0099728D" w:rsidRDefault="0099728D"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 w:val="20"/>
                <w:szCs w:val="20"/>
                <w:lang w:eastAsia="it-IT"/>
              </w:rPr>
            </w:pPr>
          </w:p>
          <w:p w14:paraId="3B32ABA0" w14:textId="639B18D7" w:rsidR="0004072A" w:rsidRPr="0099728D" w:rsidRDefault="0004072A"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 w:val="20"/>
                <w:szCs w:val="20"/>
                <w:lang w:eastAsia="it-IT"/>
              </w:rPr>
            </w:pPr>
            <w:r w:rsidRPr="0099728D">
              <w:rPr>
                <w:rFonts w:eastAsia="Times New Roman" w:cs="Times New Roman"/>
                <w:sz w:val="20"/>
                <w:szCs w:val="20"/>
                <w:lang w:eastAsia="it-IT"/>
              </w:rPr>
              <w:t>SAU</w:t>
            </w:r>
          </w:p>
        </w:tc>
        <w:tc>
          <w:tcPr>
            <w:tcW w:w="1032" w:type="pct"/>
            <w:hideMark/>
          </w:tcPr>
          <w:p w14:paraId="0E21EC40" w14:textId="77777777" w:rsidR="0099728D" w:rsidRDefault="0099728D"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 w:val="20"/>
                <w:szCs w:val="20"/>
                <w:lang w:eastAsia="it-IT"/>
              </w:rPr>
            </w:pPr>
          </w:p>
          <w:p w14:paraId="21EEEDA5" w14:textId="4A2F2818" w:rsidR="0004072A" w:rsidRPr="0099728D" w:rsidRDefault="0004072A"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 w:val="20"/>
                <w:szCs w:val="20"/>
                <w:lang w:eastAsia="it-IT"/>
              </w:rPr>
            </w:pPr>
            <w:r w:rsidRPr="0099728D">
              <w:rPr>
                <w:rFonts w:eastAsia="Times New Roman" w:cs="Times New Roman"/>
                <w:sz w:val="20"/>
                <w:szCs w:val="20"/>
                <w:lang w:eastAsia="it-IT"/>
              </w:rPr>
              <w:t>SAU in affitto</w:t>
            </w:r>
          </w:p>
        </w:tc>
        <w:tc>
          <w:tcPr>
            <w:tcW w:w="1032" w:type="pct"/>
            <w:hideMark/>
          </w:tcPr>
          <w:p w14:paraId="661FA895" w14:textId="77777777" w:rsidR="0004072A" w:rsidRPr="0099728D" w:rsidRDefault="0004072A"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bCs w:val="0"/>
                <w:sz w:val="20"/>
                <w:szCs w:val="20"/>
                <w:lang w:eastAsia="it-IT"/>
              </w:rPr>
            </w:pPr>
            <w:r w:rsidRPr="0099728D">
              <w:rPr>
                <w:rFonts w:eastAsia="Times New Roman" w:cs="Times New Roman"/>
                <w:sz w:val="20"/>
                <w:szCs w:val="20"/>
                <w:lang w:eastAsia="it-IT"/>
              </w:rPr>
              <w:t>Incidenza % della SAU in affitto sul totale</w:t>
            </w:r>
          </w:p>
        </w:tc>
      </w:tr>
      <w:tr w:rsidR="0004072A" w:rsidRPr="005E5929" w14:paraId="45388787"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55" w:type="pct"/>
            <w:hideMark/>
          </w:tcPr>
          <w:p w14:paraId="56F4E987"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Piemonte</w:t>
            </w:r>
          </w:p>
        </w:tc>
        <w:tc>
          <w:tcPr>
            <w:tcW w:w="930" w:type="pct"/>
            <w:hideMark/>
          </w:tcPr>
          <w:p w14:paraId="0CAFB7B7"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49.965</w:t>
            </w:r>
          </w:p>
        </w:tc>
        <w:tc>
          <w:tcPr>
            <w:tcW w:w="951" w:type="pct"/>
            <w:hideMark/>
          </w:tcPr>
          <w:p w14:paraId="4C2793FD"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960.445</w:t>
            </w:r>
          </w:p>
        </w:tc>
        <w:tc>
          <w:tcPr>
            <w:tcW w:w="1032" w:type="pct"/>
            <w:hideMark/>
          </w:tcPr>
          <w:p w14:paraId="256526B4"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607.362</w:t>
            </w:r>
          </w:p>
        </w:tc>
        <w:tc>
          <w:tcPr>
            <w:tcW w:w="1032" w:type="pct"/>
            <w:hideMark/>
          </w:tcPr>
          <w:p w14:paraId="348AA068"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63%</w:t>
            </w:r>
          </w:p>
        </w:tc>
      </w:tr>
      <w:tr w:rsidR="0004072A" w:rsidRPr="005E5929" w14:paraId="47E42E17" w14:textId="77777777" w:rsidTr="004C75A2">
        <w:trPr>
          <w:trHeight w:val="24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24B42667"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Valle d’Aosta</w:t>
            </w:r>
          </w:p>
        </w:tc>
        <w:tc>
          <w:tcPr>
            <w:tcW w:w="930" w:type="pct"/>
            <w:noWrap/>
            <w:hideMark/>
          </w:tcPr>
          <w:p w14:paraId="2E320786"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2.320</w:t>
            </w:r>
          </w:p>
        </w:tc>
        <w:tc>
          <w:tcPr>
            <w:tcW w:w="951" w:type="pct"/>
            <w:noWrap/>
            <w:hideMark/>
          </w:tcPr>
          <w:p w14:paraId="50576BCE"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52.856</w:t>
            </w:r>
          </w:p>
        </w:tc>
        <w:tc>
          <w:tcPr>
            <w:tcW w:w="1032" w:type="pct"/>
            <w:noWrap/>
            <w:hideMark/>
          </w:tcPr>
          <w:p w14:paraId="44CFACA8"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46.893</w:t>
            </w:r>
          </w:p>
        </w:tc>
        <w:tc>
          <w:tcPr>
            <w:tcW w:w="1032" w:type="pct"/>
            <w:hideMark/>
          </w:tcPr>
          <w:p w14:paraId="6E1F754E"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89%</w:t>
            </w:r>
          </w:p>
        </w:tc>
      </w:tr>
      <w:tr w:rsidR="0004072A" w:rsidRPr="005E5929" w14:paraId="78B9BA85"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17C912D5"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Lombardia</w:t>
            </w:r>
          </w:p>
        </w:tc>
        <w:tc>
          <w:tcPr>
            <w:tcW w:w="930" w:type="pct"/>
            <w:noWrap/>
            <w:hideMark/>
          </w:tcPr>
          <w:p w14:paraId="17E42D21"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41.120</w:t>
            </w:r>
          </w:p>
        </w:tc>
        <w:tc>
          <w:tcPr>
            <w:tcW w:w="951" w:type="pct"/>
            <w:noWrap/>
            <w:hideMark/>
          </w:tcPr>
          <w:p w14:paraId="27A403DC"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958.378</w:t>
            </w:r>
          </w:p>
        </w:tc>
        <w:tc>
          <w:tcPr>
            <w:tcW w:w="1032" w:type="pct"/>
            <w:noWrap/>
            <w:hideMark/>
          </w:tcPr>
          <w:p w14:paraId="5A34E397"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596.003</w:t>
            </w:r>
          </w:p>
        </w:tc>
        <w:tc>
          <w:tcPr>
            <w:tcW w:w="1032" w:type="pct"/>
            <w:hideMark/>
          </w:tcPr>
          <w:p w14:paraId="3A0BFB70"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62%</w:t>
            </w:r>
          </w:p>
        </w:tc>
      </w:tr>
      <w:tr w:rsidR="0004072A" w:rsidRPr="005E5929" w14:paraId="4C1A7640" w14:textId="77777777" w:rsidTr="004C75A2">
        <w:trPr>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0835816C" w14:textId="2B350314" w:rsidR="0004072A" w:rsidRPr="0099728D" w:rsidRDefault="00773BC6"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Trentino-Alto Adige</w:t>
            </w:r>
          </w:p>
        </w:tc>
        <w:tc>
          <w:tcPr>
            <w:tcW w:w="930" w:type="pct"/>
            <w:noWrap/>
            <w:hideMark/>
          </w:tcPr>
          <w:p w14:paraId="07B2BE84"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24.935</w:t>
            </w:r>
          </w:p>
        </w:tc>
        <w:tc>
          <w:tcPr>
            <w:tcW w:w="951" w:type="pct"/>
            <w:noWrap/>
            <w:hideMark/>
          </w:tcPr>
          <w:p w14:paraId="6F437CDB"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336.607</w:t>
            </w:r>
          </w:p>
        </w:tc>
        <w:tc>
          <w:tcPr>
            <w:tcW w:w="1032" w:type="pct"/>
            <w:noWrap/>
            <w:hideMark/>
          </w:tcPr>
          <w:p w14:paraId="0B19D286"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95.721</w:t>
            </w:r>
          </w:p>
        </w:tc>
        <w:tc>
          <w:tcPr>
            <w:tcW w:w="1032" w:type="pct"/>
            <w:hideMark/>
          </w:tcPr>
          <w:p w14:paraId="78AE26FB"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28%</w:t>
            </w:r>
          </w:p>
        </w:tc>
      </w:tr>
      <w:tr w:rsidR="0004072A" w:rsidRPr="005E5929" w14:paraId="76D7CB4F"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55" w:type="pct"/>
            <w:hideMark/>
          </w:tcPr>
          <w:p w14:paraId="2E3753E3"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Veneto</w:t>
            </w:r>
          </w:p>
        </w:tc>
        <w:tc>
          <w:tcPr>
            <w:tcW w:w="930" w:type="pct"/>
            <w:noWrap/>
            <w:hideMark/>
          </w:tcPr>
          <w:p w14:paraId="1B99EEC1"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74.884</w:t>
            </w:r>
          </w:p>
        </w:tc>
        <w:tc>
          <w:tcPr>
            <w:tcW w:w="951" w:type="pct"/>
            <w:noWrap/>
            <w:hideMark/>
          </w:tcPr>
          <w:p w14:paraId="7B6919EE"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781.633</w:t>
            </w:r>
          </w:p>
        </w:tc>
        <w:tc>
          <w:tcPr>
            <w:tcW w:w="1032" w:type="pct"/>
            <w:noWrap/>
            <w:hideMark/>
          </w:tcPr>
          <w:p w14:paraId="0A14CC08"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396.246</w:t>
            </w:r>
          </w:p>
        </w:tc>
        <w:tc>
          <w:tcPr>
            <w:tcW w:w="1032" w:type="pct"/>
            <w:hideMark/>
          </w:tcPr>
          <w:p w14:paraId="5AE3F917"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51%</w:t>
            </w:r>
          </w:p>
        </w:tc>
      </w:tr>
      <w:tr w:rsidR="0004072A" w:rsidRPr="005E5929" w14:paraId="3969B25A" w14:textId="77777777" w:rsidTr="004C75A2">
        <w:trPr>
          <w:trHeight w:val="260"/>
        </w:trPr>
        <w:tc>
          <w:tcPr>
            <w:cnfStyle w:val="001000000000" w:firstRow="0" w:lastRow="0" w:firstColumn="1" w:lastColumn="0" w:oddVBand="0" w:evenVBand="0" w:oddHBand="0" w:evenHBand="0" w:firstRowFirstColumn="0" w:firstRowLastColumn="0" w:lastRowFirstColumn="0" w:lastRowLastColumn="0"/>
            <w:tcW w:w="1055" w:type="pct"/>
            <w:hideMark/>
          </w:tcPr>
          <w:p w14:paraId="4F9F7B60" w14:textId="67DA63B2" w:rsidR="0004072A" w:rsidRPr="0099728D" w:rsidRDefault="0099728D"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Friuli-Venezia Giulia</w:t>
            </w:r>
          </w:p>
        </w:tc>
        <w:tc>
          <w:tcPr>
            <w:tcW w:w="930" w:type="pct"/>
            <w:hideMark/>
          </w:tcPr>
          <w:p w14:paraId="344CFE72"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18.611</w:t>
            </w:r>
          </w:p>
        </w:tc>
        <w:tc>
          <w:tcPr>
            <w:tcW w:w="951" w:type="pct"/>
            <w:hideMark/>
          </w:tcPr>
          <w:p w14:paraId="08CA3CD3"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231.442</w:t>
            </w:r>
          </w:p>
        </w:tc>
        <w:tc>
          <w:tcPr>
            <w:tcW w:w="1032" w:type="pct"/>
            <w:hideMark/>
          </w:tcPr>
          <w:p w14:paraId="518C2339"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93.701</w:t>
            </w:r>
          </w:p>
        </w:tc>
        <w:tc>
          <w:tcPr>
            <w:tcW w:w="1032" w:type="pct"/>
            <w:hideMark/>
          </w:tcPr>
          <w:p w14:paraId="083020DF"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40%</w:t>
            </w:r>
          </w:p>
        </w:tc>
      </w:tr>
      <w:tr w:rsidR="0004072A" w:rsidRPr="005E5929" w14:paraId="61BB996E"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26EBE809"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Liguria</w:t>
            </w:r>
          </w:p>
        </w:tc>
        <w:tc>
          <w:tcPr>
            <w:tcW w:w="930" w:type="pct"/>
            <w:hideMark/>
          </w:tcPr>
          <w:p w14:paraId="433163BB"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8.872</w:t>
            </w:r>
          </w:p>
        </w:tc>
        <w:tc>
          <w:tcPr>
            <w:tcW w:w="951" w:type="pct"/>
            <w:hideMark/>
          </w:tcPr>
          <w:p w14:paraId="58CBDB31"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38.592</w:t>
            </w:r>
          </w:p>
        </w:tc>
        <w:tc>
          <w:tcPr>
            <w:tcW w:w="1032" w:type="pct"/>
            <w:hideMark/>
          </w:tcPr>
          <w:p w14:paraId="1FA4D3F9"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16.025</w:t>
            </w:r>
          </w:p>
        </w:tc>
        <w:tc>
          <w:tcPr>
            <w:tcW w:w="1032" w:type="pct"/>
            <w:hideMark/>
          </w:tcPr>
          <w:p w14:paraId="1164C3E3"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42%</w:t>
            </w:r>
          </w:p>
        </w:tc>
      </w:tr>
      <w:tr w:rsidR="0004072A" w:rsidRPr="005E5929" w14:paraId="3D2233AF" w14:textId="77777777" w:rsidTr="004C75A2">
        <w:trPr>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74F9F31D" w14:textId="7D77DB49" w:rsidR="0004072A" w:rsidRPr="0099728D" w:rsidRDefault="0099728D"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Emilia-Romagna</w:t>
            </w:r>
          </w:p>
        </w:tc>
        <w:tc>
          <w:tcPr>
            <w:tcW w:w="930" w:type="pct"/>
            <w:noWrap/>
            <w:hideMark/>
          </w:tcPr>
          <w:p w14:paraId="33F09DCA"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59.674</w:t>
            </w:r>
          </w:p>
        </w:tc>
        <w:tc>
          <w:tcPr>
            <w:tcW w:w="951" w:type="pct"/>
            <w:noWrap/>
            <w:hideMark/>
          </w:tcPr>
          <w:p w14:paraId="30E22AC5"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1.081.217</w:t>
            </w:r>
          </w:p>
        </w:tc>
        <w:tc>
          <w:tcPr>
            <w:tcW w:w="1032" w:type="pct"/>
            <w:noWrap/>
            <w:hideMark/>
          </w:tcPr>
          <w:p w14:paraId="6F8F9FFB"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544.408</w:t>
            </w:r>
          </w:p>
        </w:tc>
        <w:tc>
          <w:tcPr>
            <w:tcW w:w="1032" w:type="pct"/>
            <w:hideMark/>
          </w:tcPr>
          <w:p w14:paraId="73F946E8"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50%</w:t>
            </w:r>
          </w:p>
        </w:tc>
      </w:tr>
      <w:tr w:rsidR="0004072A" w:rsidRPr="005E5929" w14:paraId="714CFBBB"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64258EB9"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Toscana</w:t>
            </w:r>
          </w:p>
        </w:tc>
        <w:tc>
          <w:tcPr>
            <w:tcW w:w="930" w:type="pct"/>
            <w:noWrap/>
            <w:hideMark/>
          </w:tcPr>
          <w:p w14:paraId="0FE13A5C"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45.116</w:t>
            </w:r>
          </w:p>
        </w:tc>
        <w:tc>
          <w:tcPr>
            <w:tcW w:w="951" w:type="pct"/>
            <w:noWrap/>
            <w:hideMark/>
          </w:tcPr>
          <w:p w14:paraId="4E888528"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660.597</w:t>
            </w:r>
          </w:p>
        </w:tc>
        <w:tc>
          <w:tcPr>
            <w:tcW w:w="1032" w:type="pct"/>
            <w:noWrap/>
            <w:hideMark/>
          </w:tcPr>
          <w:p w14:paraId="66693009"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300.551</w:t>
            </w:r>
          </w:p>
        </w:tc>
        <w:tc>
          <w:tcPr>
            <w:tcW w:w="1032" w:type="pct"/>
            <w:hideMark/>
          </w:tcPr>
          <w:p w14:paraId="6C64C7AC"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45%</w:t>
            </w:r>
          </w:p>
        </w:tc>
      </w:tr>
      <w:tr w:rsidR="0004072A" w:rsidRPr="005E5929" w14:paraId="03D6325D" w14:textId="77777777" w:rsidTr="004C75A2">
        <w:trPr>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316224A7"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Umbria</w:t>
            </w:r>
          </w:p>
        </w:tc>
        <w:tc>
          <w:tcPr>
            <w:tcW w:w="930" w:type="pct"/>
            <w:noWrap/>
            <w:hideMark/>
          </w:tcPr>
          <w:p w14:paraId="1D24EDEA"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28.650</w:t>
            </w:r>
          </w:p>
        </w:tc>
        <w:tc>
          <w:tcPr>
            <w:tcW w:w="951" w:type="pct"/>
            <w:noWrap/>
            <w:hideMark/>
          </w:tcPr>
          <w:p w14:paraId="2CC7FC48"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334.618</w:t>
            </w:r>
          </w:p>
        </w:tc>
        <w:tc>
          <w:tcPr>
            <w:tcW w:w="1032" w:type="pct"/>
            <w:noWrap/>
            <w:hideMark/>
          </w:tcPr>
          <w:p w14:paraId="0F261A92"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125.913</w:t>
            </w:r>
          </w:p>
        </w:tc>
        <w:tc>
          <w:tcPr>
            <w:tcW w:w="1032" w:type="pct"/>
            <w:hideMark/>
          </w:tcPr>
          <w:p w14:paraId="43D6004C"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38%</w:t>
            </w:r>
          </w:p>
        </w:tc>
      </w:tr>
      <w:tr w:rsidR="0004072A" w:rsidRPr="005E5929" w14:paraId="066F417E"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4B56C997"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Marche</w:t>
            </w:r>
          </w:p>
        </w:tc>
        <w:tc>
          <w:tcPr>
            <w:tcW w:w="930" w:type="pct"/>
            <w:noWrap/>
            <w:hideMark/>
          </w:tcPr>
          <w:p w14:paraId="5B807B59"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36.783</w:t>
            </w:r>
          </w:p>
        </w:tc>
        <w:tc>
          <w:tcPr>
            <w:tcW w:w="951" w:type="pct"/>
            <w:noWrap/>
            <w:hideMark/>
          </w:tcPr>
          <w:p w14:paraId="6B08E8D6"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471.004</w:t>
            </w:r>
          </w:p>
        </w:tc>
        <w:tc>
          <w:tcPr>
            <w:tcW w:w="1032" w:type="pct"/>
            <w:noWrap/>
            <w:hideMark/>
          </w:tcPr>
          <w:p w14:paraId="4FD93BF9"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241.736</w:t>
            </w:r>
          </w:p>
        </w:tc>
        <w:tc>
          <w:tcPr>
            <w:tcW w:w="1032" w:type="pct"/>
            <w:hideMark/>
          </w:tcPr>
          <w:p w14:paraId="5BDE9E64"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51%</w:t>
            </w:r>
          </w:p>
        </w:tc>
      </w:tr>
      <w:tr w:rsidR="0004072A" w:rsidRPr="005E5929" w14:paraId="56AB2369" w14:textId="77777777" w:rsidTr="004C75A2">
        <w:trPr>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7530261C"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Lazio</w:t>
            </w:r>
          </w:p>
        </w:tc>
        <w:tc>
          <w:tcPr>
            <w:tcW w:w="930" w:type="pct"/>
            <w:noWrap/>
            <w:hideMark/>
          </w:tcPr>
          <w:p w14:paraId="5332E7DF"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68.295</w:t>
            </w:r>
          </w:p>
        </w:tc>
        <w:tc>
          <w:tcPr>
            <w:tcW w:w="951" w:type="pct"/>
            <w:noWrap/>
            <w:hideMark/>
          </w:tcPr>
          <w:p w14:paraId="62F63ED6"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622.086</w:t>
            </w:r>
          </w:p>
        </w:tc>
        <w:tc>
          <w:tcPr>
            <w:tcW w:w="1032" w:type="pct"/>
            <w:noWrap/>
            <w:hideMark/>
          </w:tcPr>
          <w:p w14:paraId="1BD57601"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273.518</w:t>
            </w:r>
          </w:p>
        </w:tc>
        <w:tc>
          <w:tcPr>
            <w:tcW w:w="1032" w:type="pct"/>
            <w:hideMark/>
          </w:tcPr>
          <w:p w14:paraId="671CCB2B"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44%</w:t>
            </w:r>
          </w:p>
        </w:tc>
      </w:tr>
      <w:tr w:rsidR="0004072A" w:rsidRPr="005E5929" w14:paraId="32EB81AF"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7E7A5778"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Abruzzo</w:t>
            </w:r>
          </w:p>
        </w:tc>
        <w:tc>
          <w:tcPr>
            <w:tcW w:w="930" w:type="pct"/>
            <w:noWrap/>
            <w:hideMark/>
          </w:tcPr>
          <w:p w14:paraId="367A9F1D"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43.098</w:t>
            </w:r>
          </w:p>
        </w:tc>
        <w:tc>
          <w:tcPr>
            <w:tcW w:w="951" w:type="pct"/>
            <w:noWrap/>
            <w:hideMark/>
          </w:tcPr>
          <w:p w14:paraId="1936F394"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374.904</w:t>
            </w:r>
          </w:p>
        </w:tc>
        <w:tc>
          <w:tcPr>
            <w:tcW w:w="1032" w:type="pct"/>
            <w:noWrap/>
            <w:hideMark/>
          </w:tcPr>
          <w:p w14:paraId="6C2B38A6"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171.427</w:t>
            </w:r>
          </w:p>
        </w:tc>
        <w:tc>
          <w:tcPr>
            <w:tcW w:w="1032" w:type="pct"/>
            <w:hideMark/>
          </w:tcPr>
          <w:p w14:paraId="512927DF"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46%</w:t>
            </w:r>
          </w:p>
        </w:tc>
      </w:tr>
      <w:tr w:rsidR="0004072A" w:rsidRPr="005E5929" w14:paraId="313EB94C" w14:textId="77777777" w:rsidTr="004C75A2">
        <w:trPr>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0FDAF117"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Molise</w:t>
            </w:r>
          </w:p>
        </w:tc>
        <w:tc>
          <w:tcPr>
            <w:tcW w:w="930" w:type="pct"/>
            <w:noWrap/>
            <w:hideMark/>
          </w:tcPr>
          <w:p w14:paraId="5D5FC304"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20.871</w:t>
            </w:r>
          </w:p>
        </w:tc>
        <w:tc>
          <w:tcPr>
            <w:tcW w:w="951" w:type="pct"/>
            <w:noWrap/>
            <w:hideMark/>
          </w:tcPr>
          <w:p w14:paraId="3DC94B1E"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192.189</w:t>
            </w:r>
          </w:p>
        </w:tc>
        <w:tc>
          <w:tcPr>
            <w:tcW w:w="1032" w:type="pct"/>
            <w:noWrap/>
            <w:hideMark/>
          </w:tcPr>
          <w:p w14:paraId="6E538F7E"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54.572</w:t>
            </w:r>
          </w:p>
        </w:tc>
        <w:tc>
          <w:tcPr>
            <w:tcW w:w="1032" w:type="pct"/>
            <w:hideMark/>
          </w:tcPr>
          <w:p w14:paraId="16B4CD90"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28%</w:t>
            </w:r>
          </w:p>
        </w:tc>
      </w:tr>
      <w:tr w:rsidR="0004072A" w:rsidRPr="005E5929" w14:paraId="046EECAE"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4E5763FD"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Campania</w:t>
            </w:r>
          </w:p>
        </w:tc>
        <w:tc>
          <w:tcPr>
            <w:tcW w:w="930" w:type="pct"/>
            <w:noWrap/>
            <w:hideMark/>
          </w:tcPr>
          <w:p w14:paraId="09A3B06A"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86.594</w:t>
            </w:r>
          </w:p>
        </w:tc>
        <w:tc>
          <w:tcPr>
            <w:tcW w:w="951" w:type="pct"/>
            <w:noWrap/>
            <w:hideMark/>
          </w:tcPr>
          <w:p w14:paraId="67B37B44"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527.394</w:t>
            </w:r>
          </w:p>
        </w:tc>
        <w:tc>
          <w:tcPr>
            <w:tcW w:w="1032" w:type="pct"/>
            <w:noWrap/>
            <w:hideMark/>
          </w:tcPr>
          <w:p w14:paraId="6B8CD8B6"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276.236</w:t>
            </w:r>
          </w:p>
        </w:tc>
        <w:tc>
          <w:tcPr>
            <w:tcW w:w="1032" w:type="pct"/>
            <w:hideMark/>
          </w:tcPr>
          <w:p w14:paraId="1562A55F"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52%</w:t>
            </w:r>
          </w:p>
        </w:tc>
      </w:tr>
      <w:tr w:rsidR="0004072A" w:rsidRPr="005E5929" w14:paraId="318AA90D" w14:textId="77777777" w:rsidTr="004C75A2">
        <w:trPr>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2E7A8769"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Puglia</w:t>
            </w:r>
          </w:p>
        </w:tc>
        <w:tc>
          <w:tcPr>
            <w:tcW w:w="930" w:type="pct"/>
            <w:noWrap/>
            <w:hideMark/>
          </w:tcPr>
          <w:p w14:paraId="2DA98377"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195.795</w:t>
            </w:r>
          </w:p>
        </w:tc>
        <w:tc>
          <w:tcPr>
            <w:tcW w:w="951" w:type="pct"/>
            <w:noWrap/>
            <w:hideMark/>
          </w:tcPr>
          <w:p w14:paraId="5B25282C"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1.285.274</w:t>
            </w:r>
          </w:p>
        </w:tc>
        <w:tc>
          <w:tcPr>
            <w:tcW w:w="1032" w:type="pct"/>
            <w:noWrap/>
            <w:hideMark/>
          </w:tcPr>
          <w:p w14:paraId="3B8305D0"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428.614</w:t>
            </w:r>
          </w:p>
        </w:tc>
        <w:tc>
          <w:tcPr>
            <w:tcW w:w="1032" w:type="pct"/>
            <w:hideMark/>
          </w:tcPr>
          <w:p w14:paraId="2C82D0A2"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33%</w:t>
            </w:r>
          </w:p>
        </w:tc>
      </w:tr>
      <w:tr w:rsidR="0004072A" w:rsidRPr="005E5929" w14:paraId="5C2B5D8E"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2F84152A"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Basilicata</w:t>
            </w:r>
          </w:p>
        </w:tc>
        <w:tc>
          <w:tcPr>
            <w:tcW w:w="930" w:type="pct"/>
            <w:noWrap/>
            <w:hideMark/>
          </w:tcPr>
          <w:p w14:paraId="792CC3FF"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38.776</w:t>
            </w:r>
          </w:p>
        </w:tc>
        <w:tc>
          <w:tcPr>
            <w:tcW w:w="951" w:type="pct"/>
            <w:noWrap/>
            <w:hideMark/>
          </w:tcPr>
          <w:p w14:paraId="45680260"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490.468</w:t>
            </w:r>
          </w:p>
        </w:tc>
        <w:tc>
          <w:tcPr>
            <w:tcW w:w="1032" w:type="pct"/>
            <w:noWrap/>
            <w:hideMark/>
          </w:tcPr>
          <w:p w14:paraId="422FF6B7"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155.231</w:t>
            </w:r>
          </w:p>
        </w:tc>
        <w:tc>
          <w:tcPr>
            <w:tcW w:w="1032" w:type="pct"/>
            <w:hideMark/>
          </w:tcPr>
          <w:p w14:paraId="45189C27"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32%</w:t>
            </w:r>
          </w:p>
        </w:tc>
      </w:tr>
      <w:tr w:rsidR="0004072A" w:rsidRPr="005E5929" w14:paraId="74FE5583" w14:textId="77777777" w:rsidTr="004C75A2">
        <w:trPr>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06B1052E"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Calabria</w:t>
            </w:r>
          </w:p>
        </w:tc>
        <w:tc>
          <w:tcPr>
            <w:tcW w:w="930" w:type="pct"/>
            <w:noWrap/>
            <w:hideMark/>
          </w:tcPr>
          <w:p w14:paraId="50205B19"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99.332</w:t>
            </w:r>
          </w:p>
        </w:tc>
        <w:tc>
          <w:tcPr>
            <w:tcW w:w="951" w:type="pct"/>
            <w:noWrap/>
            <w:hideMark/>
          </w:tcPr>
          <w:p w14:paraId="0453C06D"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572.148</w:t>
            </w:r>
          </w:p>
        </w:tc>
        <w:tc>
          <w:tcPr>
            <w:tcW w:w="1032" w:type="pct"/>
            <w:noWrap/>
            <w:hideMark/>
          </w:tcPr>
          <w:p w14:paraId="1C09D01F"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188.085</w:t>
            </w:r>
          </w:p>
        </w:tc>
        <w:tc>
          <w:tcPr>
            <w:tcW w:w="1032" w:type="pct"/>
            <w:hideMark/>
          </w:tcPr>
          <w:p w14:paraId="3F81E36B"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33%</w:t>
            </w:r>
          </w:p>
        </w:tc>
      </w:tr>
      <w:tr w:rsidR="0004072A" w:rsidRPr="005E5929" w14:paraId="05D3511C"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5C237408"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Sicilia</w:t>
            </w:r>
          </w:p>
        </w:tc>
        <w:tc>
          <w:tcPr>
            <w:tcW w:w="930" w:type="pct"/>
            <w:noWrap/>
            <w:hideMark/>
          </w:tcPr>
          <w:p w14:paraId="5727310B"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153.503</w:t>
            </w:r>
          </w:p>
        </w:tc>
        <w:tc>
          <w:tcPr>
            <w:tcW w:w="951" w:type="pct"/>
            <w:noWrap/>
            <w:hideMark/>
          </w:tcPr>
          <w:p w14:paraId="1591608B"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1.438.685</w:t>
            </w:r>
          </w:p>
        </w:tc>
        <w:tc>
          <w:tcPr>
            <w:tcW w:w="1032" w:type="pct"/>
            <w:noWrap/>
            <w:hideMark/>
          </w:tcPr>
          <w:p w14:paraId="05317D68"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598.018</w:t>
            </w:r>
          </w:p>
        </w:tc>
        <w:tc>
          <w:tcPr>
            <w:tcW w:w="1032" w:type="pct"/>
            <w:hideMark/>
          </w:tcPr>
          <w:p w14:paraId="56A4A824"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42%</w:t>
            </w:r>
          </w:p>
        </w:tc>
      </w:tr>
      <w:tr w:rsidR="0004072A" w:rsidRPr="005E5929" w14:paraId="6630FA33" w14:textId="77777777" w:rsidTr="004C75A2">
        <w:trPr>
          <w:trHeight w:val="240"/>
        </w:trPr>
        <w:tc>
          <w:tcPr>
            <w:cnfStyle w:val="001000000000" w:firstRow="0" w:lastRow="0" w:firstColumn="1" w:lastColumn="0" w:oddVBand="0" w:evenVBand="0" w:oddHBand="0" w:evenHBand="0" w:firstRowFirstColumn="0" w:firstRowLastColumn="0" w:lastRowFirstColumn="0" w:lastRowLastColumn="0"/>
            <w:tcW w:w="1055" w:type="pct"/>
            <w:noWrap/>
            <w:hideMark/>
          </w:tcPr>
          <w:p w14:paraId="16DB6575" w14:textId="77777777" w:rsidR="0004072A" w:rsidRPr="0099728D" w:rsidRDefault="0004072A" w:rsidP="000561ED">
            <w:pPr>
              <w:jc w:val="left"/>
              <w:rPr>
                <w:rFonts w:eastAsia="Times New Roman" w:cs="Times New Roman"/>
                <w:b w:val="0"/>
                <w:bCs w:val="0"/>
                <w:sz w:val="20"/>
                <w:szCs w:val="20"/>
                <w:lang w:eastAsia="it-IT"/>
              </w:rPr>
            </w:pPr>
            <w:r w:rsidRPr="0099728D">
              <w:rPr>
                <w:rFonts w:eastAsia="Times New Roman" w:cs="Times New Roman"/>
                <w:b w:val="0"/>
                <w:bCs w:val="0"/>
                <w:sz w:val="20"/>
                <w:szCs w:val="20"/>
                <w:lang w:eastAsia="it-IT"/>
              </w:rPr>
              <w:t>Sardegna</w:t>
            </w:r>
          </w:p>
        </w:tc>
        <w:tc>
          <w:tcPr>
            <w:tcW w:w="930" w:type="pct"/>
            <w:noWrap/>
            <w:hideMark/>
          </w:tcPr>
          <w:p w14:paraId="79CFFB83"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48.511</w:t>
            </w:r>
          </w:p>
        </w:tc>
        <w:tc>
          <w:tcPr>
            <w:tcW w:w="951" w:type="pct"/>
            <w:noWrap/>
            <w:hideMark/>
          </w:tcPr>
          <w:p w14:paraId="3AF0D1C4"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1.187.624</w:t>
            </w:r>
          </w:p>
        </w:tc>
        <w:tc>
          <w:tcPr>
            <w:tcW w:w="1032" w:type="pct"/>
            <w:noWrap/>
            <w:hideMark/>
          </w:tcPr>
          <w:p w14:paraId="43AC2BBD"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99728D">
              <w:rPr>
                <w:rFonts w:eastAsia="Times New Roman" w:cs="Times New Roman"/>
                <w:sz w:val="20"/>
                <w:szCs w:val="20"/>
                <w:lang w:eastAsia="it-IT"/>
              </w:rPr>
              <w:t>553.293</w:t>
            </w:r>
          </w:p>
        </w:tc>
        <w:tc>
          <w:tcPr>
            <w:tcW w:w="1032" w:type="pct"/>
            <w:hideMark/>
          </w:tcPr>
          <w:p w14:paraId="3F16BBD7" w14:textId="77777777" w:rsidR="0004072A" w:rsidRPr="0099728D"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99728D">
              <w:rPr>
                <w:rFonts w:eastAsia="Times New Roman" w:cs="Times New Roman"/>
                <w:i/>
                <w:iCs/>
                <w:sz w:val="20"/>
                <w:szCs w:val="20"/>
                <w:lang w:eastAsia="it-IT"/>
              </w:rPr>
              <w:t>47%</w:t>
            </w:r>
          </w:p>
        </w:tc>
      </w:tr>
      <w:tr w:rsidR="004C75A2" w:rsidRPr="005E5929" w14:paraId="08B30FCD"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055" w:type="pct"/>
            <w:shd w:val="clear" w:color="auto" w:fill="4F81BD" w:themeFill="accent1"/>
            <w:noWrap/>
            <w:hideMark/>
          </w:tcPr>
          <w:p w14:paraId="395DFB8C" w14:textId="77777777" w:rsidR="0004072A" w:rsidRPr="0099728D" w:rsidRDefault="0004072A" w:rsidP="000561ED">
            <w:pPr>
              <w:jc w:val="left"/>
              <w:rPr>
                <w:rFonts w:eastAsia="Times New Roman" w:cs="Times New Roman"/>
                <w:color w:val="FFFFFF" w:themeColor="background1"/>
                <w:sz w:val="20"/>
                <w:szCs w:val="20"/>
                <w:lang w:eastAsia="it-IT"/>
              </w:rPr>
            </w:pPr>
            <w:r w:rsidRPr="0099728D">
              <w:rPr>
                <w:rFonts w:eastAsia="Times New Roman" w:cs="Times New Roman"/>
                <w:color w:val="FFFFFF" w:themeColor="background1"/>
                <w:sz w:val="20"/>
                <w:szCs w:val="20"/>
                <w:lang w:eastAsia="it-IT"/>
              </w:rPr>
              <w:t>Totale</w:t>
            </w:r>
          </w:p>
        </w:tc>
        <w:tc>
          <w:tcPr>
            <w:tcW w:w="930" w:type="pct"/>
            <w:shd w:val="clear" w:color="auto" w:fill="4F81BD" w:themeFill="accent1"/>
            <w:noWrap/>
            <w:hideMark/>
          </w:tcPr>
          <w:p w14:paraId="658805B8"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FFFFFF" w:themeColor="background1"/>
                <w:sz w:val="20"/>
                <w:szCs w:val="20"/>
                <w:lang w:eastAsia="it-IT"/>
              </w:rPr>
            </w:pPr>
            <w:r w:rsidRPr="0099728D">
              <w:rPr>
                <w:rFonts w:eastAsia="Times New Roman" w:cs="Times New Roman"/>
                <w:color w:val="FFFFFF" w:themeColor="background1"/>
                <w:sz w:val="20"/>
                <w:szCs w:val="20"/>
                <w:lang w:eastAsia="it-IT"/>
              </w:rPr>
              <w:t>1.145.706</w:t>
            </w:r>
          </w:p>
        </w:tc>
        <w:tc>
          <w:tcPr>
            <w:tcW w:w="951" w:type="pct"/>
            <w:shd w:val="clear" w:color="auto" w:fill="4F81BD" w:themeFill="accent1"/>
            <w:noWrap/>
            <w:hideMark/>
          </w:tcPr>
          <w:p w14:paraId="2E505835"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FFFFFF" w:themeColor="background1"/>
                <w:sz w:val="20"/>
                <w:szCs w:val="20"/>
                <w:lang w:eastAsia="it-IT"/>
              </w:rPr>
            </w:pPr>
            <w:r w:rsidRPr="0099728D">
              <w:rPr>
                <w:rFonts w:eastAsia="Times New Roman" w:cs="Times New Roman"/>
                <w:color w:val="FFFFFF" w:themeColor="background1"/>
                <w:sz w:val="20"/>
                <w:szCs w:val="20"/>
                <w:lang w:eastAsia="it-IT"/>
              </w:rPr>
              <w:t>12.598.163</w:t>
            </w:r>
          </w:p>
        </w:tc>
        <w:tc>
          <w:tcPr>
            <w:tcW w:w="1032" w:type="pct"/>
            <w:shd w:val="clear" w:color="auto" w:fill="4F81BD" w:themeFill="accent1"/>
            <w:noWrap/>
            <w:hideMark/>
          </w:tcPr>
          <w:p w14:paraId="5B54C677"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color w:val="FFFFFF" w:themeColor="background1"/>
                <w:sz w:val="20"/>
                <w:szCs w:val="20"/>
                <w:lang w:eastAsia="it-IT"/>
              </w:rPr>
            </w:pPr>
            <w:r w:rsidRPr="0099728D">
              <w:rPr>
                <w:rFonts w:eastAsia="Times New Roman" w:cs="Times New Roman"/>
                <w:color w:val="FFFFFF" w:themeColor="background1"/>
                <w:sz w:val="20"/>
                <w:szCs w:val="20"/>
                <w:lang w:eastAsia="it-IT"/>
              </w:rPr>
              <w:t>5.763.555</w:t>
            </w:r>
          </w:p>
        </w:tc>
        <w:tc>
          <w:tcPr>
            <w:tcW w:w="1032" w:type="pct"/>
            <w:shd w:val="clear" w:color="auto" w:fill="4F81BD" w:themeFill="accent1"/>
            <w:noWrap/>
            <w:hideMark/>
          </w:tcPr>
          <w:p w14:paraId="5E4E9B92" w14:textId="77777777" w:rsidR="0004072A" w:rsidRPr="0099728D"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FFFFFF" w:themeColor="background1"/>
                <w:sz w:val="20"/>
                <w:szCs w:val="20"/>
                <w:lang w:eastAsia="it-IT"/>
              </w:rPr>
            </w:pPr>
            <w:r w:rsidRPr="0099728D">
              <w:rPr>
                <w:rFonts w:eastAsia="Times New Roman" w:cs="Times New Roman"/>
                <w:i/>
                <w:iCs/>
                <w:color w:val="FFFFFF" w:themeColor="background1"/>
                <w:sz w:val="20"/>
                <w:szCs w:val="20"/>
                <w:lang w:eastAsia="it-IT"/>
              </w:rPr>
              <w:t>46%</w:t>
            </w:r>
          </w:p>
        </w:tc>
      </w:tr>
    </w:tbl>
    <w:p w14:paraId="5871E431" w14:textId="77777777" w:rsidR="0004072A" w:rsidRPr="004C75A2" w:rsidRDefault="0004072A" w:rsidP="004C75A2">
      <w:pPr>
        <w:pStyle w:val="Paragrafoelenco"/>
        <w:spacing w:before="60" w:after="120"/>
        <w:contextualSpacing w:val="0"/>
        <w:rPr>
          <w:i/>
          <w:sz w:val="20"/>
          <w:szCs w:val="20"/>
        </w:rPr>
      </w:pPr>
      <w:r w:rsidRPr="004C75A2">
        <w:rPr>
          <w:i/>
          <w:sz w:val="20"/>
          <w:szCs w:val="20"/>
        </w:rPr>
        <w:t>Fonte: Elaborazione del CREA – Centro Politiche Bioeconomia su dati ISTAT, Indagine Strutture Agricole 2016</w:t>
      </w:r>
    </w:p>
    <w:p w14:paraId="244C18E6" w14:textId="2BBE8B79" w:rsidR="0004072A" w:rsidRDefault="0004072A" w:rsidP="0004072A">
      <w:pPr>
        <w:pStyle w:val="Paragrafoelenco"/>
        <w:numPr>
          <w:ilvl w:val="0"/>
          <w:numId w:val="12"/>
        </w:numPr>
        <w:spacing w:after="120"/>
        <w:contextualSpacing w:val="0"/>
      </w:pPr>
      <w:r>
        <w:t>Le aziende con allevamenti sono quelle con la maggior quota di SAU in affitto, in particolare quelle con erbivori (65%) anche per ottemperare alle normative di spandimento dei liquami, oltre che per la produzione foraggera. Seguono quelle specializzate nell’allevamento di granivori (57%), con poli-allevamento (53%) e miste (51%). Nell’ambito delle produzioni vegetali sono invece le aziende specializzate in ortofloricoltura ad utilizzare maggiormente lo strumento dell’affitto (44%)</w:t>
      </w:r>
      <w:r w:rsidR="004C75A2">
        <w:t>.</w:t>
      </w:r>
      <w:r>
        <w:t xml:space="preserve"> </w:t>
      </w:r>
      <w:r w:rsidRPr="009C035B">
        <w:t>(</w:t>
      </w:r>
      <w:r w:rsidRPr="004C75A2">
        <w:rPr>
          <w:b/>
          <w:bCs/>
        </w:rPr>
        <w:t xml:space="preserve">Tabella </w:t>
      </w:r>
      <w:r w:rsidR="009C035B" w:rsidRPr="004C75A2">
        <w:rPr>
          <w:b/>
          <w:bCs/>
        </w:rPr>
        <w:t>19</w:t>
      </w:r>
      <w:r>
        <w:t>).</w:t>
      </w:r>
    </w:p>
    <w:p w14:paraId="1663F504" w14:textId="695A28E6" w:rsidR="0004072A" w:rsidRDefault="0004072A" w:rsidP="0004072A">
      <w:pPr>
        <w:spacing w:after="120"/>
      </w:pPr>
    </w:p>
    <w:p w14:paraId="42E000A8" w14:textId="26860599" w:rsidR="004C75A2" w:rsidRDefault="004C75A2" w:rsidP="0004072A">
      <w:pPr>
        <w:spacing w:after="120"/>
      </w:pPr>
    </w:p>
    <w:p w14:paraId="7E918CE1" w14:textId="77777777" w:rsidR="004C75A2" w:rsidRDefault="004C75A2" w:rsidP="0004072A">
      <w:pPr>
        <w:spacing w:after="120"/>
      </w:pPr>
    </w:p>
    <w:p w14:paraId="13BB5C8B" w14:textId="77777777" w:rsidR="0004072A" w:rsidRDefault="0004072A" w:rsidP="0004072A">
      <w:pPr>
        <w:spacing w:after="120"/>
      </w:pPr>
    </w:p>
    <w:p w14:paraId="15D9FBEB" w14:textId="77777777" w:rsidR="0004072A" w:rsidRDefault="0004072A" w:rsidP="0004072A">
      <w:pPr>
        <w:spacing w:after="120"/>
      </w:pPr>
    </w:p>
    <w:p w14:paraId="66A21B6B" w14:textId="77777777" w:rsidR="0004072A" w:rsidRDefault="0004072A" w:rsidP="0004072A">
      <w:pPr>
        <w:spacing w:after="120"/>
      </w:pPr>
    </w:p>
    <w:p w14:paraId="7402C8C9" w14:textId="77777777" w:rsidR="0004072A" w:rsidRDefault="0004072A" w:rsidP="0004072A">
      <w:pPr>
        <w:spacing w:after="120"/>
      </w:pPr>
    </w:p>
    <w:p w14:paraId="29DDBCF5" w14:textId="47F95DF3" w:rsidR="0004072A" w:rsidRDefault="0004072A" w:rsidP="0004072A">
      <w:pPr>
        <w:spacing w:after="120"/>
      </w:pPr>
    </w:p>
    <w:p w14:paraId="44960792" w14:textId="77777777" w:rsidR="004C75A2" w:rsidRDefault="004C75A2" w:rsidP="0004072A">
      <w:pPr>
        <w:spacing w:after="120"/>
      </w:pPr>
    </w:p>
    <w:p w14:paraId="63D78FB7" w14:textId="2091D1A7" w:rsidR="0004072A" w:rsidRDefault="0004072A" w:rsidP="0004072A">
      <w:pPr>
        <w:spacing w:after="120"/>
      </w:pPr>
    </w:p>
    <w:p w14:paraId="5FB14216" w14:textId="765B6384" w:rsidR="0004072A" w:rsidRPr="009C035B" w:rsidRDefault="009C035B" w:rsidP="004C75A2">
      <w:pPr>
        <w:pStyle w:val="Paragrafoelenco"/>
        <w:spacing w:after="120"/>
        <w:ind w:left="142"/>
        <w:contextualSpacing w:val="0"/>
        <w:rPr>
          <w:b/>
        </w:rPr>
      </w:pPr>
      <w:r w:rsidRPr="009C035B">
        <w:rPr>
          <w:b/>
        </w:rPr>
        <w:t>19</w:t>
      </w:r>
      <w:r w:rsidR="004C75A2">
        <w:rPr>
          <w:b/>
        </w:rPr>
        <w:t>.</w:t>
      </w:r>
      <w:r w:rsidR="004C75A2">
        <w:rPr>
          <w:b/>
        </w:rPr>
        <w:tab/>
      </w:r>
      <w:r w:rsidR="0004072A" w:rsidRPr="009C035B">
        <w:rPr>
          <w:b/>
        </w:rPr>
        <w:t xml:space="preserve"> Aziende, SAU e superficie in affitto per OTE e incidenza % (superficie in ha) - 2016</w:t>
      </w:r>
    </w:p>
    <w:tbl>
      <w:tblPr>
        <w:tblStyle w:val="Tabellaelenco3-colore1"/>
        <w:tblW w:w="4634" w:type="pct"/>
        <w:tblInd w:w="704" w:type="dxa"/>
        <w:tblLook w:val="04A0" w:firstRow="1" w:lastRow="0" w:firstColumn="1" w:lastColumn="0" w:noHBand="0" w:noVBand="1"/>
      </w:tblPr>
      <w:tblGrid>
        <w:gridCol w:w="2567"/>
        <w:gridCol w:w="1596"/>
        <w:gridCol w:w="1595"/>
        <w:gridCol w:w="1761"/>
        <w:gridCol w:w="1404"/>
      </w:tblGrid>
      <w:tr w:rsidR="0004072A" w:rsidRPr="005E5929" w14:paraId="62CA1353" w14:textId="77777777" w:rsidTr="004C75A2">
        <w:trPr>
          <w:cnfStyle w:val="100000000000" w:firstRow="1" w:lastRow="0" w:firstColumn="0" w:lastColumn="0" w:oddVBand="0" w:evenVBand="0" w:oddHBand="0" w:evenHBand="0" w:firstRowFirstColumn="0" w:firstRowLastColumn="0" w:lastRowFirstColumn="0" w:lastRowLastColumn="0"/>
          <w:trHeight w:val="1040"/>
        </w:trPr>
        <w:tc>
          <w:tcPr>
            <w:cnfStyle w:val="001000000100" w:firstRow="0" w:lastRow="0" w:firstColumn="1" w:lastColumn="0" w:oddVBand="0" w:evenVBand="0" w:oddHBand="0" w:evenHBand="0" w:firstRowFirstColumn="1" w:firstRowLastColumn="0" w:lastRowFirstColumn="0" w:lastRowLastColumn="0"/>
            <w:tcW w:w="1438" w:type="pct"/>
            <w:hideMark/>
          </w:tcPr>
          <w:p w14:paraId="77AFD162" w14:textId="77777777" w:rsidR="004C75A2" w:rsidRPr="004C75A2" w:rsidRDefault="004C75A2" w:rsidP="000561ED">
            <w:pPr>
              <w:jc w:val="center"/>
              <w:rPr>
                <w:rFonts w:eastAsia="Times New Roman" w:cs="Times New Roman"/>
                <w:sz w:val="20"/>
                <w:szCs w:val="20"/>
                <w:lang w:eastAsia="it-IT"/>
              </w:rPr>
            </w:pPr>
          </w:p>
          <w:p w14:paraId="2E412155" w14:textId="76640F67" w:rsidR="0004072A" w:rsidRPr="004C75A2" w:rsidRDefault="0004072A" w:rsidP="000561ED">
            <w:pPr>
              <w:jc w:val="center"/>
              <w:rPr>
                <w:rFonts w:eastAsia="Times New Roman" w:cs="Times New Roman"/>
                <w:sz w:val="20"/>
                <w:szCs w:val="20"/>
                <w:lang w:eastAsia="it-IT"/>
              </w:rPr>
            </w:pPr>
            <w:r w:rsidRPr="004C75A2">
              <w:rPr>
                <w:rFonts w:eastAsia="Times New Roman" w:cs="Times New Roman"/>
                <w:sz w:val="20"/>
                <w:szCs w:val="20"/>
                <w:lang w:eastAsia="it-IT"/>
              </w:rPr>
              <w:t>Orientamento tecnico economico</w:t>
            </w:r>
          </w:p>
        </w:tc>
        <w:tc>
          <w:tcPr>
            <w:tcW w:w="894" w:type="pct"/>
            <w:hideMark/>
          </w:tcPr>
          <w:p w14:paraId="459D9BCF" w14:textId="77777777" w:rsidR="004C75A2" w:rsidRPr="004C75A2" w:rsidRDefault="004C75A2"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p>
          <w:p w14:paraId="13A87D78" w14:textId="2F009D41" w:rsidR="0004072A" w:rsidRPr="004C75A2" w:rsidRDefault="0004072A"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Aziende</w:t>
            </w:r>
          </w:p>
        </w:tc>
        <w:tc>
          <w:tcPr>
            <w:tcW w:w="894" w:type="pct"/>
            <w:hideMark/>
          </w:tcPr>
          <w:p w14:paraId="238B86BC" w14:textId="77777777" w:rsidR="004C75A2" w:rsidRPr="004C75A2" w:rsidRDefault="004C75A2"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p>
          <w:p w14:paraId="41E211ED" w14:textId="4A6F1BD5" w:rsidR="0004072A" w:rsidRPr="004C75A2" w:rsidRDefault="0004072A"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SAU</w:t>
            </w:r>
          </w:p>
        </w:tc>
        <w:tc>
          <w:tcPr>
            <w:tcW w:w="987" w:type="pct"/>
            <w:hideMark/>
          </w:tcPr>
          <w:p w14:paraId="6F1ED085" w14:textId="77777777" w:rsidR="004C75A2" w:rsidRPr="004C75A2" w:rsidRDefault="004C75A2"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p>
          <w:p w14:paraId="18D686D1" w14:textId="3ABC914B" w:rsidR="0004072A" w:rsidRPr="004C75A2" w:rsidRDefault="0004072A"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SAU in affitto</w:t>
            </w:r>
          </w:p>
        </w:tc>
        <w:tc>
          <w:tcPr>
            <w:tcW w:w="787" w:type="pct"/>
            <w:hideMark/>
          </w:tcPr>
          <w:p w14:paraId="78FED1F8" w14:textId="77777777" w:rsidR="0004072A" w:rsidRPr="004C75A2" w:rsidRDefault="0004072A" w:rsidP="000561ED">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Incidenza % della SAU in affitto sul totale</w:t>
            </w:r>
          </w:p>
        </w:tc>
      </w:tr>
      <w:tr w:rsidR="0004072A" w:rsidRPr="005E5929" w14:paraId="1954E9D2"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438" w:type="pct"/>
            <w:hideMark/>
          </w:tcPr>
          <w:p w14:paraId="1CE3CCA3" w14:textId="77777777" w:rsidR="0004072A" w:rsidRPr="004C75A2" w:rsidRDefault="0004072A" w:rsidP="000561ED">
            <w:pPr>
              <w:jc w:val="left"/>
              <w:rPr>
                <w:rFonts w:eastAsia="Times New Roman" w:cs="Times New Roman"/>
                <w:b w:val="0"/>
                <w:bCs w:val="0"/>
                <w:sz w:val="20"/>
                <w:szCs w:val="20"/>
                <w:lang w:eastAsia="it-IT"/>
              </w:rPr>
            </w:pPr>
            <w:r w:rsidRPr="004C75A2">
              <w:rPr>
                <w:rFonts w:eastAsia="Times New Roman" w:cs="Times New Roman"/>
                <w:b w:val="0"/>
                <w:bCs w:val="0"/>
                <w:sz w:val="20"/>
                <w:szCs w:val="20"/>
                <w:lang w:eastAsia="it-IT"/>
              </w:rPr>
              <w:t>Az. spec. nei seminativi</w:t>
            </w:r>
          </w:p>
        </w:tc>
        <w:tc>
          <w:tcPr>
            <w:tcW w:w="894" w:type="pct"/>
            <w:hideMark/>
          </w:tcPr>
          <w:p w14:paraId="6A2E417C"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344.468</w:t>
            </w:r>
          </w:p>
        </w:tc>
        <w:tc>
          <w:tcPr>
            <w:tcW w:w="894" w:type="pct"/>
            <w:hideMark/>
          </w:tcPr>
          <w:p w14:paraId="0B931BB3"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4.791.348</w:t>
            </w:r>
          </w:p>
        </w:tc>
        <w:tc>
          <w:tcPr>
            <w:tcW w:w="987" w:type="pct"/>
            <w:hideMark/>
          </w:tcPr>
          <w:p w14:paraId="259A59DA"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1.927.991</w:t>
            </w:r>
          </w:p>
        </w:tc>
        <w:tc>
          <w:tcPr>
            <w:tcW w:w="787" w:type="pct"/>
            <w:hideMark/>
          </w:tcPr>
          <w:p w14:paraId="2D75C009"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4C75A2">
              <w:rPr>
                <w:rFonts w:eastAsia="Times New Roman" w:cs="Times New Roman"/>
                <w:i/>
                <w:iCs/>
                <w:sz w:val="20"/>
                <w:szCs w:val="20"/>
                <w:lang w:eastAsia="it-IT"/>
              </w:rPr>
              <w:t>40%</w:t>
            </w:r>
          </w:p>
        </w:tc>
      </w:tr>
      <w:tr w:rsidR="0004072A" w:rsidRPr="005E5929" w14:paraId="2A2472D4" w14:textId="77777777" w:rsidTr="004C75A2">
        <w:trPr>
          <w:trHeight w:val="240"/>
        </w:trPr>
        <w:tc>
          <w:tcPr>
            <w:cnfStyle w:val="001000000000" w:firstRow="0" w:lastRow="0" w:firstColumn="1" w:lastColumn="0" w:oddVBand="0" w:evenVBand="0" w:oddHBand="0" w:evenHBand="0" w:firstRowFirstColumn="0" w:firstRowLastColumn="0" w:lastRowFirstColumn="0" w:lastRowLastColumn="0"/>
            <w:tcW w:w="1438" w:type="pct"/>
            <w:noWrap/>
            <w:hideMark/>
          </w:tcPr>
          <w:p w14:paraId="699ADAE1" w14:textId="77777777" w:rsidR="0004072A" w:rsidRPr="004C75A2" w:rsidRDefault="0004072A" w:rsidP="000561ED">
            <w:pPr>
              <w:jc w:val="left"/>
              <w:rPr>
                <w:rFonts w:eastAsia="Times New Roman" w:cs="Times New Roman"/>
                <w:b w:val="0"/>
                <w:bCs w:val="0"/>
                <w:sz w:val="20"/>
                <w:szCs w:val="20"/>
                <w:lang w:eastAsia="it-IT"/>
              </w:rPr>
            </w:pPr>
            <w:r w:rsidRPr="004C75A2">
              <w:rPr>
                <w:rFonts w:eastAsia="Times New Roman" w:cs="Times New Roman"/>
                <w:b w:val="0"/>
                <w:bCs w:val="0"/>
                <w:sz w:val="20"/>
                <w:szCs w:val="20"/>
                <w:lang w:eastAsia="it-IT"/>
              </w:rPr>
              <w:t>Az. spec. in ortofloricoltura</w:t>
            </w:r>
          </w:p>
        </w:tc>
        <w:tc>
          <w:tcPr>
            <w:tcW w:w="894" w:type="pct"/>
            <w:noWrap/>
            <w:hideMark/>
          </w:tcPr>
          <w:p w14:paraId="74CBCF6A"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21.489</w:t>
            </w:r>
          </w:p>
        </w:tc>
        <w:tc>
          <w:tcPr>
            <w:tcW w:w="894" w:type="pct"/>
            <w:noWrap/>
            <w:hideMark/>
          </w:tcPr>
          <w:p w14:paraId="49E10201"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143.350</w:t>
            </w:r>
          </w:p>
        </w:tc>
        <w:tc>
          <w:tcPr>
            <w:tcW w:w="987" w:type="pct"/>
            <w:noWrap/>
            <w:hideMark/>
          </w:tcPr>
          <w:p w14:paraId="5816BACD"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63.325</w:t>
            </w:r>
          </w:p>
        </w:tc>
        <w:tc>
          <w:tcPr>
            <w:tcW w:w="787" w:type="pct"/>
            <w:hideMark/>
          </w:tcPr>
          <w:p w14:paraId="7B092D86"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4C75A2">
              <w:rPr>
                <w:rFonts w:eastAsia="Times New Roman" w:cs="Times New Roman"/>
                <w:i/>
                <w:iCs/>
                <w:sz w:val="20"/>
                <w:szCs w:val="20"/>
                <w:lang w:eastAsia="it-IT"/>
              </w:rPr>
              <w:t>44%</w:t>
            </w:r>
          </w:p>
        </w:tc>
      </w:tr>
      <w:tr w:rsidR="0004072A" w:rsidRPr="005E5929" w14:paraId="14D3306B"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438" w:type="pct"/>
            <w:noWrap/>
            <w:hideMark/>
          </w:tcPr>
          <w:p w14:paraId="53560050" w14:textId="77777777" w:rsidR="0004072A" w:rsidRPr="004C75A2" w:rsidRDefault="0004072A" w:rsidP="000561ED">
            <w:pPr>
              <w:jc w:val="left"/>
              <w:rPr>
                <w:rFonts w:eastAsia="Times New Roman" w:cs="Times New Roman"/>
                <w:b w:val="0"/>
                <w:bCs w:val="0"/>
                <w:sz w:val="20"/>
                <w:szCs w:val="20"/>
                <w:lang w:eastAsia="it-IT"/>
              </w:rPr>
            </w:pPr>
            <w:r w:rsidRPr="004C75A2">
              <w:rPr>
                <w:rFonts w:eastAsia="Times New Roman" w:cs="Times New Roman"/>
                <w:b w:val="0"/>
                <w:bCs w:val="0"/>
                <w:sz w:val="20"/>
                <w:szCs w:val="20"/>
                <w:lang w:eastAsia="it-IT"/>
              </w:rPr>
              <w:t>Az. spec. colture permanenti</w:t>
            </w:r>
          </w:p>
        </w:tc>
        <w:tc>
          <w:tcPr>
            <w:tcW w:w="894" w:type="pct"/>
            <w:noWrap/>
            <w:hideMark/>
          </w:tcPr>
          <w:p w14:paraId="2556D9FA"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538.032</w:t>
            </w:r>
          </w:p>
        </w:tc>
        <w:tc>
          <w:tcPr>
            <w:tcW w:w="894" w:type="pct"/>
            <w:noWrap/>
            <w:hideMark/>
          </w:tcPr>
          <w:p w14:paraId="0FF5084A"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2.403.962</w:t>
            </w:r>
          </w:p>
        </w:tc>
        <w:tc>
          <w:tcPr>
            <w:tcW w:w="987" w:type="pct"/>
            <w:noWrap/>
            <w:hideMark/>
          </w:tcPr>
          <w:p w14:paraId="464BC8C3"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740.057</w:t>
            </w:r>
          </w:p>
        </w:tc>
        <w:tc>
          <w:tcPr>
            <w:tcW w:w="787" w:type="pct"/>
            <w:hideMark/>
          </w:tcPr>
          <w:p w14:paraId="6461BE6C"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4C75A2">
              <w:rPr>
                <w:rFonts w:eastAsia="Times New Roman" w:cs="Times New Roman"/>
                <w:i/>
                <w:iCs/>
                <w:sz w:val="20"/>
                <w:szCs w:val="20"/>
                <w:lang w:eastAsia="it-IT"/>
              </w:rPr>
              <w:t>31%</w:t>
            </w:r>
          </w:p>
        </w:tc>
      </w:tr>
      <w:tr w:rsidR="0004072A" w:rsidRPr="005E5929" w14:paraId="1C9FF5D6" w14:textId="77777777" w:rsidTr="004C75A2">
        <w:trPr>
          <w:trHeight w:val="260"/>
        </w:trPr>
        <w:tc>
          <w:tcPr>
            <w:cnfStyle w:val="001000000000" w:firstRow="0" w:lastRow="0" w:firstColumn="1" w:lastColumn="0" w:oddVBand="0" w:evenVBand="0" w:oddHBand="0" w:evenHBand="0" w:firstRowFirstColumn="0" w:firstRowLastColumn="0" w:lastRowFirstColumn="0" w:lastRowLastColumn="0"/>
            <w:tcW w:w="1438" w:type="pct"/>
            <w:noWrap/>
            <w:hideMark/>
          </w:tcPr>
          <w:p w14:paraId="04F54407" w14:textId="77777777" w:rsidR="0004072A" w:rsidRPr="004C75A2" w:rsidRDefault="0004072A" w:rsidP="000561ED">
            <w:pPr>
              <w:jc w:val="left"/>
              <w:rPr>
                <w:rFonts w:eastAsia="Times New Roman" w:cs="Times New Roman"/>
                <w:b w:val="0"/>
                <w:bCs w:val="0"/>
                <w:sz w:val="20"/>
                <w:szCs w:val="20"/>
                <w:lang w:eastAsia="it-IT"/>
              </w:rPr>
            </w:pPr>
            <w:r w:rsidRPr="004C75A2">
              <w:rPr>
                <w:rFonts w:eastAsia="Times New Roman" w:cs="Times New Roman"/>
                <w:b w:val="0"/>
                <w:bCs w:val="0"/>
                <w:sz w:val="20"/>
                <w:szCs w:val="20"/>
                <w:lang w:eastAsia="it-IT"/>
              </w:rPr>
              <w:t>Az. specializzate in erbivori</w:t>
            </w:r>
          </w:p>
        </w:tc>
        <w:tc>
          <w:tcPr>
            <w:tcW w:w="894" w:type="pct"/>
            <w:noWrap/>
            <w:hideMark/>
          </w:tcPr>
          <w:p w14:paraId="503F7B23"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102.005</w:t>
            </w:r>
          </w:p>
        </w:tc>
        <w:tc>
          <w:tcPr>
            <w:tcW w:w="894" w:type="pct"/>
            <w:noWrap/>
            <w:hideMark/>
          </w:tcPr>
          <w:p w14:paraId="2E63C934"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3.509.164</w:t>
            </w:r>
          </w:p>
        </w:tc>
        <w:tc>
          <w:tcPr>
            <w:tcW w:w="987" w:type="pct"/>
            <w:noWrap/>
            <w:hideMark/>
          </w:tcPr>
          <w:p w14:paraId="452AA16A"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2.265.193</w:t>
            </w:r>
          </w:p>
        </w:tc>
        <w:tc>
          <w:tcPr>
            <w:tcW w:w="787" w:type="pct"/>
            <w:hideMark/>
          </w:tcPr>
          <w:p w14:paraId="0F7F2AF7"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4C75A2">
              <w:rPr>
                <w:rFonts w:eastAsia="Times New Roman" w:cs="Times New Roman"/>
                <w:i/>
                <w:iCs/>
                <w:sz w:val="20"/>
                <w:szCs w:val="20"/>
                <w:lang w:eastAsia="it-IT"/>
              </w:rPr>
              <w:t>65%</w:t>
            </w:r>
          </w:p>
        </w:tc>
      </w:tr>
      <w:tr w:rsidR="0004072A" w:rsidRPr="005E5929" w14:paraId="72171182"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438" w:type="pct"/>
            <w:hideMark/>
          </w:tcPr>
          <w:p w14:paraId="3FA6DDBF" w14:textId="77777777" w:rsidR="0004072A" w:rsidRPr="004C75A2" w:rsidRDefault="0004072A" w:rsidP="000561ED">
            <w:pPr>
              <w:jc w:val="left"/>
              <w:rPr>
                <w:rFonts w:eastAsia="Times New Roman" w:cs="Times New Roman"/>
                <w:b w:val="0"/>
                <w:bCs w:val="0"/>
                <w:sz w:val="20"/>
                <w:szCs w:val="20"/>
                <w:lang w:eastAsia="it-IT"/>
              </w:rPr>
            </w:pPr>
            <w:r w:rsidRPr="004C75A2">
              <w:rPr>
                <w:rFonts w:eastAsia="Times New Roman" w:cs="Times New Roman"/>
                <w:b w:val="0"/>
                <w:bCs w:val="0"/>
                <w:sz w:val="20"/>
                <w:szCs w:val="20"/>
                <w:lang w:eastAsia="it-IT"/>
              </w:rPr>
              <w:t>Az. spec. in granivori</w:t>
            </w:r>
          </w:p>
        </w:tc>
        <w:tc>
          <w:tcPr>
            <w:tcW w:w="894" w:type="pct"/>
            <w:noWrap/>
            <w:hideMark/>
          </w:tcPr>
          <w:p w14:paraId="7F95BB67"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8.076</w:t>
            </w:r>
          </w:p>
        </w:tc>
        <w:tc>
          <w:tcPr>
            <w:tcW w:w="894" w:type="pct"/>
            <w:noWrap/>
            <w:hideMark/>
          </w:tcPr>
          <w:p w14:paraId="2E436883"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201.877</w:t>
            </w:r>
          </w:p>
        </w:tc>
        <w:tc>
          <w:tcPr>
            <w:tcW w:w="987" w:type="pct"/>
            <w:noWrap/>
            <w:hideMark/>
          </w:tcPr>
          <w:p w14:paraId="6B0D3A6F"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114.505</w:t>
            </w:r>
          </w:p>
        </w:tc>
        <w:tc>
          <w:tcPr>
            <w:tcW w:w="787" w:type="pct"/>
            <w:hideMark/>
          </w:tcPr>
          <w:p w14:paraId="7587B426"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4C75A2">
              <w:rPr>
                <w:rFonts w:eastAsia="Times New Roman" w:cs="Times New Roman"/>
                <w:i/>
                <w:iCs/>
                <w:sz w:val="20"/>
                <w:szCs w:val="20"/>
                <w:lang w:eastAsia="it-IT"/>
              </w:rPr>
              <w:t>57%</w:t>
            </w:r>
          </w:p>
        </w:tc>
      </w:tr>
      <w:tr w:rsidR="0004072A" w:rsidRPr="005E5929" w14:paraId="127BEF65" w14:textId="77777777" w:rsidTr="004C75A2">
        <w:trPr>
          <w:trHeight w:val="260"/>
        </w:trPr>
        <w:tc>
          <w:tcPr>
            <w:cnfStyle w:val="001000000000" w:firstRow="0" w:lastRow="0" w:firstColumn="1" w:lastColumn="0" w:oddVBand="0" w:evenVBand="0" w:oddHBand="0" w:evenHBand="0" w:firstRowFirstColumn="0" w:firstRowLastColumn="0" w:lastRowFirstColumn="0" w:lastRowLastColumn="0"/>
            <w:tcW w:w="1438" w:type="pct"/>
            <w:hideMark/>
          </w:tcPr>
          <w:p w14:paraId="7A07A43B" w14:textId="77777777" w:rsidR="0004072A" w:rsidRPr="004C75A2" w:rsidRDefault="0004072A" w:rsidP="000561ED">
            <w:pPr>
              <w:jc w:val="left"/>
              <w:rPr>
                <w:rFonts w:eastAsia="Times New Roman" w:cs="Times New Roman"/>
                <w:b w:val="0"/>
                <w:bCs w:val="0"/>
                <w:sz w:val="20"/>
                <w:szCs w:val="20"/>
                <w:lang w:eastAsia="it-IT"/>
              </w:rPr>
            </w:pPr>
            <w:r w:rsidRPr="004C75A2">
              <w:rPr>
                <w:rFonts w:eastAsia="Times New Roman" w:cs="Times New Roman"/>
                <w:b w:val="0"/>
                <w:bCs w:val="0"/>
                <w:sz w:val="20"/>
                <w:szCs w:val="20"/>
                <w:lang w:eastAsia="it-IT"/>
              </w:rPr>
              <w:t>Az. con policoltura</w:t>
            </w:r>
          </w:p>
        </w:tc>
        <w:tc>
          <w:tcPr>
            <w:tcW w:w="894" w:type="pct"/>
            <w:hideMark/>
          </w:tcPr>
          <w:p w14:paraId="12345CF4"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92.115</w:t>
            </w:r>
          </w:p>
        </w:tc>
        <w:tc>
          <w:tcPr>
            <w:tcW w:w="894" w:type="pct"/>
            <w:hideMark/>
          </w:tcPr>
          <w:p w14:paraId="7DDEB74E"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855.809</w:t>
            </w:r>
          </w:p>
        </w:tc>
        <w:tc>
          <w:tcPr>
            <w:tcW w:w="987" w:type="pct"/>
            <w:hideMark/>
          </w:tcPr>
          <w:p w14:paraId="642B3427"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310.861</w:t>
            </w:r>
          </w:p>
        </w:tc>
        <w:tc>
          <w:tcPr>
            <w:tcW w:w="787" w:type="pct"/>
            <w:hideMark/>
          </w:tcPr>
          <w:p w14:paraId="687CB014"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4C75A2">
              <w:rPr>
                <w:rFonts w:eastAsia="Times New Roman" w:cs="Times New Roman"/>
                <w:i/>
                <w:iCs/>
                <w:sz w:val="20"/>
                <w:szCs w:val="20"/>
                <w:lang w:eastAsia="it-IT"/>
              </w:rPr>
              <w:t>36%</w:t>
            </w:r>
          </w:p>
        </w:tc>
      </w:tr>
      <w:tr w:rsidR="0004072A" w:rsidRPr="005E5929" w14:paraId="2908ABC8"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438" w:type="pct"/>
            <w:noWrap/>
            <w:hideMark/>
          </w:tcPr>
          <w:p w14:paraId="379BC065" w14:textId="77777777" w:rsidR="0004072A" w:rsidRPr="004C75A2" w:rsidRDefault="0004072A" w:rsidP="000561ED">
            <w:pPr>
              <w:jc w:val="left"/>
              <w:rPr>
                <w:rFonts w:eastAsia="Times New Roman" w:cs="Times New Roman"/>
                <w:b w:val="0"/>
                <w:bCs w:val="0"/>
                <w:sz w:val="20"/>
                <w:szCs w:val="20"/>
                <w:lang w:eastAsia="it-IT"/>
              </w:rPr>
            </w:pPr>
            <w:r w:rsidRPr="004C75A2">
              <w:rPr>
                <w:rFonts w:eastAsia="Times New Roman" w:cs="Times New Roman"/>
                <w:b w:val="0"/>
                <w:bCs w:val="0"/>
                <w:sz w:val="20"/>
                <w:szCs w:val="20"/>
                <w:lang w:eastAsia="it-IT"/>
              </w:rPr>
              <w:t xml:space="preserve">Az. con </w:t>
            </w:r>
            <w:proofErr w:type="spellStart"/>
            <w:r w:rsidRPr="004C75A2">
              <w:rPr>
                <w:rFonts w:eastAsia="Times New Roman" w:cs="Times New Roman"/>
                <w:b w:val="0"/>
                <w:bCs w:val="0"/>
                <w:sz w:val="20"/>
                <w:szCs w:val="20"/>
                <w:lang w:eastAsia="it-IT"/>
              </w:rPr>
              <w:t>poliallevamento</w:t>
            </w:r>
            <w:proofErr w:type="spellEnd"/>
          </w:p>
        </w:tc>
        <w:tc>
          <w:tcPr>
            <w:tcW w:w="894" w:type="pct"/>
            <w:hideMark/>
          </w:tcPr>
          <w:p w14:paraId="6D30C033"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3.643</w:t>
            </w:r>
          </w:p>
        </w:tc>
        <w:tc>
          <w:tcPr>
            <w:tcW w:w="894" w:type="pct"/>
            <w:hideMark/>
          </w:tcPr>
          <w:p w14:paraId="024A58BF"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88.903</w:t>
            </w:r>
          </w:p>
        </w:tc>
        <w:tc>
          <w:tcPr>
            <w:tcW w:w="987" w:type="pct"/>
            <w:hideMark/>
          </w:tcPr>
          <w:p w14:paraId="793B405F"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47.185</w:t>
            </w:r>
          </w:p>
        </w:tc>
        <w:tc>
          <w:tcPr>
            <w:tcW w:w="787" w:type="pct"/>
            <w:hideMark/>
          </w:tcPr>
          <w:p w14:paraId="71216410"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4C75A2">
              <w:rPr>
                <w:rFonts w:eastAsia="Times New Roman" w:cs="Times New Roman"/>
                <w:i/>
                <w:iCs/>
                <w:sz w:val="20"/>
                <w:szCs w:val="20"/>
                <w:lang w:eastAsia="it-IT"/>
              </w:rPr>
              <w:t>53%</w:t>
            </w:r>
          </w:p>
        </w:tc>
      </w:tr>
      <w:tr w:rsidR="0004072A" w:rsidRPr="005E5929" w14:paraId="07E9D7F1" w14:textId="77777777" w:rsidTr="004C75A2">
        <w:trPr>
          <w:trHeight w:val="260"/>
        </w:trPr>
        <w:tc>
          <w:tcPr>
            <w:cnfStyle w:val="001000000000" w:firstRow="0" w:lastRow="0" w:firstColumn="1" w:lastColumn="0" w:oddVBand="0" w:evenVBand="0" w:oddHBand="0" w:evenHBand="0" w:firstRowFirstColumn="0" w:firstRowLastColumn="0" w:lastRowFirstColumn="0" w:lastRowLastColumn="0"/>
            <w:tcW w:w="1438" w:type="pct"/>
            <w:noWrap/>
            <w:hideMark/>
          </w:tcPr>
          <w:p w14:paraId="4CB2D5C5" w14:textId="77777777" w:rsidR="0004072A" w:rsidRPr="004C75A2" w:rsidRDefault="0004072A" w:rsidP="000561ED">
            <w:pPr>
              <w:jc w:val="left"/>
              <w:rPr>
                <w:rFonts w:eastAsia="Times New Roman" w:cs="Times New Roman"/>
                <w:b w:val="0"/>
                <w:bCs w:val="0"/>
                <w:sz w:val="20"/>
                <w:szCs w:val="20"/>
                <w:lang w:eastAsia="it-IT"/>
              </w:rPr>
            </w:pPr>
            <w:r w:rsidRPr="004C75A2">
              <w:rPr>
                <w:rFonts w:eastAsia="Times New Roman" w:cs="Times New Roman"/>
                <w:b w:val="0"/>
                <w:bCs w:val="0"/>
                <w:sz w:val="20"/>
                <w:szCs w:val="20"/>
                <w:lang w:eastAsia="it-IT"/>
              </w:rPr>
              <w:t>Az. con colture e allevamenti</w:t>
            </w:r>
          </w:p>
        </w:tc>
        <w:tc>
          <w:tcPr>
            <w:tcW w:w="894" w:type="pct"/>
            <w:noWrap/>
            <w:hideMark/>
          </w:tcPr>
          <w:p w14:paraId="03BFD6AA"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24.638</w:t>
            </w:r>
          </w:p>
        </w:tc>
        <w:tc>
          <w:tcPr>
            <w:tcW w:w="894" w:type="pct"/>
            <w:noWrap/>
            <w:hideMark/>
          </w:tcPr>
          <w:p w14:paraId="719AE10A"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563.380</w:t>
            </w:r>
          </w:p>
        </w:tc>
        <w:tc>
          <w:tcPr>
            <w:tcW w:w="987" w:type="pct"/>
            <w:noWrap/>
            <w:hideMark/>
          </w:tcPr>
          <w:p w14:paraId="5DB8400E"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286.682</w:t>
            </w:r>
          </w:p>
        </w:tc>
        <w:tc>
          <w:tcPr>
            <w:tcW w:w="787" w:type="pct"/>
            <w:hideMark/>
          </w:tcPr>
          <w:p w14:paraId="007E4A02"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i/>
                <w:iCs/>
                <w:sz w:val="20"/>
                <w:szCs w:val="20"/>
                <w:lang w:eastAsia="it-IT"/>
              </w:rPr>
            </w:pPr>
            <w:r w:rsidRPr="004C75A2">
              <w:rPr>
                <w:rFonts w:eastAsia="Times New Roman" w:cs="Times New Roman"/>
                <w:i/>
                <w:iCs/>
                <w:sz w:val="20"/>
                <w:szCs w:val="20"/>
                <w:lang w:eastAsia="it-IT"/>
              </w:rPr>
              <w:t>51%</w:t>
            </w:r>
          </w:p>
        </w:tc>
      </w:tr>
      <w:tr w:rsidR="0004072A" w:rsidRPr="005E5929" w14:paraId="2F384C24" w14:textId="77777777" w:rsidTr="004C75A2">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438" w:type="pct"/>
            <w:noWrap/>
            <w:hideMark/>
          </w:tcPr>
          <w:p w14:paraId="310DE848" w14:textId="77777777" w:rsidR="0004072A" w:rsidRPr="004C75A2" w:rsidRDefault="0004072A" w:rsidP="000561ED">
            <w:pPr>
              <w:jc w:val="left"/>
              <w:rPr>
                <w:rFonts w:eastAsia="Times New Roman" w:cs="Times New Roman"/>
                <w:b w:val="0"/>
                <w:bCs w:val="0"/>
                <w:sz w:val="20"/>
                <w:szCs w:val="20"/>
                <w:lang w:eastAsia="it-IT"/>
              </w:rPr>
            </w:pPr>
            <w:r w:rsidRPr="004C75A2">
              <w:rPr>
                <w:rFonts w:eastAsia="Times New Roman" w:cs="Times New Roman"/>
                <w:b w:val="0"/>
                <w:bCs w:val="0"/>
                <w:sz w:val="20"/>
                <w:szCs w:val="20"/>
                <w:lang w:eastAsia="it-IT"/>
              </w:rPr>
              <w:t>Az. non classificabili</w:t>
            </w:r>
          </w:p>
        </w:tc>
        <w:tc>
          <w:tcPr>
            <w:tcW w:w="894" w:type="pct"/>
            <w:noWrap/>
            <w:hideMark/>
          </w:tcPr>
          <w:p w14:paraId="7D94EC2E"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11.240</w:t>
            </w:r>
          </w:p>
        </w:tc>
        <w:tc>
          <w:tcPr>
            <w:tcW w:w="894" w:type="pct"/>
            <w:noWrap/>
            <w:hideMark/>
          </w:tcPr>
          <w:p w14:paraId="553596FC"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40.371</w:t>
            </w:r>
          </w:p>
        </w:tc>
        <w:tc>
          <w:tcPr>
            <w:tcW w:w="987" w:type="pct"/>
            <w:noWrap/>
            <w:hideMark/>
          </w:tcPr>
          <w:p w14:paraId="03EE23EF"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it-IT"/>
              </w:rPr>
            </w:pPr>
            <w:r w:rsidRPr="004C75A2">
              <w:rPr>
                <w:rFonts w:eastAsia="Times New Roman" w:cs="Times New Roman"/>
                <w:sz w:val="20"/>
                <w:szCs w:val="20"/>
                <w:lang w:eastAsia="it-IT"/>
              </w:rPr>
              <w:t>7.756</w:t>
            </w:r>
          </w:p>
        </w:tc>
        <w:tc>
          <w:tcPr>
            <w:tcW w:w="787" w:type="pct"/>
            <w:hideMark/>
          </w:tcPr>
          <w:p w14:paraId="61E527E4" w14:textId="77777777" w:rsidR="0004072A" w:rsidRPr="004C75A2" w:rsidRDefault="0004072A" w:rsidP="000561ED">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i/>
                <w:iCs/>
                <w:sz w:val="20"/>
                <w:szCs w:val="20"/>
                <w:lang w:eastAsia="it-IT"/>
              </w:rPr>
            </w:pPr>
            <w:r w:rsidRPr="004C75A2">
              <w:rPr>
                <w:rFonts w:eastAsia="Times New Roman" w:cs="Times New Roman"/>
                <w:i/>
                <w:iCs/>
                <w:sz w:val="20"/>
                <w:szCs w:val="20"/>
                <w:lang w:eastAsia="it-IT"/>
              </w:rPr>
              <w:t>19%</w:t>
            </w:r>
          </w:p>
        </w:tc>
      </w:tr>
      <w:tr w:rsidR="0004072A" w:rsidRPr="005E5929" w14:paraId="5767A8D9" w14:textId="77777777" w:rsidTr="004C75A2">
        <w:trPr>
          <w:trHeight w:val="260"/>
        </w:trPr>
        <w:tc>
          <w:tcPr>
            <w:cnfStyle w:val="001000000000" w:firstRow="0" w:lastRow="0" w:firstColumn="1" w:lastColumn="0" w:oddVBand="0" w:evenVBand="0" w:oddHBand="0" w:evenHBand="0" w:firstRowFirstColumn="0" w:firstRowLastColumn="0" w:lastRowFirstColumn="0" w:lastRowLastColumn="0"/>
            <w:tcW w:w="1438" w:type="pct"/>
            <w:shd w:val="clear" w:color="auto" w:fill="4F81BD" w:themeFill="accent1"/>
            <w:noWrap/>
            <w:hideMark/>
          </w:tcPr>
          <w:p w14:paraId="340C49F4" w14:textId="77777777" w:rsidR="0004072A" w:rsidRPr="004C75A2" w:rsidRDefault="0004072A" w:rsidP="000561ED">
            <w:pPr>
              <w:jc w:val="left"/>
              <w:rPr>
                <w:rFonts w:eastAsia="Times New Roman" w:cs="Times New Roman"/>
                <w:color w:val="FFFFFF" w:themeColor="background1"/>
                <w:sz w:val="20"/>
                <w:szCs w:val="20"/>
                <w:lang w:eastAsia="it-IT"/>
              </w:rPr>
            </w:pPr>
            <w:r w:rsidRPr="004C75A2">
              <w:rPr>
                <w:rFonts w:eastAsia="Times New Roman" w:cs="Times New Roman"/>
                <w:color w:val="FFFFFF" w:themeColor="background1"/>
                <w:sz w:val="20"/>
                <w:szCs w:val="20"/>
                <w:lang w:eastAsia="it-IT"/>
              </w:rPr>
              <w:t>Totale</w:t>
            </w:r>
          </w:p>
        </w:tc>
        <w:tc>
          <w:tcPr>
            <w:tcW w:w="894" w:type="pct"/>
            <w:shd w:val="clear" w:color="auto" w:fill="4F81BD" w:themeFill="accent1"/>
            <w:noWrap/>
            <w:hideMark/>
          </w:tcPr>
          <w:p w14:paraId="567DF5EC"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color w:val="FFFFFF" w:themeColor="background1"/>
                <w:sz w:val="20"/>
                <w:szCs w:val="20"/>
                <w:lang w:eastAsia="it-IT"/>
              </w:rPr>
            </w:pPr>
            <w:r w:rsidRPr="004C75A2">
              <w:rPr>
                <w:rFonts w:eastAsia="Times New Roman" w:cs="Times New Roman"/>
                <w:b/>
                <w:bCs/>
                <w:color w:val="FFFFFF" w:themeColor="background1"/>
                <w:sz w:val="20"/>
                <w:szCs w:val="20"/>
                <w:lang w:eastAsia="it-IT"/>
              </w:rPr>
              <w:t>1.145.706</w:t>
            </w:r>
          </w:p>
        </w:tc>
        <w:tc>
          <w:tcPr>
            <w:tcW w:w="894" w:type="pct"/>
            <w:shd w:val="clear" w:color="auto" w:fill="4F81BD" w:themeFill="accent1"/>
            <w:noWrap/>
            <w:hideMark/>
          </w:tcPr>
          <w:p w14:paraId="3950483C"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color w:val="FFFFFF" w:themeColor="background1"/>
                <w:sz w:val="20"/>
                <w:szCs w:val="20"/>
                <w:lang w:eastAsia="it-IT"/>
              </w:rPr>
            </w:pPr>
            <w:r w:rsidRPr="004C75A2">
              <w:rPr>
                <w:rFonts w:eastAsia="Times New Roman" w:cs="Times New Roman"/>
                <w:b/>
                <w:bCs/>
                <w:color w:val="FFFFFF" w:themeColor="background1"/>
                <w:sz w:val="20"/>
                <w:szCs w:val="20"/>
                <w:lang w:eastAsia="it-IT"/>
              </w:rPr>
              <w:t>12.598.163</w:t>
            </w:r>
          </w:p>
        </w:tc>
        <w:tc>
          <w:tcPr>
            <w:tcW w:w="987" w:type="pct"/>
            <w:shd w:val="clear" w:color="auto" w:fill="4F81BD" w:themeFill="accent1"/>
            <w:noWrap/>
            <w:hideMark/>
          </w:tcPr>
          <w:p w14:paraId="57EFF60B"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color w:val="FFFFFF" w:themeColor="background1"/>
                <w:sz w:val="20"/>
                <w:szCs w:val="20"/>
                <w:lang w:eastAsia="it-IT"/>
              </w:rPr>
            </w:pPr>
            <w:r w:rsidRPr="004C75A2">
              <w:rPr>
                <w:rFonts w:eastAsia="Times New Roman" w:cs="Times New Roman"/>
                <w:b/>
                <w:bCs/>
                <w:color w:val="FFFFFF" w:themeColor="background1"/>
                <w:sz w:val="20"/>
                <w:szCs w:val="20"/>
                <w:lang w:eastAsia="it-IT"/>
              </w:rPr>
              <w:t>5.763.555</w:t>
            </w:r>
          </w:p>
        </w:tc>
        <w:tc>
          <w:tcPr>
            <w:tcW w:w="787" w:type="pct"/>
            <w:shd w:val="clear" w:color="auto" w:fill="4F81BD" w:themeFill="accent1"/>
            <w:noWrap/>
            <w:hideMark/>
          </w:tcPr>
          <w:p w14:paraId="2BBEF271" w14:textId="77777777" w:rsidR="0004072A" w:rsidRPr="004C75A2" w:rsidRDefault="0004072A" w:rsidP="000561ED">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i/>
                <w:iCs/>
                <w:color w:val="FFFFFF" w:themeColor="background1"/>
                <w:sz w:val="20"/>
                <w:szCs w:val="20"/>
                <w:lang w:eastAsia="it-IT"/>
              </w:rPr>
            </w:pPr>
            <w:r w:rsidRPr="004C75A2">
              <w:rPr>
                <w:rFonts w:eastAsia="Times New Roman" w:cs="Times New Roman"/>
                <w:b/>
                <w:bCs/>
                <w:i/>
                <w:iCs/>
                <w:color w:val="FFFFFF" w:themeColor="background1"/>
                <w:sz w:val="20"/>
                <w:szCs w:val="20"/>
                <w:lang w:eastAsia="it-IT"/>
              </w:rPr>
              <w:t>46%</w:t>
            </w:r>
          </w:p>
        </w:tc>
      </w:tr>
    </w:tbl>
    <w:p w14:paraId="3892E88B" w14:textId="3C08A809" w:rsidR="0004072A" w:rsidRPr="004C75A2" w:rsidRDefault="0004072A" w:rsidP="004C75A2">
      <w:pPr>
        <w:pStyle w:val="Paragrafoelenco"/>
        <w:spacing w:before="60" w:after="120"/>
        <w:contextualSpacing w:val="0"/>
        <w:rPr>
          <w:i/>
          <w:sz w:val="20"/>
          <w:szCs w:val="20"/>
        </w:rPr>
      </w:pPr>
      <w:r w:rsidRPr="004C75A2">
        <w:rPr>
          <w:i/>
          <w:sz w:val="20"/>
          <w:szCs w:val="20"/>
        </w:rPr>
        <w:t>Fonte: Elaborazione del CREA – Centro Politiche Bioeconomia su dati ISTAT, Indagine Strutture Agricole 2016</w:t>
      </w:r>
    </w:p>
    <w:p w14:paraId="76EFDEE1" w14:textId="77777777" w:rsidR="0004072A" w:rsidRDefault="0004072A" w:rsidP="004C75A2">
      <w:pPr>
        <w:pStyle w:val="Paragrafoelenco"/>
        <w:numPr>
          <w:ilvl w:val="0"/>
          <w:numId w:val="12"/>
        </w:numPr>
        <w:spacing w:after="120" w:line="240" w:lineRule="auto"/>
        <w:ind w:left="714" w:hanging="357"/>
        <w:contextualSpacing w:val="0"/>
      </w:pPr>
      <w:r>
        <w:t xml:space="preserve">Dalle più recenti indagini annuali sul mercato fondiario e dell’affitto svolte dal CREA emerge che negli ultimi anni la domanda di affitto dei terreni agricoli abbia visto i </w:t>
      </w:r>
      <w:r w:rsidRPr="002A6B52">
        <w:t xml:space="preserve">giovani imprenditori beneficiari dei premi di primo insediamento dei PSR </w:t>
      </w:r>
      <w:r>
        <w:t xml:space="preserve">tra i principali protagonisti </w:t>
      </w:r>
      <w:r w:rsidRPr="002A6B52">
        <w:t>il che, in qualche caso</w:t>
      </w:r>
      <w:r>
        <w:t>, ha anche i</w:t>
      </w:r>
      <w:r w:rsidRPr="00FC7F84">
        <w:t>nfluenza</w:t>
      </w:r>
      <w:r>
        <w:t xml:space="preserve">to in parte </w:t>
      </w:r>
      <w:r w:rsidRPr="00FC7F84">
        <w:t>il livello medio dei canoni</w:t>
      </w:r>
      <w:r>
        <w:rPr>
          <w:rStyle w:val="Rimandonotaapidipagina"/>
        </w:rPr>
        <w:footnoteReference w:id="5"/>
      </w:r>
      <w:r>
        <w:t>.</w:t>
      </w:r>
    </w:p>
    <w:p w14:paraId="6B465B64" w14:textId="77777777" w:rsidR="0004072A" w:rsidRDefault="0004072A" w:rsidP="004C75A2">
      <w:pPr>
        <w:pStyle w:val="Paragrafoelenco"/>
        <w:numPr>
          <w:ilvl w:val="0"/>
          <w:numId w:val="12"/>
        </w:numPr>
        <w:spacing w:after="120" w:line="240" w:lineRule="auto"/>
        <w:ind w:left="714" w:hanging="357"/>
        <w:contextualSpacing w:val="0"/>
      </w:pPr>
      <w:r>
        <w:t xml:space="preserve">L’accesso alla terra è considerato uno dei principali fabbisogni. </w:t>
      </w:r>
      <w:r w:rsidRPr="00B315F3">
        <w:rPr>
          <w:rFonts w:ascii="Calibri" w:hAnsi="Calibri" w:cs="Calibri"/>
        </w:rPr>
        <w:t>L’investimento iniziale in capitale fondiario sicuramente rappresenta un ostacolo per l’accesso alla terra, considerato che necessita spesso di ingenti somme da parte di chi ne fa richiesta, con l’ulteriore difficoltà dell’accesso al credito da parte di un giovane che si affaccia al mondo lavorativo per la prima volta, senza disponibilità di capitali e/o di garanzie da poter fornire. C’è da considerare, inoltre, che per creare imprese competitive non serve solo finanziare il capitale fondiario ma anche avere a disposizione capitali e strumenti per l’ammodernamento e l’innovazione delle imprese, per il miglioramento della capacità professionale e imprenditoriale degli addetti.</w:t>
      </w:r>
      <w:r>
        <w:t xml:space="preserve"> </w:t>
      </w:r>
    </w:p>
    <w:p w14:paraId="052CFCB3" w14:textId="49E84006" w:rsidR="0004072A" w:rsidRPr="00494C81" w:rsidRDefault="0004072A" w:rsidP="004C75A2">
      <w:pPr>
        <w:pStyle w:val="Paragrafoelenco"/>
        <w:numPr>
          <w:ilvl w:val="0"/>
          <w:numId w:val="14"/>
        </w:numPr>
        <w:spacing w:after="120" w:line="240" w:lineRule="auto"/>
        <w:ind w:left="714" w:hanging="357"/>
        <w:contextualSpacing w:val="0"/>
      </w:pPr>
      <w:r>
        <w:t>In Italia nel 2017 il prezzo medio della terra è stato pari a poco più di 20.000 euro per ettaro</w:t>
      </w:r>
      <w:r w:rsidR="00494C81">
        <w:t xml:space="preserve"> (</w:t>
      </w:r>
      <w:r w:rsidR="00773BC6">
        <w:rPr>
          <w:b/>
          <w:bCs/>
        </w:rPr>
        <w:t>T</w:t>
      </w:r>
      <w:r w:rsidR="00494C81" w:rsidRPr="00773BC6">
        <w:rPr>
          <w:b/>
          <w:bCs/>
        </w:rPr>
        <w:t xml:space="preserve">abella </w:t>
      </w:r>
      <w:r w:rsidR="00773BC6">
        <w:rPr>
          <w:b/>
          <w:bCs/>
        </w:rPr>
        <w:t>20</w:t>
      </w:r>
      <w:r w:rsidR="00494C81">
        <w:t>)</w:t>
      </w:r>
      <w:r>
        <w:t>, valore inferiore a quello registrato negli altri Paesi del nord Europa ma sensibilmente superiore a quello dei Paesi del mediterraneo.</w:t>
      </w:r>
      <w:r w:rsidRPr="007B1FA2">
        <w:rPr>
          <w:rFonts w:eastAsia="Times New Roman"/>
        </w:rPr>
        <w:t xml:space="preserve"> </w:t>
      </w:r>
      <w:r>
        <w:rPr>
          <w:rFonts w:eastAsia="Times New Roman"/>
        </w:rPr>
        <w:t>Tuttavia, bisogna evidenziare che, data l’eterogeneità legata alla grande varietà di coltivazioni in Italia rispetto ad altri paesi, questo valore non può essere rappresentativo di tutte le singole realtà territoriali nazionali.</w:t>
      </w:r>
    </w:p>
    <w:p w14:paraId="5DD738BD" w14:textId="77777777" w:rsidR="00494C81" w:rsidRDefault="00494C81" w:rsidP="00494C81">
      <w:pPr>
        <w:pStyle w:val="Paragrafoelenco"/>
        <w:spacing w:after="0"/>
        <w:rPr>
          <w:b/>
        </w:rPr>
      </w:pPr>
    </w:p>
    <w:p w14:paraId="0D952FCB" w14:textId="77777777" w:rsidR="00494C81" w:rsidRDefault="00494C81" w:rsidP="00494C81">
      <w:pPr>
        <w:pStyle w:val="Paragrafoelenco"/>
        <w:spacing w:after="0"/>
        <w:rPr>
          <w:b/>
        </w:rPr>
      </w:pPr>
    </w:p>
    <w:p w14:paraId="7B10757B" w14:textId="77777777" w:rsidR="00494C81" w:rsidRDefault="00494C81" w:rsidP="00494C81">
      <w:pPr>
        <w:pStyle w:val="Paragrafoelenco"/>
        <w:spacing w:after="0"/>
        <w:rPr>
          <w:b/>
        </w:rPr>
      </w:pPr>
    </w:p>
    <w:p w14:paraId="02EC5B49" w14:textId="77777777" w:rsidR="004C75A2" w:rsidRDefault="004C75A2" w:rsidP="00494C81">
      <w:pPr>
        <w:pStyle w:val="Paragrafoelenco"/>
        <w:spacing w:after="0"/>
        <w:rPr>
          <w:b/>
        </w:rPr>
      </w:pPr>
      <w:r>
        <w:rPr>
          <w:b/>
        </w:rPr>
        <w:br w:type="page"/>
      </w:r>
    </w:p>
    <w:p w14:paraId="171CBA73" w14:textId="4DA95664" w:rsidR="00494C81" w:rsidRPr="009404EF" w:rsidRDefault="00773BC6" w:rsidP="00773BC6">
      <w:pPr>
        <w:pStyle w:val="Paragrafoelenco"/>
        <w:spacing w:after="0"/>
        <w:ind w:hanging="578"/>
        <w:rPr>
          <w:b/>
        </w:rPr>
      </w:pPr>
      <w:r>
        <w:rPr>
          <w:b/>
        </w:rPr>
        <w:lastRenderedPageBreak/>
        <w:t>20</w:t>
      </w:r>
      <w:r w:rsidR="00494C81">
        <w:rPr>
          <w:b/>
        </w:rPr>
        <w:t xml:space="preserve">. </w:t>
      </w:r>
      <w:r w:rsidR="00494C81" w:rsidRPr="009404EF">
        <w:rPr>
          <w:b/>
        </w:rPr>
        <w:t xml:space="preserve">Evoluzione dei valori fondiari medi </w:t>
      </w:r>
      <w:r w:rsidR="00494C81">
        <w:rPr>
          <w:b/>
        </w:rPr>
        <w:t xml:space="preserve">al </w:t>
      </w:r>
      <w:r w:rsidR="00494C81" w:rsidRPr="009404EF">
        <w:rPr>
          <w:b/>
        </w:rPr>
        <w:t xml:space="preserve">2017 </w:t>
      </w:r>
      <w:r w:rsidR="00494C81">
        <w:rPr>
          <w:b/>
        </w:rPr>
        <w:t xml:space="preserve">e variazione % rispetto al 2007 </w:t>
      </w:r>
      <w:r w:rsidR="00494C81" w:rsidRPr="009404EF">
        <w:rPr>
          <w:b/>
        </w:rPr>
        <w:t>(</w:t>
      </w:r>
      <w:r w:rsidR="00494C81" w:rsidRPr="00F5659F">
        <w:rPr>
          <w:b/>
          <w:sz w:val="20"/>
          <w:szCs w:val="20"/>
        </w:rPr>
        <w:t xml:space="preserve">valori per </w:t>
      </w:r>
      <w:r w:rsidRPr="00773BC6">
        <w:rPr>
          <w:b/>
          <w:i/>
          <w:iCs/>
          <w:sz w:val="20"/>
          <w:szCs w:val="20"/>
        </w:rPr>
        <w:t>ha</w:t>
      </w:r>
      <w:r w:rsidR="00494C81" w:rsidRPr="00F5659F">
        <w:rPr>
          <w:b/>
          <w:sz w:val="20"/>
          <w:szCs w:val="20"/>
        </w:rPr>
        <w:t xml:space="preserve"> in migliaia di euro</w:t>
      </w:r>
      <w:r w:rsidR="00494C81" w:rsidRPr="009404EF">
        <w:rPr>
          <w:b/>
        </w:rPr>
        <w:t>)</w:t>
      </w:r>
    </w:p>
    <w:p w14:paraId="4429908A" w14:textId="77777777" w:rsidR="00494C81" w:rsidRDefault="00494C81" w:rsidP="00494C81">
      <w:pPr>
        <w:pStyle w:val="Paragrafoelenco"/>
        <w:spacing w:after="0"/>
        <w:jc w:val="center"/>
      </w:pPr>
      <w:r w:rsidRPr="009824E9">
        <w:rPr>
          <w:noProof/>
          <w:lang w:eastAsia="it-IT"/>
        </w:rPr>
        <w:drawing>
          <wp:inline distT="0" distB="0" distL="0" distR="0" wp14:anchorId="4D5A733C" wp14:editId="22039B0B">
            <wp:extent cx="4276725" cy="3648075"/>
            <wp:effectExtent l="0" t="0" r="9525" b="952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276725" cy="3648075"/>
                    </a:xfrm>
                    <a:prstGeom prst="rect">
                      <a:avLst/>
                    </a:prstGeom>
                    <a:noFill/>
                    <a:ln>
                      <a:noFill/>
                    </a:ln>
                  </pic:spPr>
                </pic:pic>
              </a:graphicData>
            </a:graphic>
          </wp:inline>
        </w:drawing>
      </w:r>
    </w:p>
    <w:p w14:paraId="099AD1E8" w14:textId="77777777" w:rsidR="00494C81" w:rsidRPr="00494C81" w:rsidRDefault="00494C81" w:rsidP="00494C81">
      <w:pPr>
        <w:pStyle w:val="Paragrafoelenco"/>
        <w:spacing w:after="120" w:line="240" w:lineRule="auto"/>
        <w:rPr>
          <w:i/>
          <w:sz w:val="20"/>
          <w:szCs w:val="20"/>
        </w:rPr>
      </w:pPr>
      <w:r w:rsidRPr="00494C81">
        <w:rPr>
          <w:i/>
          <w:sz w:val="20"/>
          <w:szCs w:val="20"/>
        </w:rPr>
        <w:t>I dati presenti in questa tabella non sono confrontabili con quelli pubblicati nei volumi precedenti dell’Annuario dell'Agricoltura italiana. Per un aggiornamento sulla metodologia di stima e per un maggior dettaglio della banca dati sui valori fondiari è possibile consultare le pagine web dell’Indagine sul mercato fondiario (http://antares.crea.gov.it:8080/mercato-fondiario)</w:t>
      </w:r>
    </w:p>
    <w:p w14:paraId="10032035" w14:textId="5CF96640" w:rsidR="00494C81" w:rsidRDefault="00494C81" w:rsidP="00773BC6">
      <w:pPr>
        <w:pStyle w:val="Paragrafoelenco"/>
        <w:rPr>
          <w:i/>
          <w:sz w:val="20"/>
          <w:szCs w:val="20"/>
        </w:rPr>
      </w:pPr>
      <w:r w:rsidRPr="00494C81">
        <w:rPr>
          <w:i/>
          <w:sz w:val="20"/>
          <w:szCs w:val="20"/>
        </w:rPr>
        <w:t>Fonte: elaborazione dati del CREA Politiche e Bioeconomia su Banca dati dei valori fondiari.</w:t>
      </w:r>
    </w:p>
    <w:p w14:paraId="66D48502" w14:textId="77777777" w:rsidR="00773BC6" w:rsidRPr="00773BC6" w:rsidRDefault="00773BC6" w:rsidP="00773BC6">
      <w:pPr>
        <w:pStyle w:val="Paragrafoelenco"/>
        <w:rPr>
          <w:i/>
          <w:sz w:val="20"/>
          <w:szCs w:val="20"/>
        </w:rPr>
      </w:pPr>
    </w:p>
    <w:p w14:paraId="29E70BC3" w14:textId="77777777" w:rsidR="0004072A" w:rsidRDefault="0004072A" w:rsidP="0004072A">
      <w:pPr>
        <w:pStyle w:val="Paragrafoelenco"/>
        <w:numPr>
          <w:ilvl w:val="0"/>
          <w:numId w:val="14"/>
        </w:numPr>
        <w:spacing w:after="120"/>
        <w:contextualSpacing w:val="0"/>
      </w:pPr>
      <w:r w:rsidRPr="00DB3107">
        <w:t>Esiste una forte differenziazione dei prezzi di compravendita tra le aree geografiche d’Italia, con una tipica configurazione bipolare che vede il patrimonio fondiario concentrato per oltre il 60%, nelle regioni settentrionali dove però la superficie agricola rappresenta solo il 36% della SAU nazionale. Il fattore pedoclimatico e agronomico è la principale causa di questa differenziazione, ma non vanno dimenticate le dinamiche economico-sociali dei territori che possono influire significativamente sui valori a parità di altre condizioni.</w:t>
      </w:r>
    </w:p>
    <w:p w14:paraId="1FBAFC2D" w14:textId="345DFAF5" w:rsidR="0004072A" w:rsidRPr="00EB1E4F" w:rsidRDefault="0004072A" w:rsidP="00494C81">
      <w:pPr>
        <w:pStyle w:val="Paragrafoelenco"/>
        <w:numPr>
          <w:ilvl w:val="0"/>
          <w:numId w:val="14"/>
        </w:numPr>
        <w:spacing w:after="0"/>
        <w:rPr>
          <w:b/>
        </w:rPr>
      </w:pPr>
      <w:r w:rsidRPr="005B6A65">
        <w:t xml:space="preserve">Confrontando l’andamento dei valori fondiari al netto dell’inflazione, nell’ultimo decennio si assiste a una erosione del patrimonio fondiario nazionale a fronte di un aumento medio del livello generale dei prezzi. Dalla </w:t>
      </w:r>
      <w:r w:rsidR="00773BC6">
        <w:rPr>
          <w:b/>
          <w:bCs/>
        </w:rPr>
        <w:t>F</w:t>
      </w:r>
      <w:r w:rsidR="00494C81" w:rsidRPr="00773BC6">
        <w:rPr>
          <w:b/>
          <w:bCs/>
        </w:rPr>
        <w:t>igura 2</w:t>
      </w:r>
      <w:r w:rsidR="00773BC6">
        <w:rPr>
          <w:b/>
          <w:bCs/>
        </w:rPr>
        <w:t>1</w:t>
      </w:r>
      <w:r w:rsidRPr="005B6A65">
        <w:t xml:space="preserve"> in particolare è possibile notare come dal 2004 il valore fondiario deflazionato continua a calare. Tuttavia, gli effetti di questa flessione progressiva sono differenziati a seconda del contesto geografico, con le regioni nord-occidentali che hanno registrato un aumento superiore al 3% in valori correnti, quindi riuscendo a contenere la perdita di valore reale intorno all’8%, mentre le altre circoscrizioni hanno subito una contrazione dei prezzi correnti a cui si è aggiunta la perdita di valore d’acquisto, analogamente a quanto è avvenuto anche nel mercato immobiliare urbano. </w:t>
      </w:r>
    </w:p>
    <w:p w14:paraId="63D530EB" w14:textId="2E6AFBC5" w:rsidR="0004072A" w:rsidRDefault="0004072A" w:rsidP="0004072A">
      <w:pPr>
        <w:jc w:val="left"/>
        <w:rPr>
          <w:i/>
          <w:sz w:val="20"/>
          <w:szCs w:val="20"/>
        </w:rPr>
      </w:pPr>
    </w:p>
    <w:p w14:paraId="38BB4D4F" w14:textId="01FF7CD1" w:rsidR="00494C81" w:rsidRDefault="00494C81" w:rsidP="0004072A">
      <w:pPr>
        <w:pStyle w:val="Paragrafoelenco"/>
        <w:spacing w:after="0"/>
        <w:ind w:left="426"/>
        <w:rPr>
          <w:b/>
        </w:rPr>
      </w:pPr>
    </w:p>
    <w:p w14:paraId="4163FE4C" w14:textId="77777777" w:rsidR="00773BC6" w:rsidRDefault="00773BC6" w:rsidP="0004072A">
      <w:pPr>
        <w:pStyle w:val="Paragrafoelenco"/>
        <w:spacing w:after="0"/>
        <w:ind w:left="426"/>
        <w:rPr>
          <w:b/>
        </w:rPr>
      </w:pPr>
    </w:p>
    <w:p w14:paraId="7FACD613" w14:textId="77777777" w:rsidR="00494C81" w:rsidRDefault="00494C81" w:rsidP="0004072A">
      <w:pPr>
        <w:pStyle w:val="Paragrafoelenco"/>
        <w:spacing w:after="0"/>
        <w:ind w:left="426"/>
        <w:rPr>
          <w:b/>
        </w:rPr>
      </w:pPr>
    </w:p>
    <w:p w14:paraId="04C28ABB" w14:textId="386BBC4E" w:rsidR="0004072A" w:rsidRPr="009404EF" w:rsidRDefault="00881A29" w:rsidP="00E52CA4">
      <w:pPr>
        <w:pStyle w:val="Paragrafoelenco"/>
        <w:spacing w:after="0"/>
        <w:ind w:left="142"/>
        <w:rPr>
          <w:b/>
        </w:rPr>
      </w:pPr>
      <w:r>
        <w:rPr>
          <w:b/>
        </w:rPr>
        <w:lastRenderedPageBreak/>
        <w:t xml:space="preserve">Figura </w:t>
      </w:r>
      <w:r w:rsidR="00494C81">
        <w:rPr>
          <w:b/>
        </w:rPr>
        <w:t>2</w:t>
      </w:r>
      <w:r w:rsidR="00773BC6">
        <w:rPr>
          <w:b/>
        </w:rPr>
        <w:t>1</w:t>
      </w:r>
      <w:r w:rsidR="00494C81">
        <w:rPr>
          <w:b/>
        </w:rPr>
        <w:t xml:space="preserve">. </w:t>
      </w:r>
      <w:r w:rsidR="0004072A" w:rsidRPr="009404EF">
        <w:rPr>
          <w:b/>
        </w:rPr>
        <w:t>Andamento medio dei valori fondiari in Italia (2000 = 100)</w:t>
      </w:r>
    </w:p>
    <w:p w14:paraId="3650D5DE" w14:textId="77777777" w:rsidR="0004072A" w:rsidRDefault="0004072A" w:rsidP="00E52CA4">
      <w:pPr>
        <w:spacing w:after="0"/>
        <w:ind w:left="426" w:hanging="426"/>
        <w:rPr>
          <w:i/>
          <w:sz w:val="20"/>
          <w:szCs w:val="20"/>
        </w:rPr>
      </w:pPr>
      <w:r>
        <w:rPr>
          <w:noProof/>
          <w:lang w:eastAsia="it-IT"/>
        </w:rPr>
        <w:drawing>
          <wp:inline distT="0" distB="0" distL="0" distR="0" wp14:anchorId="671E2EAF" wp14:editId="737D72D2">
            <wp:extent cx="6120765" cy="2743200"/>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pic:nvPicPr>
                  <pic:blipFill>
                    <a:blip r:embed="rId29">
                      <a:extLst>
                        <a:ext uri="{28A0092B-C50C-407E-A947-70E740481C1C}">
                          <a14:useLocalDpi xmlns:a14="http://schemas.microsoft.com/office/drawing/2010/main" val="0"/>
                        </a:ext>
                      </a:extLst>
                    </a:blip>
                    <a:stretch>
                      <a:fillRect/>
                    </a:stretch>
                  </pic:blipFill>
                  <pic:spPr>
                    <a:xfrm>
                      <a:off x="0" y="0"/>
                      <a:ext cx="6120765" cy="2743200"/>
                    </a:xfrm>
                    <a:prstGeom prst="rect">
                      <a:avLst/>
                    </a:prstGeom>
                  </pic:spPr>
                </pic:pic>
              </a:graphicData>
            </a:graphic>
          </wp:inline>
        </w:drawing>
      </w:r>
    </w:p>
    <w:p w14:paraId="0D49BB69" w14:textId="7E57A8DF" w:rsidR="0004072A" w:rsidRDefault="0004072A" w:rsidP="00E52CA4">
      <w:pPr>
        <w:spacing w:before="120" w:after="120" w:line="240" w:lineRule="auto"/>
        <w:ind w:firstLine="425"/>
        <w:rPr>
          <w:i/>
          <w:sz w:val="20"/>
          <w:szCs w:val="20"/>
        </w:rPr>
      </w:pPr>
      <w:r>
        <w:rPr>
          <w:i/>
          <w:sz w:val="20"/>
          <w:szCs w:val="20"/>
        </w:rPr>
        <w:t xml:space="preserve">Fonte: </w:t>
      </w:r>
      <w:r w:rsidRPr="00973F71">
        <w:rPr>
          <w:i/>
          <w:sz w:val="20"/>
          <w:szCs w:val="20"/>
        </w:rPr>
        <w:t>elaborazione dati del CREA Politiche e Bioeconomia su Banca dati dei valori fondiari.</w:t>
      </w:r>
    </w:p>
    <w:p w14:paraId="03F65F83" w14:textId="77777777" w:rsidR="00E52CA4" w:rsidRPr="00E52CA4" w:rsidRDefault="00E52CA4" w:rsidP="00E52CA4">
      <w:pPr>
        <w:spacing w:after="0" w:line="240" w:lineRule="auto"/>
        <w:ind w:firstLine="425"/>
        <w:rPr>
          <w:i/>
          <w:sz w:val="20"/>
          <w:szCs w:val="20"/>
        </w:rPr>
      </w:pPr>
    </w:p>
    <w:p w14:paraId="60A75DA5" w14:textId="77777777" w:rsidR="0004072A" w:rsidRDefault="0004072A" w:rsidP="0004072A">
      <w:pPr>
        <w:pStyle w:val="Paragrafoelenco"/>
        <w:numPr>
          <w:ilvl w:val="0"/>
          <w:numId w:val="12"/>
        </w:numPr>
        <w:spacing w:after="120"/>
        <w:contextualSpacing w:val="0"/>
      </w:pPr>
      <w:r>
        <w:t xml:space="preserve">Il 35% circa dei giovani agricoltori italiani ha segnalato problemi di acquisizione dei terreni secondo un’indagine riportata dalla </w:t>
      </w:r>
      <w:proofErr w:type="gramStart"/>
      <w:r>
        <w:t>Corte dei Conti</w:t>
      </w:r>
      <w:proofErr w:type="gramEnd"/>
      <w:r>
        <w:t xml:space="preserve"> Europea</w:t>
      </w:r>
      <w:r>
        <w:rPr>
          <w:rStyle w:val="Rimandonotaapidipagina"/>
        </w:rPr>
        <w:footnoteReference w:id="6"/>
      </w:r>
      <w:r>
        <w:t xml:space="preserve">. La terra è in genere un fattore a disponibilità limitata e ciò emerge con chiarezza per le </w:t>
      </w:r>
      <w:proofErr w:type="spellStart"/>
      <w:r>
        <w:t>strat-up</w:t>
      </w:r>
      <w:proofErr w:type="spellEnd"/>
      <w:r>
        <w:t>. Nel caso del ricambio generazionale in continuità aziendale, la disponibilità del fattore terra assume una valenza diversa nel senso della gradualità dei passaggi di proprietà in ottica successoria. Ad ogni modo misure agevolative di accesso alla terra rappresentano ancora una forte necessità.</w:t>
      </w:r>
    </w:p>
    <w:p w14:paraId="0FC06D1E" w14:textId="77777777" w:rsidR="0004072A" w:rsidRPr="00DD0595" w:rsidRDefault="0004072A" w:rsidP="0004072A">
      <w:pPr>
        <w:pStyle w:val="Paragrafoelenco"/>
        <w:numPr>
          <w:ilvl w:val="0"/>
          <w:numId w:val="12"/>
        </w:numPr>
        <w:rPr>
          <w:rFonts w:ascii="Calibri" w:hAnsi="Calibri" w:cs="Calibri"/>
        </w:rPr>
      </w:pPr>
      <w:r>
        <w:t xml:space="preserve">In Italia l’Ismea, attraverso il regime di aiuto denominato “Agevolazioni per l’insediamento di giovani in agricoltura”, consente l’acquisto di terreni da parte dei giovani agricoltori a condizioni favorevoli attraverso l’erogazione di un mutuo a tasso agevolato condizionato alla realizzazione di un piano aziendale. </w:t>
      </w:r>
      <w:r w:rsidRPr="00DD0595">
        <w:rPr>
          <w:rFonts w:ascii="Calibri" w:hAnsi="Calibri" w:cs="Calibri"/>
        </w:rPr>
        <w:t xml:space="preserve">Su questo aspetto Ismea da sempre agevola l’accesso al capitale terra attraverso le operazioni di riordino fondiario, che consentono al giovane che si insedia per la prima volta in agricoltura di pagare ratealmente il prezzo di vendita, riservandosi a garanzia dell’operazione la proprietà del terreno (ai sensi dell’art. 1523 del </w:t>
      </w:r>
      <w:proofErr w:type="gramStart"/>
      <w:r w:rsidRPr="00DD0595">
        <w:rPr>
          <w:rFonts w:ascii="Calibri" w:hAnsi="Calibri" w:cs="Calibri"/>
        </w:rPr>
        <w:t>codice civile</w:t>
      </w:r>
      <w:proofErr w:type="gramEnd"/>
      <w:r w:rsidRPr="00DD0595">
        <w:rPr>
          <w:rFonts w:ascii="Calibri" w:hAnsi="Calibri" w:cs="Calibri"/>
        </w:rPr>
        <w:t>) che si trasferisce all’assegnatario, o ai suoi aventi causa, soltanto con il pagamento dell’ultima rata di prezzo.</w:t>
      </w:r>
    </w:p>
    <w:p w14:paraId="6426DA22" w14:textId="77777777" w:rsidR="0004072A" w:rsidRDefault="0004072A" w:rsidP="0004072A">
      <w:pPr>
        <w:pStyle w:val="Paragrafoelenco"/>
        <w:numPr>
          <w:ilvl w:val="0"/>
          <w:numId w:val="12"/>
        </w:numPr>
        <w:spacing w:after="120"/>
        <w:contextualSpacing w:val="0"/>
      </w:pPr>
      <w:r>
        <w:t xml:space="preserve">Negli ultimi due anni sono stati 151 i giovani insediati grazie all’intervento Ismea. Le risorse finanziarie </w:t>
      </w:r>
      <w:proofErr w:type="gramStart"/>
      <w:r>
        <w:t>messe in campo</w:t>
      </w:r>
      <w:proofErr w:type="gramEnd"/>
      <w:r>
        <w:t xml:space="preserve"> sono state 116 milioni di euro per un totale di 6 mila ettari. </w:t>
      </w:r>
    </w:p>
    <w:p w14:paraId="418B3A12" w14:textId="77777777" w:rsidR="0004072A" w:rsidRDefault="0004072A" w:rsidP="0004072A">
      <w:pPr>
        <w:pStyle w:val="Paragrafoelenco"/>
        <w:numPr>
          <w:ilvl w:val="0"/>
          <w:numId w:val="12"/>
        </w:numPr>
        <w:spacing w:after="120"/>
        <w:contextualSpacing w:val="0"/>
      </w:pPr>
      <w:r>
        <w:t xml:space="preserve">L’accesso alla terra è favorito anche da regimi fiscali specifici per gli imprenditori agricoli professionali con riferimento alle successioni, donazioni o acquisto di terreni agricoli nonché la possibilità per i giovani sotto i 40 anni di poter detrarre dalla dichiarazione dei redditi il 19% delle spese sostenute per i canoni di affitto e per un massimo di 1.200€ all’anno.  </w:t>
      </w:r>
    </w:p>
    <w:p w14:paraId="153F97B6" w14:textId="064A0342" w:rsidR="0004072A" w:rsidRDefault="0004072A" w:rsidP="00D32B27">
      <w:pPr>
        <w:pStyle w:val="Paragrafoelenco"/>
        <w:numPr>
          <w:ilvl w:val="0"/>
          <w:numId w:val="12"/>
        </w:numPr>
        <w:spacing w:after="120" w:line="240" w:lineRule="auto"/>
        <w:contextualSpacing w:val="0"/>
        <w:rPr>
          <w:rFonts w:cstheme="minorHAnsi"/>
        </w:rPr>
      </w:pPr>
      <w:r w:rsidRPr="00DD0595">
        <w:rPr>
          <w:rFonts w:cstheme="minorHAnsi"/>
        </w:rPr>
        <w:t xml:space="preserve">La "Banca nazionale delle terre agricole" (di seguito, Banca), istituita dall’Ismea nell’ambito dell'art. 16 della legge 28 luglio 2016, n. 154, costituisce l'inventario completo dei terreni agricoli che si rendono disponibili anche a seguito di abbandono dell'attività produttiva e di prepensionamenti, raccogliendo, organizzando e dando pubblicità alle informazioni necessarie sulle caratteristiche </w:t>
      </w:r>
      <w:r w:rsidRPr="00DD0595">
        <w:rPr>
          <w:rFonts w:cstheme="minorHAnsi"/>
        </w:rPr>
        <w:lastRenderedPageBreak/>
        <w:t xml:space="preserve">naturali, strutturali ed infrastrutturali dei medesimi, sulle modalità e condizioni di cessione e di acquisto degli stessi. La Banca, gestita da ISMEA, opera a livello nazionale. </w:t>
      </w:r>
      <w:r w:rsidRPr="00DD0595">
        <w:rPr>
          <w:rFonts w:eastAsia="Calibri" w:cstheme="minorHAnsi"/>
        </w:rPr>
        <w:t xml:space="preserve">La Banca può essere alimentata sia con i terreni derivanti dalle </w:t>
      </w:r>
      <w:r w:rsidRPr="00494C81">
        <w:rPr>
          <w:rFonts w:eastAsia="Calibri" w:cstheme="minorHAnsi"/>
        </w:rPr>
        <w:t>operazioni fondiarie realizzate da ISMEA</w:t>
      </w:r>
      <w:r w:rsidRPr="00DD0595">
        <w:rPr>
          <w:rFonts w:eastAsia="Calibri" w:cstheme="minorHAnsi"/>
        </w:rPr>
        <w:t>, sia con i terreni appartenenti a Regioni, Province Autonome o altri soggetti pubblici, anche non territoriali, interessati a vendere, per il tramite della Banca, i propri terreni, previa sottoscrizione di specifici accordi con l’Istituto.</w:t>
      </w:r>
      <w:r>
        <w:rPr>
          <w:rFonts w:eastAsia="Calibri" w:cstheme="minorHAnsi"/>
        </w:rPr>
        <w:t xml:space="preserve"> </w:t>
      </w:r>
      <w:r w:rsidRPr="00DD0595">
        <w:rPr>
          <w:rFonts w:eastAsia="Calibri" w:cstheme="minorHAnsi"/>
        </w:rPr>
        <w:t>Ad oggi, i tre lotti posti in vendita si compon</w:t>
      </w:r>
      <w:r w:rsidR="00D32B27">
        <w:rPr>
          <w:rFonts w:eastAsia="Calibri" w:cstheme="minorHAnsi"/>
        </w:rPr>
        <w:t>go</w:t>
      </w:r>
      <w:r w:rsidRPr="00DD0595">
        <w:rPr>
          <w:rFonts w:eastAsia="Calibri" w:cstheme="minorHAnsi"/>
        </w:rPr>
        <w:t xml:space="preserve">no unicamente da terreni di proprietà di Ismea, rientrati nella disponibilità dell’Istituto in seguito al </w:t>
      </w:r>
      <w:r w:rsidRPr="00DD0595">
        <w:rPr>
          <w:rFonts w:cstheme="minorHAnsi"/>
        </w:rPr>
        <w:t>default dell’operazione fondiaria (per incapacità del soggetto ad onorare le rate di prezzo alla base dell’operazione di leasing immobiliare finalizzata all’acquisto della terra o per volontà, dello stesso, di abbandonare l’attività agricola).</w:t>
      </w:r>
    </w:p>
    <w:p w14:paraId="43ABEC6C" w14:textId="09C29000" w:rsidR="0004072A" w:rsidRDefault="0004072A" w:rsidP="00D32B27">
      <w:pPr>
        <w:pStyle w:val="Paragrafoelenco"/>
        <w:spacing w:after="120" w:line="240" w:lineRule="auto"/>
        <w:contextualSpacing w:val="0"/>
        <w:rPr>
          <w:rFonts w:eastAsia="Calibri" w:cstheme="minorHAnsi"/>
        </w:rPr>
      </w:pPr>
      <w:r w:rsidRPr="00DD0595">
        <w:rPr>
          <w:rFonts w:eastAsia="Calibri" w:cstheme="minorHAnsi"/>
        </w:rPr>
        <w:t xml:space="preserve">La Banca è accessibile gratuitamente dagli utenti interessati all’acquisto, che possono in tal modo prendere visione delle schede tecniche con la descrizione dei terreni in vendita ed inviare la propria manifestazione di interesse a partecipare alla procedura competitiva ad evidenza pubblica di cui all’art.13, comma 4 </w:t>
      </w:r>
      <w:r w:rsidRPr="00DD0595">
        <w:rPr>
          <w:rFonts w:eastAsia="Calibri" w:cstheme="minorHAnsi"/>
          <w:i/>
        </w:rPr>
        <w:t>quater</w:t>
      </w:r>
      <w:r w:rsidRPr="00DD0595">
        <w:rPr>
          <w:rFonts w:eastAsia="Calibri" w:cstheme="minorHAnsi"/>
        </w:rPr>
        <w:t xml:space="preserve">, del </w:t>
      </w:r>
      <w:r w:rsidR="00E52CA4" w:rsidRPr="00DD0595">
        <w:rPr>
          <w:rFonts w:eastAsia="Calibri" w:cstheme="minorHAnsi"/>
        </w:rPr>
        <w:t>decreto-legge</w:t>
      </w:r>
      <w:r w:rsidRPr="00DD0595">
        <w:rPr>
          <w:rFonts w:eastAsia="Calibri" w:cstheme="minorHAnsi"/>
        </w:rPr>
        <w:t xml:space="preserve"> 22 ottobre 2016, n. 193, convertito, con modificazioni, dalla legge 1° dicembre 2016, n. 225.</w:t>
      </w:r>
    </w:p>
    <w:p w14:paraId="3599B3C4" w14:textId="77777777" w:rsidR="0004072A" w:rsidRDefault="0004072A" w:rsidP="00D32B27">
      <w:pPr>
        <w:pStyle w:val="Paragrafoelenco"/>
        <w:spacing w:after="120" w:line="240" w:lineRule="auto"/>
        <w:contextualSpacing w:val="0"/>
        <w:rPr>
          <w:rFonts w:cstheme="minorHAnsi"/>
        </w:rPr>
      </w:pPr>
      <w:r w:rsidRPr="003525FA">
        <w:rPr>
          <w:rFonts w:cstheme="minorHAnsi"/>
        </w:rPr>
        <w:t xml:space="preserve">La vendita dei terreni da parte dell’Ismea è effettuata tramite procedura competitiva ad evidenza pubblica tra coloro che hanno presentato una manifestazione di interesse all’acquisto a seguito di </w:t>
      </w:r>
      <w:r>
        <w:rPr>
          <w:rFonts w:cstheme="minorHAnsi"/>
        </w:rPr>
        <w:t>A</w:t>
      </w:r>
      <w:r w:rsidRPr="003525FA">
        <w:rPr>
          <w:rFonts w:cstheme="minorHAnsi"/>
        </w:rPr>
        <w:t xml:space="preserve">vviso </w:t>
      </w:r>
      <w:r>
        <w:rPr>
          <w:rFonts w:cstheme="minorHAnsi"/>
        </w:rPr>
        <w:t>P</w:t>
      </w:r>
      <w:r w:rsidRPr="003525FA">
        <w:rPr>
          <w:rFonts w:cstheme="minorHAnsi"/>
        </w:rPr>
        <w:t>ubblico</w:t>
      </w:r>
      <w:r>
        <w:rPr>
          <w:rFonts w:cstheme="minorHAnsi"/>
        </w:rPr>
        <w:t xml:space="preserve">. </w:t>
      </w:r>
      <w:r w:rsidRPr="003525FA">
        <w:rPr>
          <w:rFonts w:cstheme="minorHAnsi"/>
        </w:rPr>
        <w:t xml:space="preserve">L’accesso alla procedura competitiva </w:t>
      </w:r>
      <w:r>
        <w:rPr>
          <w:rFonts w:cstheme="minorHAnsi"/>
        </w:rPr>
        <w:t>n</w:t>
      </w:r>
      <w:r w:rsidRPr="003525FA">
        <w:rPr>
          <w:rFonts w:cstheme="minorHAnsi"/>
        </w:rPr>
        <w:t xml:space="preserve">on è ancorato al possesso di requisiti di carattere personale </w:t>
      </w:r>
      <w:r>
        <w:rPr>
          <w:rFonts w:cstheme="minorHAnsi"/>
        </w:rPr>
        <w:t>o</w:t>
      </w:r>
      <w:r w:rsidRPr="003525FA">
        <w:rPr>
          <w:rFonts w:cstheme="minorHAnsi"/>
        </w:rPr>
        <w:t xml:space="preserve"> professionale ed è rivolto ad una platea indifferenziata di possibili acquirenti. Qualora</w:t>
      </w:r>
      <w:r>
        <w:rPr>
          <w:rFonts w:cstheme="minorHAnsi"/>
        </w:rPr>
        <w:t>, tuttavia, ai sensi dell’art. 13, comma 4-</w:t>
      </w:r>
      <w:r w:rsidRPr="00342156">
        <w:rPr>
          <w:rFonts w:cstheme="minorHAnsi"/>
          <w:i/>
          <w:iCs/>
        </w:rPr>
        <w:t>quater</w:t>
      </w:r>
      <w:r w:rsidRPr="00342156">
        <w:rPr>
          <w:rFonts w:cstheme="minorHAnsi"/>
        </w:rPr>
        <w:t>, secondo periodo del D.L. 193/2016</w:t>
      </w:r>
      <w:r w:rsidRPr="003525FA">
        <w:rPr>
          <w:rFonts w:cstheme="minorHAnsi"/>
        </w:rPr>
        <w:t xml:space="preserve"> siano i giovani imprenditori agricoli ad aggiudicarsi i terreni, ai medesimi</w:t>
      </w:r>
      <w:r>
        <w:rPr>
          <w:rFonts w:cstheme="minorHAnsi"/>
        </w:rPr>
        <w:t xml:space="preserve"> (in possesso di specifici requisiti richiesti dai Criteri di vendita)</w:t>
      </w:r>
      <w:r w:rsidRPr="003525FA">
        <w:rPr>
          <w:rFonts w:cstheme="minorHAnsi"/>
        </w:rPr>
        <w:t xml:space="preserve"> è accordata la mera facoltà di accedere ad un pagamento in misura rateale</w:t>
      </w:r>
      <w:r>
        <w:rPr>
          <w:rFonts w:cstheme="minorHAnsi"/>
        </w:rPr>
        <w:t xml:space="preserve"> (fino ad un massimo di 30 anni) del prezzo di vendita</w:t>
      </w:r>
      <w:r w:rsidRPr="003525FA">
        <w:rPr>
          <w:rFonts w:cstheme="minorHAnsi"/>
        </w:rPr>
        <w:t xml:space="preserve">, con la costituzione di una garanzia del credito, sotto forma di ipoteca legale, nelle forme previste dal </w:t>
      </w:r>
      <w:proofErr w:type="gramStart"/>
      <w:r w:rsidRPr="003525FA">
        <w:rPr>
          <w:rFonts w:cstheme="minorHAnsi"/>
        </w:rPr>
        <w:t>codice civile</w:t>
      </w:r>
      <w:proofErr w:type="gramEnd"/>
      <w:r>
        <w:rPr>
          <w:rFonts w:cstheme="minorHAnsi"/>
        </w:rPr>
        <w:t>. L</w:t>
      </w:r>
      <w:r w:rsidRPr="003525FA">
        <w:rPr>
          <w:rFonts w:cstheme="minorHAnsi"/>
        </w:rPr>
        <w:t>e risorse eventualmente incamerate</w:t>
      </w:r>
      <w:r>
        <w:rPr>
          <w:rFonts w:cstheme="minorHAnsi"/>
        </w:rPr>
        <w:t xml:space="preserve"> dalla vendita</w:t>
      </w:r>
      <w:r w:rsidRPr="003525FA">
        <w:rPr>
          <w:rFonts w:cstheme="minorHAnsi"/>
        </w:rPr>
        <w:t>, hanno una destinazione vincolata per interventi a favore dei giovani imprenditori agricoli.</w:t>
      </w:r>
    </w:p>
    <w:p w14:paraId="64923972" w14:textId="271F8410" w:rsidR="0004072A" w:rsidRPr="00DD0595" w:rsidRDefault="0004072A" w:rsidP="00D32B27">
      <w:pPr>
        <w:pStyle w:val="Paragrafoelenco"/>
        <w:spacing w:after="120" w:line="240" w:lineRule="auto"/>
        <w:contextualSpacing w:val="0"/>
        <w:rPr>
          <w:rFonts w:eastAsia="Calibri" w:cstheme="minorHAnsi"/>
        </w:rPr>
      </w:pPr>
      <w:r>
        <w:rPr>
          <w:rFonts w:cstheme="minorHAnsi"/>
        </w:rPr>
        <w:t>Ad oggi I</w:t>
      </w:r>
      <w:r w:rsidR="00D32B27">
        <w:rPr>
          <w:rFonts w:cstheme="minorHAnsi"/>
        </w:rPr>
        <w:t>SMEA</w:t>
      </w:r>
      <w:r>
        <w:rPr>
          <w:rFonts w:cstheme="minorHAnsi"/>
        </w:rPr>
        <w:t xml:space="preserve"> ha effettuato tre diversi tentativi di vendita e si riporta di seguito il dettaglio del n. di terreni (che costituiscono</w:t>
      </w:r>
      <w:r w:rsidR="00D32B27">
        <w:rPr>
          <w:rFonts w:cstheme="minorHAnsi"/>
        </w:rPr>
        <w:t xml:space="preserve"> </w:t>
      </w:r>
      <w:r>
        <w:rPr>
          <w:rFonts w:cstheme="minorHAnsi"/>
        </w:rPr>
        <w:t>un’azienda agricola) e degli ettari che hanno caratterizzato ciascun tentativo.</w:t>
      </w:r>
    </w:p>
    <w:tbl>
      <w:tblPr>
        <w:tblStyle w:val="Tabellaelenco3-colore1"/>
        <w:tblW w:w="4634" w:type="pct"/>
        <w:tblInd w:w="704" w:type="dxa"/>
        <w:tblLook w:val="04A0" w:firstRow="1" w:lastRow="0" w:firstColumn="1" w:lastColumn="0" w:noHBand="0" w:noVBand="1"/>
      </w:tblPr>
      <w:tblGrid>
        <w:gridCol w:w="3751"/>
        <w:gridCol w:w="2586"/>
        <w:gridCol w:w="2586"/>
      </w:tblGrid>
      <w:tr w:rsidR="0004072A" w14:paraId="5B14FC35" w14:textId="77777777" w:rsidTr="00E52CA4">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2102" w:type="pct"/>
            <w:noWrap/>
            <w:hideMark/>
          </w:tcPr>
          <w:p w14:paraId="58B2C30C" w14:textId="6C583330" w:rsidR="0004072A" w:rsidRDefault="0004072A" w:rsidP="000561ED">
            <w:pPr>
              <w:rPr>
                <w:rFonts w:ascii="Calibri" w:hAnsi="Calibri" w:cs="Calibri"/>
                <w:color w:val="000000"/>
              </w:rPr>
            </w:pPr>
            <w:r w:rsidRPr="00E52CA4">
              <w:rPr>
                <w:rFonts w:ascii="Calibri" w:hAnsi="Calibri" w:cs="Calibri"/>
              </w:rPr>
              <w:t> </w:t>
            </w:r>
            <w:r w:rsidR="00E52CA4" w:rsidRPr="00E52CA4">
              <w:rPr>
                <w:rFonts w:ascii="Calibri" w:hAnsi="Calibri" w:cs="Calibri"/>
              </w:rPr>
              <w:t>Lotto</w:t>
            </w:r>
          </w:p>
        </w:tc>
        <w:tc>
          <w:tcPr>
            <w:tcW w:w="1449" w:type="pct"/>
            <w:noWrap/>
            <w:hideMark/>
          </w:tcPr>
          <w:p w14:paraId="5CF18E21" w14:textId="77777777" w:rsidR="0004072A" w:rsidRPr="00F02E6B" w:rsidRDefault="0004072A" w:rsidP="000561ED">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EEECE1" w:themeColor="background2"/>
              </w:rPr>
            </w:pPr>
            <w:r w:rsidRPr="00F02E6B">
              <w:rPr>
                <w:rFonts w:ascii="Calibri" w:hAnsi="Calibri" w:cs="Calibri"/>
                <w:color w:val="EEECE1" w:themeColor="background2"/>
              </w:rPr>
              <w:t>N. TERRENI</w:t>
            </w:r>
          </w:p>
        </w:tc>
        <w:tc>
          <w:tcPr>
            <w:tcW w:w="1449" w:type="pct"/>
            <w:noWrap/>
            <w:hideMark/>
          </w:tcPr>
          <w:p w14:paraId="39E681F9" w14:textId="77777777" w:rsidR="0004072A" w:rsidRPr="00F02E6B" w:rsidRDefault="0004072A" w:rsidP="000561ED">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EEECE1" w:themeColor="background2"/>
              </w:rPr>
            </w:pPr>
            <w:r w:rsidRPr="00F02E6B">
              <w:rPr>
                <w:rFonts w:ascii="Calibri" w:hAnsi="Calibri" w:cs="Calibri"/>
                <w:color w:val="EEECE1" w:themeColor="background2"/>
              </w:rPr>
              <w:t xml:space="preserve">HA </w:t>
            </w:r>
          </w:p>
        </w:tc>
      </w:tr>
      <w:tr w:rsidR="0004072A" w14:paraId="4CF25522" w14:textId="77777777" w:rsidTr="00E52C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02" w:type="pct"/>
            <w:noWrap/>
            <w:hideMark/>
          </w:tcPr>
          <w:p w14:paraId="4F1C536C" w14:textId="77777777" w:rsidR="0004072A" w:rsidRPr="00F02E6B" w:rsidRDefault="0004072A" w:rsidP="000561ED">
            <w:pPr>
              <w:rPr>
                <w:rFonts w:ascii="Calibri" w:hAnsi="Calibri" w:cs="Calibri"/>
                <w:color w:val="000000"/>
              </w:rPr>
            </w:pPr>
            <w:r>
              <w:rPr>
                <w:rFonts w:ascii="Calibri" w:hAnsi="Calibri" w:cs="Calibri"/>
                <w:color w:val="000000"/>
              </w:rPr>
              <w:t>Lotto 1</w:t>
            </w:r>
          </w:p>
        </w:tc>
        <w:tc>
          <w:tcPr>
            <w:tcW w:w="1449" w:type="pct"/>
            <w:noWrap/>
            <w:hideMark/>
          </w:tcPr>
          <w:p w14:paraId="0CB92BBB" w14:textId="77777777" w:rsidR="0004072A" w:rsidRDefault="0004072A"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217</w:t>
            </w:r>
          </w:p>
        </w:tc>
        <w:tc>
          <w:tcPr>
            <w:tcW w:w="1449" w:type="pct"/>
            <w:noWrap/>
            <w:hideMark/>
          </w:tcPr>
          <w:p w14:paraId="36CF6213" w14:textId="77777777" w:rsidR="0004072A" w:rsidRDefault="0004072A"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8.112,86</w:t>
            </w:r>
          </w:p>
        </w:tc>
      </w:tr>
      <w:tr w:rsidR="0004072A" w14:paraId="1C23A125" w14:textId="77777777" w:rsidTr="00E52CA4">
        <w:trPr>
          <w:trHeight w:val="300"/>
        </w:trPr>
        <w:tc>
          <w:tcPr>
            <w:cnfStyle w:val="001000000000" w:firstRow="0" w:lastRow="0" w:firstColumn="1" w:lastColumn="0" w:oddVBand="0" w:evenVBand="0" w:oddHBand="0" w:evenHBand="0" w:firstRowFirstColumn="0" w:firstRowLastColumn="0" w:lastRowFirstColumn="0" w:lastRowLastColumn="0"/>
            <w:tcW w:w="2102" w:type="pct"/>
            <w:noWrap/>
            <w:hideMark/>
          </w:tcPr>
          <w:p w14:paraId="07B8D837" w14:textId="77777777" w:rsidR="0004072A" w:rsidRPr="00F02E6B" w:rsidRDefault="0004072A" w:rsidP="000561ED">
            <w:pPr>
              <w:rPr>
                <w:rFonts w:ascii="Calibri" w:hAnsi="Calibri" w:cs="Calibri"/>
                <w:color w:val="000000"/>
              </w:rPr>
            </w:pPr>
            <w:r>
              <w:rPr>
                <w:rFonts w:ascii="Calibri" w:hAnsi="Calibri" w:cs="Calibri"/>
                <w:color w:val="000000"/>
              </w:rPr>
              <w:t>Lotto 2</w:t>
            </w:r>
          </w:p>
        </w:tc>
        <w:tc>
          <w:tcPr>
            <w:tcW w:w="1449" w:type="pct"/>
            <w:noWrap/>
            <w:hideMark/>
          </w:tcPr>
          <w:p w14:paraId="594B67CE" w14:textId="77777777" w:rsidR="0004072A" w:rsidRDefault="0004072A"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343</w:t>
            </w:r>
          </w:p>
        </w:tc>
        <w:tc>
          <w:tcPr>
            <w:tcW w:w="1449" w:type="pct"/>
            <w:noWrap/>
            <w:hideMark/>
          </w:tcPr>
          <w:p w14:paraId="3CDA4205" w14:textId="77777777" w:rsidR="0004072A" w:rsidRDefault="0004072A"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7.707,03</w:t>
            </w:r>
          </w:p>
        </w:tc>
      </w:tr>
      <w:tr w:rsidR="0004072A" w14:paraId="1BDFE147" w14:textId="77777777" w:rsidTr="00E52C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02" w:type="pct"/>
            <w:noWrap/>
            <w:hideMark/>
          </w:tcPr>
          <w:p w14:paraId="1DE9CE6D" w14:textId="77777777" w:rsidR="0004072A" w:rsidRPr="00F02E6B" w:rsidRDefault="0004072A" w:rsidP="000561ED">
            <w:pPr>
              <w:rPr>
                <w:rFonts w:ascii="Calibri" w:hAnsi="Calibri" w:cs="Calibri"/>
                <w:color w:val="000000"/>
              </w:rPr>
            </w:pPr>
            <w:r>
              <w:rPr>
                <w:rFonts w:ascii="Calibri" w:hAnsi="Calibri" w:cs="Calibri"/>
                <w:color w:val="000000"/>
              </w:rPr>
              <w:t>Lotto 3</w:t>
            </w:r>
          </w:p>
        </w:tc>
        <w:tc>
          <w:tcPr>
            <w:tcW w:w="1449" w:type="pct"/>
            <w:noWrap/>
            <w:hideMark/>
          </w:tcPr>
          <w:p w14:paraId="2DA0F81A" w14:textId="77777777" w:rsidR="0004072A" w:rsidRDefault="0004072A"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386</w:t>
            </w:r>
          </w:p>
        </w:tc>
        <w:tc>
          <w:tcPr>
            <w:tcW w:w="1449" w:type="pct"/>
            <w:noWrap/>
            <w:hideMark/>
          </w:tcPr>
          <w:p w14:paraId="135AC262" w14:textId="77777777" w:rsidR="0004072A" w:rsidRDefault="0004072A"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10.024,58</w:t>
            </w:r>
          </w:p>
        </w:tc>
      </w:tr>
    </w:tbl>
    <w:p w14:paraId="74240F74" w14:textId="77777777" w:rsidR="0004072A" w:rsidRDefault="0004072A" w:rsidP="00D32B27">
      <w:pPr>
        <w:spacing w:before="120" w:after="120"/>
        <w:rPr>
          <w:rFonts w:cstheme="minorHAnsi"/>
        </w:rPr>
      </w:pPr>
      <w:r>
        <w:rPr>
          <w:rFonts w:cstheme="minorHAnsi"/>
        </w:rPr>
        <w:tab/>
        <w:t>Ad oggi, risultano aggiudicati complessivamente 213 terreni per complessivi 8.345 ha circa.</w:t>
      </w:r>
    </w:p>
    <w:tbl>
      <w:tblPr>
        <w:tblStyle w:val="Tabellaelenco3-colore1"/>
        <w:tblW w:w="4634" w:type="pct"/>
        <w:tblInd w:w="704" w:type="dxa"/>
        <w:tblLook w:val="04A0" w:firstRow="1" w:lastRow="0" w:firstColumn="1" w:lastColumn="0" w:noHBand="0" w:noVBand="1"/>
      </w:tblPr>
      <w:tblGrid>
        <w:gridCol w:w="3686"/>
        <w:gridCol w:w="2692"/>
        <w:gridCol w:w="2545"/>
      </w:tblGrid>
      <w:tr w:rsidR="0004072A" w:rsidRPr="007226DB" w14:paraId="71D0A1F0" w14:textId="77777777" w:rsidTr="00E52CA4">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2065" w:type="pct"/>
            <w:noWrap/>
            <w:hideMark/>
          </w:tcPr>
          <w:p w14:paraId="2671B86C" w14:textId="77777777" w:rsidR="0004072A" w:rsidRPr="007226DB" w:rsidRDefault="0004072A" w:rsidP="000561ED">
            <w:pPr>
              <w:rPr>
                <w:rFonts w:ascii="Calibri" w:hAnsi="Calibri" w:cs="Calibri"/>
                <w:b w:val="0"/>
                <w:bCs w:val="0"/>
                <w:color w:val="FFFFFF"/>
              </w:rPr>
            </w:pPr>
            <w:r w:rsidRPr="007226DB">
              <w:rPr>
                <w:rFonts w:ascii="Calibri" w:hAnsi="Calibri" w:cs="Calibri"/>
                <w:color w:val="FFFFFF"/>
              </w:rPr>
              <w:t>Lotto</w:t>
            </w:r>
          </w:p>
        </w:tc>
        <w:tc>
          <w:tcPr>
            <w:tcW w:w="1508" w:type="pct"/>
            <w:noWrap/>
            <w:hideMark/>
          </w:tcPr>
          <w:p w14:paraId="73BCD4A2" w14:textId="77777777" w:rsidR="0004072A" w:rsidRPr="007226DB" w:rsidRDefault="0004072A" w:rsidP="000561ED">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rPr>
            </w:pPr>
            <w:r>
              <w:rPr>
                <w:rFonts w:ascii="Calibri" w:hAnsi="Calibri" w:cs="Calibri"/>
                <w:color w:val="FFFFFF"/>
              </w:rPr>
              <w:t>Numero di t</w:t>
            </w:r>
            <w:r w:rsidRPr="007226DB">
              <w:rPr>
                <w:rFonts w:ascii="Calibri" w:hAnsi="Calibri" w:cs="Calibri"/>
                <w:color w:val="FFFFFF"/>
              </w:rPr>
              <w:t>erreni</w:t>
            </w:r>
          </w:p>
        </w:tc>
        <w:tc>
          <w:tcPr>
            <w:tcW w:w="1426" w:type="pct"/>
            <w:noWrap/>
            <w:hideMark/>
          </w:tcPr>
          <w:p w14:paraId="2E363D0B" w14:textId="77777777" w:rsidR="0004072A" w:rsidRPr="007226DB" w:rsidRDefault="0004072A" w:rsidP="000561ED">
            <w:pP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rPr>
            </w:pPr>
            <w:r>
              <w:rPr>
                <w:rFonts w:ascii="Calibri" w:hAnsi="Calibri" w:cs="Calibri"/>
                <w:color w:val="FFFFFF"/>
              </w:rPr>
              <w:t>Importo aggiudicato</w:t>
            </w:r>
          </w:p>
        </w:tc>
      </w:tr>
      <w:tr w:rsidR="0004072A" w:rsidRPr="007226DB" w14:paraId="101E8D1E" w14:textId="77777777" w:rsidTr="00E52C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65" w:type="pct"/>
            <w:noWrap/>
            <w:hideMark/>
          </w:tcPr>
          <w:p w14:paraId="6BE1774F" w14:textId="77777777" w:rsidR="0004072A" w:rsidRPr="007226DB" w:rsidRDefault="0004072A" w:rsidP="000561ED">
            <w:pPr>
              <w:rPr>
                <w:rFonts w:ascii="Calibri" w:hAnsi="Calibri" w:cs="Calibri"/>
                <w:color w:val="000000"/>
              </w:rPr>
            </w:pPr>
            <w:r w:rsidRPr="007226DB">
              <w:rPr>
                <w:rFonts w:ascii="Calibri" w:hAnsi="Calibri" w:cs="Calibri"/>
                <w:color w:val="000000"/>
              </w:rPr>
              <w:t>Lotto 1</w:t>
            </w:r>
          </w:p>
        </w:tc>
        <w:tc>
          <w:tcPr>
            <w:tcW w:w="1508" w:type="pct"/>
            <w:noWrap/>
            <w:hideMark/>
          </w:tcPr>
          <w:p w14:paraId="43AB0D1B" w14:textId="77777777" w:rsidR="0004072A" w:rsidRPr="007226DB" w:rsidRDefault="0004072A"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7226DB">
              <w:rPr>
                <w:rFonts w:ascii="Calibri" w:hAnsi="Calibri" w:cs="Calibri"/>
                <w:color w:val="000000"/>
              </w:rPr>
              <w:t>51</w:t>
            </w:r>
          </w:p>
        </w:tc>
        <w:tc>
          <w:tcPr>
            <w:tcW w:w="1426" w:type="pct"/>
            <w:noWrap/>
            <w:hideMark/>
          </w:tcPr>
          <w:p w14:paraId="1422A4F2" w14:textId="77777777" w:rsidR="0004072A" w:rsidRPr="007226DB" w:rsidRDefault="0004072A"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Pr="007226DB">
              <w:rPr>
                <w:rFonts w:ascii="Calibri" w:hAnsi="Calibri" w:cs="Calibri"/>
                <w:color w:val="000000"/>
              </w:rPr>
              <w:t xml:space="preserve">24.464.118,94 </w:t>
            </w:r>
          </w:p>
        </w:tc>
      </w:tr>
      <w:tr w:rsidR="0004072A" w:rsidRPr="007226DB" w14:paraId="2A4CB0D4" w14:textId="77777777" w:rsidTr="00E52CA4">
        <w:trPr>
          <w:trHeight w:val="300"/>
        </w:trPr>
        <w:tc>
          <w:tcPr>
            <w:cnfStyle w:val="001000000000" w:firstRow="0" w:lastRow="0" w:firstColumn="1" w:lastColumn="0" w:oddVBand="0" w:evenVBand="0" w:oddHBand="0" w:evenHBand="0" w:firstRowFirstColumn="0" w:firstRowLastColumn="0" w:lastRowFirstColumn="0" w:lastRowLastColumn="0"/>
            <w:tcW w:w="2065" w:type="pct"/>
            <w:noWrap/>
            <w:hideMark/>
          </w:tcPr>
          <w:p w14:paraId="7F186A06" w14:textId="77777777" w:rsidR="0004072A" w:rsidRPr="007226DB" w:rsidRDefault="0004072A" w:rsidP="000561ED">
            <w:pPr>
              <w:rPr>
                <w:rFonts w:ascii="Calibri" w:hAnsi="Calibri" w:cs="Calibri"/>
                <w:color w:val="000000"/>
              </w:rPr>
            </w:pPr>
            <w:r w:rsidRPr="007226DB">
              <w:rPr>
                <w:rFonts w:ascii="Calibri" w:hAnsi="Calibri" w:cs="Calibri"/>
                <w:color w:val="000000"/>
              </w:rPr>
              <w:t>Lotto 2</w:t>
            </w:r>
          </w:p>
        </w:tc>
        <w:tc>
          <w:tcPr>
            <w:tcW w:w="1508" w:type="pct"/>
            <w:noWrap/>
            <w:hideMark/>
          </w:tcPr>
          <w:p w14:paraId="66A855DF" w14:textId="77777777" w:rsidR="0004072A" w:rsidRPr="007226DB" w:rsidRDefault="0004072A"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7226DB">
              <w:rPr>
                <w:rFonts w:ascii="Calibri" w:hAnsi="Calibri" w:cs="Calibri"/>
                <w:color w:val="000000"/>
              </w:rPr>
              <w:t>78</w:t>
            </w:r>
          </w:p>
        </w:tc>
        <w:tc>
          <w:tcPr>
            <w:tcW w:w="1426" w:type="pct"/>
            <w:noWrap/>
            <w:hideMark/>
          </w:tcPr>
          <w:p w14:paraId="62F34937" w14:textId="77777777" w:rsidR="0004072A" w:rsidRPr="007226DB" w:rsidRDefault="0004072A"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Pr="007226DB">
              <w:rPr>
                <w:rFonts w:ascii="Calibri" w:hAnsi="Calibri" w:cs="Calibri"/>
                <w:color w:val="000000"/>
              </w:rPr>
              <w:t xml:space="preserve">27.350.613,27 </w:t>
            </w:r>
          </w:p>
        </w:tc>
      </w:tr>
      <w:tr w:rsidR="0004072A" w:rsidRPr="007226DB" w14:paraId="18F973AB" w14:textId="77777777" w:rsidTr="00E52CA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065" w:type="pct"/>
            <w:noWrap/>
            <w:hideMark/>
          </w:tcPr>
          <w:p w14:paraId="5B28736E" w14:textId="77777777" w:rsidR="0004072A" w:rsidRPr="007226DB" w:rsidRDefault="0004072A" w:rsidP="000561ED">
            <w:pPr>
              <w:rPr>
                <w:rFonts w:ascii="Calibri" w:hAnsi="Calibri" w:cs="Calibri"/>
                <w:color w:val="000000"/>
              </w:rPr>
            </w:pPr>
            <w:r w:rsidRPr="007226DB">
              <w:rPr>
                <w:rFonts w:ascii="Calibri" w:hAnsi="Calibri" w:cs="Calibri"/>
                <w:color w:val="000000"/>
              </w:rPr>
              <w:t>Lotto 3</w:t>
            </w:r>
          </w:p>
        </w:tc>
        <w:tc>
          <w:tcPr>
            <w:tcW w:w="1508" w:type="pct"/>
            <w:noWrap/>
            <w:hideMark/>
          </w:tcPr>
          <w:p w14:paraId="39E12890" w14:textId="77777777" w:rsidR="0004072A" w:rsidRPr="007226DB" w:rsidRDefault="0004072A"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7226DB">
              <w:rPr>
                <w:rFonts w:ascii="Calibri" w:hAnsi="Calibri" w:cs="Calibri"/>
                <w:color w:val="000000"/>
              </w:rPr>
              <w:t>84</w:t>
            </w:r>
          </w:p>
        </w:tc>
        <w:tc>
          <w:tcPr>
            <w:tcW w:w="1426" w:type="pct"/>
            <w:noWrap/>
            <w:hideMark/>
          </w:tcPr>
          <w:p w14:paraId="0DDE01D8" w14:textId="77777777" w:rsidR="0004072A" w:rsidRPr="007226DB" w:rsidRDefault="0004072A"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Pr="007226DB">
              <w:rPr>
                <w:rFonts w:ascii="Calibri" w:hAnsi="Calibri" w:cs="Calibri"/>
                <w:color w:val="000000"/>
              </w:rPr>
              <w:t xml:space="preserve">32.611.987,62 </w:t>
            </w:r>
          </w:p>
        </w:tc>
      </w:tr>
      <w:tr w:rsidR="0004072A" w:rsidRPr="007226DB" w14:paraId="08704085" w14:textId="77777777" w:rsidTr="00E52CA4">
        <w:trPr>
          <w:trHeight w:val="300"/>
        </w:trPr>
        <w:tc>
          <w:tcPr>
            <w:cnfStyle w:val="001000000000" w:firstRow="0" w:lastRow="0" w:firstColumn="1" w:lastColumn="0" w:oddVBand="0" w:evenVBand="0" w:oddHBand="0" w:evenHBand="0" w:firstRowFirstColumn="0" w:firstRowLastColumn="0" w:lastRowFirstColumn="0" w:lastRowLastColumn="0"/>
            <w:tcW w:w="2065" w:type="pct"/>
            <w:noWrap/>
            <w:hideMark/>
          </w:tcPr>
          <w:p w14:paraId="34D72370" w14:textId="47819FBE" w:rsidR="0004072A" w:rsidRPr="007226DB" w:rsidRDefault="00E52CA4" w:rsidP="000561ED">
            <w:pPr>
              <w:rPr>
                <w:rFonts w:ascii="Calibri" w:hAnsi="Calibri" w:cs="Calibri"/>
                <w:color w:val="000000"/>
              </w:rPr>
            </w:pPr>
            <w:r>
              <w:rPr>
                <w:rFonts w:ascii="Calibri" w:hAnsi="Calibri" w:cs="Calibri"/>
                <w:color w:val="000000"/>
              </w:rPr>
              <w:t>Totale</w:t>
            </w:r>
          </w:p>
        </w:tc>
        <w:tc>
          <w:tcPr>
            <w:tcW w:w="1508" w:type="pct"/>
            <w:noWrap/>
            <w:hideMark/>
          </w:tcPr>
          <w:p w14:paraId="3C7761FE" w14:textId="25321F0D" w:rsidR="0004072A" w:rsidRPr="00DF5ABA" w:rsidRDefault="00DF5ABA" w:rsidP="000561ED">
            <w:pPr>
              <w:jc w:val="right"/>
              <w:cnfStyle w:val="000000000000" w:firstRow="0" w:lastRow="0" w:firstColumn="0" w:lastColumn="0" w:oddVBand="0" w:evenVBand="0" w:oddHBand="0" w:evenHBand="0" w:firstRowFirstColumn="0" w:firstRowLastColumn="0" w:lastRowFirstColumn="0" w:lastRowLastColumn="0"/>
              <w:rPr>
                <w:b/>
                <w:bCs/>
                <w:sz w:val="20"/>
                <w:szCs w:val="20"/>
              </w:rPr>
            </w:pPr>
            <w:r w:rsidRPr="00DF5ABA">
              <w:rPr>
                <w:b/>
                <w:bCs/>
                <w:sz w:val="20"/>
                <w:szCs w:val="20"/>
              </w:rPr>
              <w:t>213</w:t>
            </w:r>
          </w:p>
        </w:tc>
        <w:tc>
          <w:tcPr>
            <w:tcW w:w="1426" w:type="pct"/>
            <w:noWrap/>
            <w:hideMark/>
          </w:tcPr>
          <w:p w14:paraId="4AF7331A" w14:textId="77777777" w:rsidR="0004072A" w:rsidRPr="007226DB" w:rsidRDefault="0004072A"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color w:val="000000"/>
              </w:rPr>
            </w:pPr>
            <w:r>
              <w:rPr>
                <w:rFonts w:ascii="Calibri" w:hAnsi="Calibri" w:cs="Calibri"/>
                <w:b/>
                <w:bCs/>
                <w:color w:val="000000"/>
              </w:rPr>
              <w:t xml:space="preserve"> </w:t>
            </w:r>
            <w:r w:rsidRPr="007226DB">
              <w:rPr>
                <w:rFonts w:ascii="Calibri" w:hAnsi="Calibri" w:cs="Calibri"/>
                <w:b/>
                <w:bCs/>
                <w:color w:val="000000"/>
              </w:rPr>
              <w:t xml:space="preserve">84.426.719,83 </w:t>
            </w:r>
          </w:p>
        </w:tc>
      </w:tr>
    </w:tbl>
    <w:p w14:paraId="2C000C2B" w14:textId="77777777" w:rsidR="00D32B27" w:rsidRDefault="00D32B27" w:rsidP="00D32B27">
      <w:pPr>
        <w:pStyle w:val="Paragrafoelenco"/>
        <w:numPr>
          <w:ilvl w:val="0"/>
          <w:numId w:val="12"/>
        </w:numPr>
        <w:spacing w:before="120" w:after="120" w:line="240" w:lineRule="auto"/>
        <w:ind w:left="714" w:hanging="357"/>
        <w:contextualSpacing w:val="0"/>
      </w:pPr>
      <w:r>
        <w:br w:type="page"/>
      </w:r>
    </w:p>
    <w:p w14:paraId="5567DA26" w14:textId="575D2923" w:rsidR="0004072A" w:rsidRDefault="0004072A" w:rsidP="00D32B27">
      <w:pPr>
        <w:pStyle w:val="Paragrafoelenco"/>
        <w:numPr>
          <w:ilvl w:val="0"/>
          <w:numId w:val="12"/>
        </w:numPr>
        <w:spacing w:before="120" w:after="120" w:line="240" w:lineRule="auto"/>
        <w:ind w:left="714" w:hanging="357"/>
        <w:contextualSpacing w:val="0"/>
      </w:pPr>
      <w:r>
        <w:lastRenderedPageBreak/>
        <w:t>Negli ultimi anni un numero sempre maggiore di amministrazioni regionali ha emanato leggi relative alla “Banca della terra”, con l’obiettivo di costituire inventari completi e aggiornati dei terreni e delle aziende agricole di proprietà pubblica e privata che possono essere messi a disposizione di terzi tramite operazioni di affitto o di concessione</w:t>
      </w:r>
      <w:r>
        <w:rPr>
          <w:rStyle w:val="Rimandonotaapidipagina"/>
        </w:rPr>
        <w:footnoteReference w:id="7"/>
      </w:r>
      <w:r>
        <w:t>.</w:t>
      </w:r>
    </w:p>
    <w:p w14:paraId="0C28C79D" w14:textId="77777777" w:rsidR="0004072A" w:rsidRDefault="0004072A" w:rsidP="00D32B27">
      <w:pPr>
        <w:pStyle w:val="Paragrafoelenco"/>
        <w:numPr>
          <w:ilvl w:val="0"/>
          <w:numId w:val="12"/>
        </w:numPr>
        <w:spacing w:after="120" w:line="240" w:lineRule="auto"/>
        <w:contextualSpacing w:val="0"/>
      </w:pPr>
      <w:r>
        <w:t>Nel 2012 la Regione Toscana è stata la prima amministrazione in Europa a istituire la Banca delle terre abbandonate e incolte, dotandosi di una normativa specifica in materia (l.reg. 80/2012). Hanno fatto seguito nel 2013 la Campania, nel 2014 Veneto, Lombardia, Liguria, Umbria, Molise, Puglia e Sicilia, nel 2015 Abruzzo, Marche e Provincia di Trento, nel 2016 Basilicata e Lazio e infine, nel 2017, la Regione Calabria che ha previsto la pubblicazione annuale di un elenco di terreni di proprietà regionale idonei per l’assegnazione a giovani agricoltori (anche in forma associata) e a cooperative sociali</w:t>
      </w:r>
      <w:r>
        <w:rPr>
          <w:rStyle w:val="Rimandonotaapidipagina"/>
        </w:rPr>
        <w:footnoteReference w:id="8"/>
      </w:r>
      <w:r>
        <w:t>.</w:t>
      </w:r>
    </w:p>
    <w:p w14:paraId="137E836A" w14:textId="77777777" w:rsidR="0004072A" w:rsidRDefault="0004072A" w:rsidP="00D32B27">
      <w:pPr>
        <w:pStyle w:val="Paragrafoelenco"/>
        <w:numPr>
          <w:ilvl w:val="0"/>
          <w:numId w:val="12"/>
        </w:numPr>
        <w:spacing w:after="120" w:line="240" w:lineRule="auto"/>
        <w:contextualSpacing w:val="0"/>
      </w:pPr>
      <w:r>
        <w:t xml:space="preserve">Nella maggior parte dei casi, si tratta di beni pubblici e privati, abbandonati o incolti. Tutte le leggi istitutive della Banca regionale della terra fanno riferimento anche a terreni e immobili privati (tranne la Calabria che coinvolge esclusivamente beni di proprietà dell’ente regionale o di altri enti pubblici). </w:t>
      </w:r>
    </w:p>
    <w:p w14:paraId="778447E1" w14:textId="77777777" w:rsidR="0004072A" w:rsidRDefault="0004072A" w:rsidP="00D32B27">
      <w:pPr>
        <w:pStyle w:val="Paragrafoelenco"/>
        <w:numPr>
          <w:ilvl w:val="0"/>
          <w:numId w:val="12"/>
        </w:numPr>
        <w:spacing w:after="120" w:line="240" w:lineRule="auto"/>
        <w:contextualSpacing w:val="0"/>
      </w:pPr>
      <w:r>
        <w:t>Le banche della terra della Toscana, della Liguria, della Lombardia e dell’Umbria sono tra le esperienze più avanzate; in altre Regioni sono stati pubblicati i primi bandi, come in Veneto; in altre Regioni ancora sono in corso di realizzazione le operazioni di censimento da parte dei Comuni o dell’Amministrazione regionale oppure sono in corso di elaborazione i regolamenti attuativi.</w:t>
      </w:r>
    </w:p>
    <w:p w14:paraId="28C682CB" w14:textId="72C97560" w:rsidR="0004072A" w:rsidRDefault="0004072A" w:rsidP="00D32B27">
      <w:pPr>
        <w:pStyle w:val="Paragrafoelenco"/>
        <w:numPr>
          <w:ilvl w:val="0"/>
          <w:numId w:val="12"/>
        </w:numPr>
        <w:spacing w:after="120" w:line="240" w:lineRule="auto"/>
        <w:contextualSpacing w:val="0"/>
      </w:pPr>
      <w:r>
        <w:t xml:space="preserve">In alcune delle Regioni che non hanno istituito Banche della terra, come Sardegna e Piemonte, sono state attivate altre iniziative per promuovere l’interazione fra i proprietari di terreni incolti o abbandonati e </w:t>
      </w:r>
      <w:r w:rsidR="00DF5ABA">
        <w:t xml:space="preserve">i </w:t>
      </w:r>
      <w:r>
        <w:t>giovani agricoltori, con i medesimi obiettivi delle Banche della terra.</w:t>
      </w:r>
    </w:p>
    <w:p w14:paraId="6294698E" w14:textId="40B6F5FA" w:rsidR="0004072A" w:rsidRDefault="0004072A" w:rsidP="00D32B27">
      <w:pPr>
        <w:pStyle w:val="Paragrafoelenco"/>
        <w:spacing w:after="120" w:line="240" w:lineRule="auto"/>
        <w:contextualSpacing w:val="0"/>
      </w:pPr>
      <w:r>
        <w:t>La Regione Sardegna ha avviato il progetto “Terra ai giovani”, per favorire il ricambio generazionale e la crescita del comparto agricolo</w:t>
      </w:r>
      <w:r>
        <w:rPr>
          <w:rStyle w:val="Rimandonotaapidipagina"/>
        </w:rPr>
        <w:footnoteReference w:id="9"/>
      </w:r>
      <w:r>
        <w:t>. La Regione Piemonte, con una legge regionale del 2016, promuove lo sviluppo delle attività agro-</w:t>
      </w:r>
      <w:proofErr w:type="spellStart"/>
      <w:r>
        <w:t>silvo</w:t>
      </w:r>
      <w:proofErr w:type="spellEnd"/>
      <w:r>
        <w:t>-pastorali attraverso il razionale utilizzo del suolo agricolo e il recupero produttivo delle proprietà fondiarie frammentate e dei terreni agricoli incolti o abbandonati, individuando nell’associazionismo fondiario lo strumento di intervento. Le associazioni fondiarie sono costituite tra i proprietari dei terreni pubblici o privati al fine di raggruppare terreni agricoli e boschi, in attualità di gestione, incolti o abbandonati, o per consentirne un uso economicamente sostenibile e produttivo</w:t>
      </w:r>
      <w:r>
        <w:rPr>
          <w:rStyle w:val="Rimandonotaapidipagina"/>
        </w:rPr>
        <w:footnoteReference w:id="10"/>
      </w:r>
      <w:r>
        <w:t>.</w:t>
      </w:r>
    </w:p>
    <w:p w14:paraId="46075F25" w14:textId="48E06717" w:rsidR="00D32B27" w:rsidRDefault="00D32B27" w:rsidP="00D32B27">
      <w:pPr>
        <w:pStyle w:val="Paragrafoelenco"/>
        <w:spacing w:after="120" w:line="240" w:lineRule="auto"/>
        <w:contextualSpacing w:val="0"/>
      </w:pPr>
      <w:r>
        <w:br w:type="page"/>
      </w:r>
    </w:p>
    <w:p w14:paraId="6A780775" w14:textId="77777777" w:rsidR="00643B78" w:rsidRDefault="00643B78" w:rsidP="000C7F95">
      <w:pPr>
        <w:pStyle w:val="Titolo2"/>
        <w:numPr>
          <w:ilvl w:val="1"/>
          <w:numId w:val="13"/>
        </w:numPr>
        <w:tabs>
          <w:tab w:val="left" w:pos="1276"/>
        </w:tabs>
      </w:pPr>
      <w:bookmarkStart w:id="20" w:name="_Toc22736708"/>
      <w:r>
        <w:lastRenderedPageBreak/>
        <w:t>Accesso al credito</w:t>
      </w:r>
      <w:bookmarkEnd w:id="20"/>
    </w:p>
    <w:p w14:paraId="0DC7DEA3" w14:textId="617061B8" w:rsidR="00932997" w:rsidRPr="00321572" w:rsidRDefault="00932997" w:rsidP="00E347BE">
      <w:pPr>
        <w:pStyle w:val="Paragrafoelenco"/>
        <w:keepNext/>
        <w:widowControl w:val="0"/>
        <w:numPr>
          <w:ilvl w:val="0"/>
          <w:numId w:val="42"/>
        </w:numPr>
        <w:spacing w:after="120" w:line="240" w:lineRule="auto"/>
        <w:ind w:left="709"/>
        <w:contextualSpacing w:val="0"/>
        <w:rPr>
          <w:rFonts w:cstheme="minorHAnsi"/>
          <w:color w:val="000000" w:themeColor="text1"/>
        </w:rPr>
      </w:pPr>
      <w:r w:rsidRPr="00321572">
        <w:rPr>
          <w:rFonts w:cstheme="minorHAnsi"/>
          <w:color w:val="000000" w:themeColor="text1"/>
        </w:rPr>
        <w:t xml:space="preserve">Sono diverse le </w:t>
      </w:r>
      <w:r w:rsidRPr="00321572">
        <w:rPr>
          <w:rFonts w:ascii="Calibri" w:eastAsia="Calibri" w:hAnsi="Calibri" w:cs="Times New Roman"/>
          <w:lang w:eastAsia="it-IT"/>
        </w:rPr>
        <w:t>debolezze di mercato che impatt</w:t>
      </w:r>
      <w:r w:rsidR="00C4614F">
        <w:rPr>
          <w:rFonts w:ascii="Calibri" w:eastAsia="Calibri" w:hAnsi="Calibri" w:cs="Times New Roman"/>
          <w:lang w:eastAsia="it-IT"/>
        </w:rPr>
        <w:t>ano</w:t>
      </w:r>
      <w:r w:rsidRPr="00321572">
        <w:rPr>
          <w:rFonts w:ascii="Calibri" w:eastAsia="Calibri" w:hAnsi="Calibri" w:cs="Times New Roman"/>
          <w:lang w:eastAsia="it-IT"/>
        </w:rPr>
        <w:t xml:space="preserve"> sulle potenzialità di sviluppo delle imprese e possono ostacolare l’accesso al credito. Tali determinanti sembrano valere per tutte le classi di età. </w:t>
      </w:r>
      <w:r w:rsidRPr="00321572">
        <w:rPr>
          <w:rFonts w:cstheme="minorHAnsi"/>
          <w:color w:val="000000" w:themeColor="text1"/>
        </w:rPr>
        <w:t>Pur rimandando al Policy Brief 2 relativo all’OS2 per maggiori dettagli e alla pubblicazione della RRN sull’ accesso al credito e agli strumenti finanziari per lo sviluppo rurale in Italia (2020)</w:t>
      </w:r>
      <w:r w:rsidRPr="00321572">
        <w:rPr>
          <w:rStyle w:val="Rimandonotaapidipagina"/>
          <w:rFonts w:cstheme="minorHAnsi"/>
          <w:color w:val="000000" w:themeColor="text1"/>
        </w:rPr>
        <w:footnoteReference w:id="11"/>
      </w:r>
      <w:r w:rsidRPr="00321572">
        <w:rPr>
          <w:rFonts w:cstheme="minorHAnsi"/>
          <w:color w:val="000000" w:themeColor="text1"/>
        </w:rPr>
        <w:t xml:space="preserve">, è comunque possibile sintetizzare alcune principali determinanti dietro le difficoltà di accesso al credito da parte delle imprese agricole e quindi anche di quelle gestite da giovani imprenditori. </w:t>
      </w:r>
    </w:p>
    <w:p w14:paraId="4E73B314" w14:textId="4763CCD5" w:rsidR="000561ED" w:rsidRDefault="00932997" w:rsidP="00E347BE">
      <w:pPr>
        <w:pStyle w:val="Paragrafoelenco"/>
        <w:keepNext/>
        <w:widowControl w:val="0"/>
        <w:numPr>
          <w:ilvl w:val="0"/>
          <w:numId w:val="42"/>
        </w:numPr>
        <w:spacing w:after="120" w:line="240" w:lineRule="auto"/>
        <w:ind w:left="709"/>
        <w:contextualSpacing w:val="0"/>
        <w:rPr>
          <w:rFonts w:ascii="Calibri" w:eastAsia="Calibri" w:hAnsi="Calibri" w:cs="Times New Roman"/>
          <w:lang w:eastAsia="it-IT"/>
        </w:rPr>
      </w:pPr>
      <w:r w:rsidRPr="00C4614F">
        <w:rPr>
          <w:rFonts w:cstheme="minorHAnsi"/>
          <w:color w:val="000000" w:themeColor="text1"/>
          <w:u w:val="single"/>
        </w:rPr>
        <w:t>N</w:t>
      </w:r>
      <w:r w:rsidRPr="00C4614F">
        <w:rPr>
          <w:rFonts w:ascii="Calibri" w:eastAsia="Calibri" w:hAnsi="Calibri" w:cs="Times New Roman"/>
          <w:bCs/>
          <w:u w:val="single"/>
          <w:lang w:eastAsia="it-IT"/>
        </w:rPr>
        <w:t>anismo strutturale-organizzativo e frammentazione della filiera</w:t>
      </w:r>
      <w:r w:rsidRPr="00321572">
        <w:rPr>
          <w:rFonts w:ascii="Calibri" w:eastAsia="Calibri" w:hAnsi="Calibri" w:cs="Times New Roman"/>
          <w:bCs/>
          <w:lang w:eastAsia="it-IT"/>
        </w:rPr>
        <w:t xml:space="preserve">: </w:t>
      </w:r>
      <w:r w:rsidR="00C4614F">
        <w:rPr>
          <w:rFonts w:ascii="Calibri" w:eastAsia="Calibri" w:hAnsi="Calibri" w:cs="Times New Roman"/>
          <w:lang w:eastAsia="it-IT"/>
        </w:rPr>
        <w:t>i</w:t>
      </w:r>
      <w:r w:rsidRPr="00321572">
        <w:rPr>
          <w:rFonts w:ascii="Calibri" w:eastAsia="Calibri" w:hAnsi="Calibri" w:cs="Times New Roman"/>
          <w:lang w:eastAsia="it-IT"/>
        </w:rPr>
        <w:t xml:space="preserve">l settore primario nazionale si caratterizza per un elevato grado di </w:t>
      </w:r>
      <w:r w:rsidRPr="00321572">
        <w:rPr>
          <w:rFonts w:ascii="Calibri" w:eastAsia="Calibri" w:hAnsi="Calibri" w:cs="Times New Roman"/>
          <w:bCs/>
          <w:lang w:eastAsia="it-IT"/>
        </w:rPr>
        <w:t>polverizzazione aziendale che, associato a una contenuta dimensione economica delle imprese agricole, attribuisce al settore il ruolo di anello debole dell’intera filiera agroalimentare</w:t>
      </w:r>
      <w:r w:rsidRPr="00321572">
        <w:rPr>
          <w:rFonts w:ascii="Calibri" w:eastAsia="Calibri" w:hAnsi="Calibri" w:cs="Times New Roman"/>
          <w:lang w:eastAsia="it-IT"/>
        </w:rPr>
        <w:t xml:space="preserve">. I produttori agricoli, infatti, manifestano uno </w:t>
      </w:r>
      <w:r w:rsidRPr="00321572">
        <w:rPr>
          <w:rFonts w:ascii="Calibri" w:eastAsia="Calibri" w:hAnsi="Calibri" w:cs="Times New Roman"/>
          <w:bCs/>
          <w:lang w:eastAsia="it-IT"/>
        </w:rPr>
        <w:t>scarso potere contrattuale</w:t>
      </w:r>
      <w:r w:rsidRPr="00321572">
        <w:rPr>
          <w:rFonts w:ascii="Calibri" w:eastAsia="Calibri" w:hAnsi="Calibri" w:cs="Times New Roman"/>
          <w:lang w:eastAsia="it-IT"/>
        </w:rPr>
        <w:t xml:space="preserve"> subendo in maggior misura l’incremento dei prezzi delle materie prime amplificate dalla </w:t>
      </w:r>
      <w:r w:rsidRPr="00321572">
        <w:rPr>
          <w:rFonts w:ascii="Calibri" w:eastAsia="Calibri" w:hAnsi="Calibri" w:cs="Times New Roman"/>
          <w:bCs/>
          <w:lang w:eastAsia="it-IT"/>
        </w:rPr>
        <w:t xml:space="preserve">carenza strutturale dell’intera filiera agroalimentare. Ciò ha sicuramente favorito </w:t>
      </w:r>
      <w:r w:rsidRPr="00321572">
        <w:rPr>
          <w:rFonts w:ascii="Calibri" w:eastAsia="Calibri" w:hAnsi="Calibri" w:cs="Times New Roman"/>
          <w:lang w:eastAsia="it-IT"/>
        </w:rPr>
        <w:t xml:space="preserve">una eccessiva </w:t>
      </w:r>
      <w:r w:rsidRPr="00321572">
        <w:rPr>
          <w:rFonts w:ascii="Calibri" w:eastAsia="Calibri" w:hAnsi="Calibri" w:cs="Times New Roman"/>
          <w:bCs/>
          <w:lang w:eastAsia="it-IT"/>
        </w:rPr>
        <w:t>concentrazione della fase distributiva e commerciale</w:t>
      </w:r>
      <w:r w:rsidRPr="00321572">
        <w:rPr>
          <w:rFonts w:ascii="Calibri" w:eastAsia="Calibri" w:hAnsi="Calibri" w:cs="Times New Roman"/>
          <w:lang w:eastAsia="it-IT"/>
        </w:rPr>
        <w:t xml:space="preserve">. </w:t>
      </w:r>
    </w:p>
    <w:p w14:paraId="7D3FE595" w14:textId="0F686931" w:rsidR="00932997" w:rsidRPr="000561ED" w:rsidRDefault="00932997" w:rsidP="00E347BE">
      <w:pPr>
        <w:pStyle w:val="Paragrafoelenco"/>
        <w:keepNext/>
        <w:widowControl w:val="0"/>
        <w:numPr>
          <w:ilvl w:val="0"/>
          <w:numId w:val="43"/>
        </w:numPr>
        <w:spacing w:after="120" w:line="240" w:lineRule="auto"/>
        <w:ind w:left="714" w:hanging="357"/>
        <w:contextualSpacing w:val="0"/>
        <w:rPr>
          <w:rFonts w:ascii="Calibri" w:eastAsia="Calibri" w:hAnsi="Calibri" w:cs="Times New Roman"/>
          <w:lang w:eastAsia="it-IT"/>
        </w:rPr>
      </w:pPr>
      <w:r w:rsidRPr="00C4614F">
        <w:rPr>
          <w:rFonts w:ascii="Calibri" w:eastAsia="Calibri" w:hAnsi="Calibri" w:cs="Times New Roman"/>
          <w:bCs/>
          <w:u w:val="single"/>
          <w:lang w:eastAsia="it-IT"/>
        </w:rPr>
        <w:t>Investimenti in ricerca e sviluppo</w:t>
      </w:r>
      <w:r w:rsidRPr="000561ED">
        <w:rPr>
          <w:rFonts w:ascii="Calibri" w:eastAsia="Calibri" w:hAnsi="Calibri" w:cs="Times New Roman"/>
          <w:bCs/>
          <w:lang w:eastAsia="it-IT"/>
        </w:rPr>
        <w:t xml:space="preserve">: </w:t>
      </w:r>
      <w:r w:rsidR="00C4614F">
        <w:rPr>
          <w:rFonts w:ascii="Calibri" w:eastAsia="Calibri" w:hAnsi="Calibri" w:cs="Times New Roman"/>
          <w:bCs/>
          <w:lang w:eastAsia="it-IT"/>
        </w:rPr>
        <w:t>i</w:t>
      </w:r>
      <w:r w:rsidRPr="000561ED">
        <w:rPr>
          <w:rFonts w:ascii="Calibri" w:eastAsia="Calibri" w:hAnsi="Calibri" w:cs="Times New Roman"/>
          <w:lang w:eastAsia="it-IT"/>
        </w:rPr>
        <w:t xml:space="preserve">l livello di frammentazione e polverizzazione aziendale che caratterizza il settore rappresenta senza dubbio un freno agli investimenti innovativi e più in generale alla diffusione delle innovazioni. Al contempo bisogna considerare la </w:t>
      </w:r>
      <w:r w:rsidRPr="000561ED">
        <w:rPr>
          <w:rFonts w:ascii="Calibri" w:eastAsia="Calibri" w:hAnsi="Calibri" w:cs="Times New Roman"/>
          <w:bCs/>
          <w:lang w:eastAsia="it-IT"/>
        </w:rPr>
        <w:t>debolezza rappresentata dall’età avanzata dei conduttori aziendali</w:t>
      </w:r>
      <w:r w:rsidRPr="000561ED">
        <w:rPr>
          <w:rFonts w:ascii="Calibri" w:eastAsia="Calibri" w:hAnsi="Calibri" w:cs="Times New Roman"/>
          <w:lang w:eastAsia="it-IT"/>
        </w:rPr>
        <w:t xml:space="preserve">: se si considera, infatti, la maggiore propensione dei giovani ad innovare e si utilizza l’età media dei conduttori quali proxy del grado di accettazione dell’innovazione, si comprende come il consistente livello di senilizzazione delle imprese agricole italiane rappresenti un vincolo alla creazione e alla diffusione delle innovazioni. A tali elementi si associa una ulteriore criticità rappresentata dalle </w:t>
      </w:r>
      <w:r w:rsidRPr="000561ED">
        <w:rPr>
          <w:rFonts w:ascii="Calibri" w:eastAsia="Calibri" w:hAnsi="Calibri" w:cs="Times New Roman"/>
          <w:bCs/>
          <w:lang w:eastAsia="it-IT"/>
        </w:rPr>
        <w:t>caratteristiche intrinseche degli investimenti in ricerca e sviluppo (alto rischio e alta incidenza di capitale), difficilmente sostenibili da una singola impresa, in modo particolare nel settore agricolo</w:t>
      </w:r>
      <w:r w:rsidRPr="000561ED">
        <w:rPr>
          <w:rFonts w:ascii="Calibri" w:eastAsia="Calibri" w:hAnsi="Calibri" w:cs="Times New Roman"/>
          <w:lang w:eastAsia="it-IT"/>
        </w:rPr>
        <w:t xml:space="preserve">. Ulteriori limiti sono riconducibili alla </w:t>
      </w:r>
      <w:r w:rsidRPr="000561ED">
        <w:rPr>
          <w:rFonts w:ascii="Calibri" w:eastAsia="Calibri" w:hAnsi="Calibri" w:cs="Times New Roman"/>
          <w:bCs/>
          <w:lang w:eastAsia="it-IT"/>
        </w:rPr>
        <w:t>distanza tra il mondo della ricerca e quello produttivo</w:t>
      </w:r>
      <w:r w:rsidRPr="000561ED">
        <w:rPr>
          <w:rFonts w:ascii="Calibri" w:eastAsia="Calibri" w:hAnsi="Calibri" w:cs="Times New Roman"/>
          <w:lang w:eastAsia="it-IT"/>
        </w:rPr>
        <w:t>, sia in termini di integrazione e collaborazione, sia di definizione di ricerche in grado di rispondere ai fabbisogni delle specifiche realtà produttive e territoriali.</w:t>
      </w:r>
    </w:p>
    <w:p w14:paraId="17577885" w14:textId="77777777" w:rsidR="00932997" w:rsidRPr="00321572" w:rsidRDefault="00932997" w:rsidP="00E347BE">
      <w:pPr>
        <w:pStyle w:val="Paragrafoelenco"/>
        <w:keepNext/>
        <w:widowControl w:val="0"/>
        <w:numPr>
          <w:ilvl w:val="0"/>
          <w:numId w:val="43"/>
        </w:numPr>
        <w:spacing w:after="120" w:line="240" w:lineRule="auto"/>
        <w:ind w:left="714" w:hanging="357"/>
        <w:contextualSpacing w:val="0"/>
        <w:rPr>
          <w:rFonts w:ascii="Calibri" w:eastAsia="Calibri" w:hAnsi="Calibri" w:cs="Times New Roman"/>
          <w:lang w:eastAsia="it-IT"/>
        </w:rPr>
      </w:pPr>
      <w:r w:rsidRPr="002645ED">
        <w:rPr>
          <w:rFonts w:ascii="Calibri" w:eastAsia="Calibri" w:hAnsi="Calibri" w:cs="Times New Roman"/>
          <w:bCs/>
          <w:u w:val="single"/>
          <w:lang w:eastAsia="it-IT"/>
        </w:rPr>
        <w:t>Forza lavoro qualificata</w:t>
      </w:r>
      <w:r w:rsidRPr="00321572">
        <w:rPr>
          <w:rFonts w:ascii="Calibri" w:eastAsia="Calibri" w:hAnsi="Calibri" w:cs="Times New Roman"/>
          <w:bCs/>
          <w:lang w:eastAsia="it-IT"/>
        </w:rPr>
        <w:t xml:space="preserve">: </w:t>
      </w:r>
      <w:r w:rsidRPr="00321572">
        <w:rPr>
          <w:rFonts w:ascii="Calibri" w:eastAsia="Calibri" w:hAnsi="Calibri" w:cs="Times New Roman"/>
          <w:lang w:eastAsia="it-IT"/>
        </w:rPr>
        <w:t xml:space="preserve">Senilizzazione e basso grado di istruzione sono ulteriori fattori limitanti che caratterizzano il settore agricolo nazionale, cui si associa una scarsa presenza di soggetti specializzati (diplomati e laureati) ad indirizzo agrario. </w:t>
      </w:r>
    </w:p>
    <w:p w14:paraId="11B755AB" w14:textId="77777777" w:rsidR="00932997" w:rsidRPr="00321572" w:rsidRDefault="00932997" w:rsidP="00E347BE">
      <w:pPr>
        <w:pStyle w:val="Paragrafoelenco"/>
        <w:keepNext/>
        <w:widowControl w:val="0"/>
        <w:numPr>
          <w:ilvl w:val="0"/>
          <w:numId w:val="43"/>
        </w:numPr>
        <w:spacing w:after="120" w:line="240" w:lineRule="auto"/>
        <w:ind w:left="714" w:hanging="357"/>
        <w:contextualSpacing w:val="0"/>
        <w:rPr>
          <w:rFonts w:ascii="Calibri" w:eastAsia="Calibri" w:hAnsi="Calibri" w:cs="Times New Roman"/>
          <w:lang w:eastAsia="it-IT"/>
        </w:rPr>
      </w:pPr>
      <w:r w:rsidRPr="002645ED">
        <w:rPr>
          <w:rFonts w:ascii="Calibri" w:eastAsia="Calibri" w:hAnsi="Calibri" w:cs="Times New Roman"/>
          <w:bCs/>
          <w:u w:val="single"/>
          <w:lang w:eastAsia="it-IT"/>
        </w:rPr>
        <w:t>Rischi specifici dell’attivit</w:t>
      </w:r>
      <w:r w:rsidRPr="002645ED">
        <w:rPr>
          <w:rFonts w:ascii="Calibri" w:eastAsia="Calibri" w:hAnsi="Calibri" w:cs="Times New Roman" w:hint="eastAsia"/>
          <w:bCs/>
          <w:u w:val="single"/>
          <w:lang w:eastAsia="it-IT"/>
        </w:rPr>
        <w:t>à</w:t>
      </w:r>
      <w:r w:rsidRPr="002645ED">
        <w:rPr>
          <w:rFonts w:ascii="Calibri" w:eastAsia="Calibri" w:hAnsi="Calibri" w:cs="Times New Roman"/>
          <w:bCs/>
          <w:u w:val="single"/>
          <w:lang w:eastAsia="it-IT"/>
        </w:rPr>
        <w:t xml:space="preserve"> agricola</w:t>
      </w:r>
      <w:r w:rsidRPr="00321572">
        <w:rPr>
          <w:rFonts w:ascii="Calibri" w:eastAsia="Calibri" w:hAnsi="Calibri" w:cs="Times New Roman"/>
          <w:bCs/>
          <w:lang w:eastAsia="it-IT"/>
        </w:rPr>
        <w:t>:</w:t>
      </w:r>
      <w:r w:rsidRPr="00321572">
        <w:rPr>
          <w:rFonts w:ascii="Calibri" w:eastAsia="Calibri" w:hAnsi="Calibri" w:cs="Times New Roman"/>
          <w:lang w:eastAsia="it-IT"/>
        </w:rPr>
        <w:t xml:space="preserve"> Agli elementi di tipo strutturale, si affianca il rischio tipico dell’attivit</w:t>
      </w:r>
      <w:r w:rsidRPr="00321572">
        <w:rPr>
          <w:rFonts w:ascii="Calibri" w:eastAsia="Calibri" w:hAnsi="Calibri" w:cs="Times New Roman" w:hint="eastAsia"/>
          <w:lang w:eastAsia="it-IT"/>
        </w:rPr>
        <w:t>à</w:t>
      </w:r>
      <w:r w:rsidRPr="00321572">
        <w:rPr>
          <w:rFonts w:ascii="Calibri" w:eastAsia="Calibri" w:hAnsi="Calibri" w:cs="Times New Roman"/>
          <w:lang w:eastAsia="it-IT"/>
        </w:rPr>
        <w:t xml:space="preserve"> agricola connesso all’andamento delle condizioni climatiche e al verificarsi di eventi a carattere catastrofale, che sempre con maggiore frequenza inficiano il risultato produttivo. </w:t>
      </w:r>
      <w:r w:rsidRPr="00321572">
        <w:rPr>
          <w:rFonts w:ascii="Calibri" w:eastAsia="Calibri" w:hAnsi="Calibri" w:cs="Times New Roman"/>
          <w:bCs/>
          <w:lang w:eastAsia="it-IT"/>
        </w:rPr>
        <w:t>La scarsa cultura e diffusione degli strumenti di risk-management nelle imprese agricole non agevola il contenimento delle perdite economiche e la salvaguardia dell’attivit</w:t>
      </w:r>
      <w:r w:rsidRPr="00321572">
        <w:rPr>
          <w:rFonts w:ascii="Calibri" w:eastAsia="Calibri" w:hAnsi="Calibri" w:cs="Times New Roman" w:hint="eastAsia"/>
          <w:bCs/>
          <w:lang w:eastAsia="it-IT"/>
        </w:rPr>
        <w:t>à</w:t>
      </w:r>
      <w:r w:rsidRPr="00321572">
        <w:rPr>
          <w:rFonts w:ascii="Calibri" w:eastAsia="Calibri" w:hAnsi="Calibri" w:cs="Times New Roman"/>
          <w:bCs/>
          <w:lang w:eastAsia="it-IT"/>
        </w:rPr>
        <w:t xml:space="preserve"> di impresa stessa</w:t>
      </w:r>
      <w:r w:rsidRPr="00321572">
        <w:rPr>
          <w:rFonts w:ascii="Calibri" w:eastAsia="Calibri" w:hAnsi="Calibri" w:cs="Times New Roman"/>
          <w:lang w:eastAsia="it-IT"/>
        </w:rPr>
        <w:t xml:space="preserve">. </w:t>
      </w:r>
    </w:p>
    <w:p w14:paraId="5822AB96" w14:textId="662B7DAF" w:rsidR="00932997" w:rsidRPr="002645ED" w:rsidRDefault="00932997" w:rsidP="00E347BE">
      <w:pPr>
        <w:pStyle w:val="Paragrafoelenco"/>
        <w:keepNext/>
        <w:widowControl w:val="0"/>
        <w:numPr>
          <w:ilvl w:val="0"/>
          <w:numId w:val="43"/>
        </w:numPr>
        <w:spacing w:after="120" w:line="240" w:lineRule="auto"/>
        <w:ind w:left="714" w:hanging="357"/>
        <w:contextualSpacing w:val="0"/>
        <w:rPr>
          <w:rFonts w:ascii="Calibri" w:eastAsia="Calibri" w:hAnsi="Calibri" w:cs="Times New Roman"/>
          <w:bCs/>
          <w:lang w:eastAsia="it-IT"/>
        </w:rPr>
      </w:pPr>
      <w:r w:rsidRPr="002645ED">
        <w:rPr>
          <w:rFonts w:ascii="Calibri" w:eastAsia="Calibri" w:hAnsi="Calibri" w:cs="Times New Roman"/>
          <w:bCs/>
          <w:u w:val="single"/>
          <w:lang w:eastAsia="it-IT"/>
        </w:rPr>
        <w:t>Accesso al capitale di rischio</w:t>
      </w:r>
      <w:r w:rsidRPr="00321572">
        <w:rPr>
          <w:rFonts w:ascii="Calibri" w:eastAsia="Calibri" w:hAnsi="Calibri" w:cs="Times New Roman"/>
          <w:bCs/>
          <w:lang w:eastAsia="it-IT"/>
        </w:rPr>
        <w:t>: La legislazione nazionale</w:t>
      </w:r>
      <w:r w:rsidRPr="00321572">
        <w:rPr>
          <w:rFonts w:ascii="Calibri" w:eastAsia="Calibri" w:hAnsi="Calibri" w:cs="Times New Roman"/>
          <w:lang w:eastAsia="it-IT"/>
        </w:rPr>
        <w:t>,</w:t>
      </w:r>
      <w:r w:rsidRPr="00321572">
        <w:rPr>
          <w:rFonts w:ascii="Calibri" w:eastAsia="Calibri" w:hAnsi="Calibri" w:cs="Times New Roman"/>
          <w:bCs/>
          <w:lang w:eastAsia="it-IT"/>
        </w:rPr>
        <w:t xml:space="preserve"> </w:t>
      </w:r>
      <w:r w:rsidRPr="00321572">
        <w:rPr>
          <w:rFonts w:ascii="Calibri" w:eastAsia="Calibri" w:hAnsi="Calibri" w:cs="Times New Roman"/>
          <w:lang w:eastAsia="it-IT"/>
        </w:rPr>
        <w:t xml:space="preserve">considerata la netta preponderanza di micro e piccole imprese, </w:t>
      </w:r>
      <w:r w:rsidRPr="00321572">
        <w:rPr>
          <w:rFonts w:ascii="Calibri" w:eastAsia="Calibri" w:hAnsi="Calibri" w:cs="Times New Roman"/>
          <w:bCs/>
          <w:lang w:eastAsia="it-IT"/>
        </w:rPr>
        <w:t>non impone vincoli particolarmente stringenti per la tenuta delle scritture contabili delle imprese agricole</w:t>
      </w:r>
      <w:r w:rsidRPr="00321572">
        <w:rPr>
          <w:rFonts w:ascii="Calibri" w:eastAsia="Calibri" w:hAnsi="Calibri" w:cs="Times New Roman"/>
          <w:lang w:eastAsia="it-IT"/>
        </w:rPr>
        <w:t>. Si stima, infatti, che circa il 95%</w:t>
      </w:r>
      <w:r w:rsidRPr="00321572">
        <w:rPr>
          <w:rStyle w:val="Rimandonotaapidipagina"/>
          <w:rFonts w:ascii="Calibri" w:eastAsia="Calibri" w:hAnsi="Calibri" w:cs="Times New Roman"/>
          <w:lang w:eastAsia="it-IT"/>
        </w:rPr>
        <w:footnoteReference w:id="12"/>
      </w:r>
      <w:r w:rsidRPr="00321572">
        <w:rPr>
          <w:rFonts w:ascii="Calibri" w:eastAsia="Calibri" w:hAnsi="Calibri" w:cs="Times New Roman"/>
          <w:lang w:eastAsia="it-IT"/>
        </w:rPr>
        <w:t xml:space="preserve"> delle imprese attive non dispone di una documentazione formale che ne attesti le capacità reddituali e la situazione finanziaria. Ciò rende strutturalmente più difficile l’accesso al credito delle imprese del settore, </w:t>
      </w:r>
      <w:r w:rsidRPr="00321572">
        <w:rPr>
          <w:rFonts w:ascii="Calibri" w:eastAsia="Calibri" w:hAnsi="Calibri" w:cs="Times New Roman"/>
          <w:bCs/>
          <w:lang w:eastAsia="it-IT"/>
        </w:rPr>
        <w:t xml:space="preserve">in quando viene meno per i finanziatori la possibilità di effettuare analisi di redditività e di solidità </w:t>
      </w:r>
      <w:r w:rsidRPr="00321572">
        <w:rPr>
          <w:rFonts w:ascii="Calibri" w:eastAsia="Calibri" w:hAnsi="Calibri" w:cs="Times New Roman"/>
          <w:lang w:eastAsia="it-IT"/>
        </w:rPr>
        <w:t>su cui poggiano le valutazioni del merito creditizio. A tale circostanza deve aggiungersi</w:t>
      </w:r>
      <w:r w:rsidRPr="00321572">
        <w:rPr>
          <w:rFonts w:ascii="Calibri" w:eastAsia="Calibri" w:hAnsi="Calibri" w:cs="Times New Roman"/>
          <w:bCs/>
          <w:lang w:eastAsia="it-IT"/>
        </w:rPr>
        <w:t xml:space="preserve"> l’abolizione</w:t>
      </w:r>
      <w:r w:rsidRPr="00321572">
        <w:rPr>
          <w:rStyle w:val="Rimandonotaapidipagina"/>
          <w:rFonts w:ascii="Calibri" w:eastAsia="Calibri" w:hAnsi="Calibri"/>
          <w:bCs/>
        </w:rPr>
        <w:footnoteReference w:id="13"/>
      </w:r>
      <w:r w:rsidRPr="00321572">
        <w:rPr>
          <w:rFonts w:ascii="Calibri" w:eastAsia="Calibri" w:hAnsi="Calibri" w:cs="Times New Roman"/>
          <w:bCs/>
          <w:lang w:eastAsia="it-IT"/>
        </w:rPr>
        <w:t xml:space="preserve"> de facto del credito agrario</w:t>
      </w:r>
      <w:r w:rsidRPr="00321572">
        <w:rPr>
          <w:rFonts w:ascii="Calibri" w:eastAsia="Calibri" w:hAnsi="Calibri" w:cs="Times New Roman"/>
          <w:lang w:eastAsia="it-IT"/>
        </w:rPr>
        <w:t xml:space="preserve">. </w:t>
      </w:r>
      <w:r w:rsidRPr="00321572">
        <w:rPr>
          <w:rFonts w:ascii="Calibri" w:eastAsia="Calibri" w:hAnsi="Calibri" w:cs="Times New Roman"/>
          <w:lang w:eastAsia="it-IT"/>
        </w:rPr>
        <w:lastRenderedPageBreak/>
        <w:t>Fino al 1993, l’accesso al credito delle imprese agricole è stato favorito dalla legislazione bancaria che prevedeva all’interno delle banche delle sezioni speciali per il credito agrario. L’adozione del Testo Unico Bancario del 1994 e il passaggio al modello di “banca universale”, oltre all’abrogazione della legge istitutiva del credito agrario (legge 1760/28), ha progressivamente ridotto tale canale di finanziamento per il settore agricolo.</w:t>
      </w:r>
      <w:r w:rsidRPr="00321572">
        <w:t xml:space="preserve"> In altri termini, a partire dagli anni Novanta </w:t>
      </w:r>
      <w:r w:rsidRPr="00321572">
        <w:rPr>
          <w:rFonts w:ascii="Calibri" w:eastAsia="Calibri" w:hAnsi="Calibri" w:cs="Times New Roman"/>
          <w:lang w:eastAsia="it-IT"/>
        </w:rPr>
        <w:t xml:space="preserve">la condizione di imprenditore agricolo </w:t>
      </w:r>
      <w:r w:rsidRPr="00321572">
        <w:rPr>
          <w:rFonts w:ascii="Calibri" w:eastAsia="Calibri" w:hAnsi="Calibri" w:cs="Times New Roman"/>
          <w:bCs/>
          <w:lang w:eastAsia="it-IT"/>
        </w:rPr>
        <w:t>ha cessato di fruire del regime speciale che aveva consentito di rendere scarsamente rilevante il ruolo delle garanzie</w:t>
      </w:r>
      <w:r w:rsidRPr="00321572">
        <w:rPr>
          <w:rFonts w:ascii="Calibri" w:eastAsia="Calibri" w:hAnsi="Calibri" w:cs="Times New Roman"/>
          <w:lang w:eastAsia="it-IT"/>
        </w:rPr>
        <w:t xml:space="preserve"> nei rapporti con il sistema creditizio</w:t>
      </w:r>
      <w:r w:rsidRPr="00321572">
        <w:rPr>
          <w:rStyle w:val="Rimandonotaapidipagina"/>
          <w:rFonts w:ascii="Calibri" w:eastAsia="Calibri" w:hAnsi="Calibri" w:cs="Times New Roman"/>
          <w:lang w:eastAsia="it-IT"/>
        </w:rPr>
        <w:footnoteReference w:id="14"/>
      </w:r>
      <w:r w:rsidRPr="00321572">
        <w:rPr>
          <w:rFonts w:ascii="Calibri" w:eastAsia="Calibri" w:hAnsi="Calibri" w:cs="Times New Roman"/>
          <w:lang w:eastAsia="it-IT"/>
        </w:rPr>
        <w:t>. In aggiunta, i vincoli comunitari in materia di aiuti di Stato associati alla restrizione delle politiche di bilancio nazionali (ISMEA, 2018),</w:t>
      </w:r>
      <w:r w:rsidRPr="00321572">
        <w:rPr>
          <w:rFonts w:ascii="Calibri" w:eastAsia="Calibri" w:hAnsi="Calibri" w:cs="Times New Roman"/>
          <w:bCs/>
          <w:lang w:eastAsia="it-IT"/>
        </w:rPr>
        <w:t xml:space="preserve"> hanno progressivamente ridotto il credito agevolato costringendo l’impresa agricola ad attingere ai normali canali del credito bancario</w:t>
      </w:r>
      <w:r w:rsidRPr="00321572">
        <w:rPr>
          <w:rFonts w:ascii="Calibri" w:eastAsia="Calibri" w:hAnsi="Calibri" w:cs="Times New Roman"/>
          <w:lang w:eastAsia="it-IT"/>
        </w:rPr>
        <w:t>, più oneroso e soggetto a criteri di valutazione più severi e standardizzati.</w:t>
      </w:r>
    </w:p>
    <w:p w14:paraId="451D7FFE" w14:textId="77777777" w:rsidR="00932997" w:rsidRPr="00321572" w:rsidRDefault="00932997" w:rsidP="00E347BE">
      <w:pPr>
        <w:pStyle w:val="Paragrafoelenco"/>
        <w:keepNext/>
        <w:widowControl w:val="0"/>
        <w:numPr>
          <w:ilvl w:val="0"/>
          <w:numId w:val="19"/>
        </w:numPr>
        <w:spacing w:after="120" w:line="240" w:lineRule="auto"/>
        <w:ind w:hanging="357"/>
        <w:contextualSpacing w:val="0"/>
        <w:rPr>
          <w:rFonts w:cstheme="minorHAnsi"/>
          <w:color w:val="000000" w:themeColor="text1"/>
        </w:rPr>
      </w:pPr>
      <w:r w:rsidRPr="00321572">
        <w:rPr>
          <w:rFonts w:ascii="Calibri" w:eastAsia="Calibri" w:hAnsi="Calibri" w:cs="Times New Roman"/>
          <w:lang w:eastAsia="it-IT"/>
        </w:rPr>
        <w:t>Venendo ora all’andamento degli impieghi bancari per il settore agricoltura,</w:t>
      </w:r>
      <w:r w:rsidRPr="00321572">
        <w:rPr>
          <w:rFonts w:cstheme="minorHAnsi"/>
          <w:color w:val="000000" w:themeColor="text1"/>
        </w:rPr>
        <w:t xml:space="preserve"> come emerso nel Policy brief relativo all’OS 2, l’analisi degli investimenti e del credito al settore agricolo evidenzia che nel periodo </w:t>
      </w:r>
      <w:proofErr w:type="gramStart"/>
      <w:r w:rsidRPr="00321572">
        <w:rPr>
          <w:rFonts w:cstheme="minorHAnsi"/>
          <w:color w:val="000000" w:themeColor="text1"/>
        </w:rPr>
        <w:t>pre-crisi</w:t>
      </w:r>
      <w:proofErr w:type="gramEnd"/>
      <w:r w:rsidRPr="00321572">
        <w:rPr>
          <w:rFonts w:cstheme="minorHAnsi"/>
          <w:color w:val="000000" w:themeColor="text1"/>
        </w:rPr>
        <w:t xml:space="preserve"> il settore ha vissuto una fase di sovra-capitalizzazione, con un rilevante peso degli ammortamenti. Una situazione difficilmente sostenibile nel contesto economico recessivo che ha probabilmente contribuito a limitare la propensione a effettuare nuovi investimenti, orientando la richiesta di credito verso fabbisogni di liquidità operativa piuttosto che ai prestiti di medio-lungo termine. </w:t>
      </w:r>
    </w:p>
    <w:p w14:paraId="17C41FB3" w14:textId="77777777" w:rsidR="00932997" w:rsidRPr="00321572" w:rsidRDefault="00932997" w:rsidP="00E347BE">
      <w:pPr>
        <w:pStyle w:val="Paragrafoelenco"/>
        <w:keepNext/>
        <w:widowControl w:val="0"/>
        <w:numPr>
          <w:ilvl w:val="0"/>
          <w:numId w:val="19"/>
        </w:numPr>
        <w:spacing w:after="120" w:line="240" w:lineRule="auto"/>
        <w:ind w:hanging="357"/>
        <w:contextualSpacing w:val="0"/>
      </w:pPr>
      <w:r w:rsidRPr="00321572">
        <w:rPr>
          <w:rFonts w:cstheme="minorHAnsi"/>
          <w:color w:val="000000" w:themeColor="text1"/>
        </w:rPr>
        <w:t xml:space="preserve">In effetti, </w:t>
      </w:r>
      <w:r w:rsidRPr="00321572">
        <w:t>l’ammontare di prestiti complessivi al settore è aumentato rapidamente fino al 2011, successivamente è rimasto costante fino al 2015, per poi ridursi negli ultimi tre anni (-7%), arrivando a un valore di 41,2 miliardi di euro. Probabilmente l’iniziale crescita e il successivo mantenimento del livello fino al 2015 è stato determinato da richieste per il fabbisogno di liquidità, visto che nel frattempo il credito finalizzato a investimenti è notevolmente diminuito. Lo stock di prestiti al settore agricolo oltre il breve termine, infatti, tra il 2007 e il 2018 ha perso quasi il 30%, arrivando a 11,5 miliardi di euro.</w:t>
      </w:r>
    </w:p>
    <w:p w14:paraId="6A4AD687" w14:textId="155CD68F" w:rsidR="00932997" w:rsidRPr="002645ED" w:rsidRDefault="00932997" w:rsidP="00E347BE">
      <w:pPr>
        <w:pStyle w:val="Paragrafoelenco"/>
        <w:numPr>
          <w:ilvl w:val="0"/>
          <w:numId w:val="19"/>
        </w:numPr>
        <w:spacing w:after="120" w:line="240" w:lineRule="auto"/>
        <w:contextualSpacing w:val="0"/>
        <w:rPr>
          <w:rFonts w:ascii="Calibri" w:eastAsia="Times New Roman" w:hAnsi="Calibri" w:cs="Calibri"/>
        </w:rPr>
      </w:pPr>
      <w:r w:rsidRPr="00321572">
        <w:rPr>
          <w:rFonts w:ascii="Calibri" w:eastAsia="Times New Roman" w:hAnsi="Calibri" w:cs="Calibri"/>
        </w:rPr>
        <w:t xml:space="preserve">Dalla lettura dell’analisi di contesto dei 21 Programmi italiani emergono per il settore agro-forestale una serie di debolezze strutturali (piccola dimensione aziendale, frammentazione e inefficienza della filiera, elevata senilizzazione della forza lavoro, limitato accesso all’innovazione, ecc.) che, insieme ai problemi di accesso al credito, impattano sullo sviluppo delle imprese limitando gli investimenti in R&amp;S e innovazione, attività che necessitano non solo di capacità imprenditoriali e competenze gestionali, ma anche di idonee risorse finanziarie. Più in particolare, </w:t>
      </w:r>
      <w:r w:rsidRPr="00321572">
        <w:rPr>
          <w:rFonts w:ascii="Calibri" w:eastAsia="Times New Roman" w:hAnsi="Calibri" w:cs="Calibri"/>
          <w:bCs/>
        </w:rPr>
        <w:t>la difficoltà di accesso al credito risulta un punto di debolezza ricorrente</w:t>
      </w:r>
      <w:r w:rsidRPr="00321572">
        <w:rPr>
          <w:rFonts w:ascii="Calibri" w:eastAsia="Times New Roman" w:hAnsi="Calibri" w:cs="Calibri"/>
        </w:rPr>
        <w:t xml:space="preserve"> che ha determinato l’individuazione di specifici fabbisogni da soddisfare per migliorare il livello di efficacia degli investimenti supportati dai PSR. </w:t>
      </w:r>
    </w:p>
    <w:p w14:paraId="5414D774" w14:textId="77777777" w:rsidR="00932997" w:rsidRPr="00321572" w:rsidRDefault="00932997" w:rsidP="00E347BE">
      <w:pPr>
        <w:pStyle w:val="Paragrafoelenco"/>
        <w:numPr>
          <w:ilvl w:val="0"/>
          <w:numId w:val="35"/>
        </w:numPr>
        <w:spacing w:after="120" w:line="240" w:lineRule="auto"/>
        <w:contextualSpacing w:val="0"/>
      </w:pPr>
      <w:r w:rsidRPr="00321572">
        <w:t>I risultati di una recente indagine qualitativa sull’accesso al credito delle imprese agricole (ISMEA, 2019</w:t>
      </w:r>
      <w:r w:rsidRPr="00321572">
        <w:rPr>
          <w:rStyle w:val="Rimandonotaapidipagina"/>
        </w:rPr>
        <w:footnoteReference w:id="15"/>
      </w:r>
      <w:r w:rsidRPr="00321572">
        <w:t xml:space="preserve">), confermano il </w:t>
      </w:r>
      <w:r w:rsidRPr="00321572">
        <w:rPr>
          <w:bCs/>
        </w:rPr>
        <w:t>basso ricorso al finanziamento bancario da parte delle imprese agricole</w:t>
      </w:r>
      <w:r w:rsidRPr="00321572">
        <w:t xml:space="preserve">. Soltanto il </w:t>
      </w:r>
      <w:r w:rsidRPr="00321572">
        <w:rPr>
          <w:bCs/>
        </w:rPr>
        <w:t>20,2% degli operatori intervistati</w:t>
      </w:r>
      <w:r w:rsidRPr="00321572">
        <w:rPr>
          <w:rStyle w:val="Rimandonotaapidipagina"/>
          <w:bCs/>
        </w:rPr>
        <w:footnoteReference w:id="16"/>
      </w:r>
      <w:r w:rsidRPr="00321572">
        <w:t xml:space="preserve">, infatti, </w:t>
      </w:r>
      <w:r w:rsidRPr="00321572">
        <w:rPr>
          <w:bCs/>
        </w:rPr>
        <w:t>si è recata presso uno sportello bancario per chiedere un finanziamento nel corso dell’anno</w:t>
      </w:r>
      <w:r w:rsidRPr="00321572">
        <w:t xml:space="preserve">. L’indagine pone in evidenza il </w:t>
      </w:r>
      <w:r w:rsidRPr="00321572">
        <w:rPr>
          <w:bCs/>
        </w:rPr>
        <w:t>minore ricorso al credito da parte delle aziende agricole del Mezzogiorno (16,5%</w:t>
      </w:r>
      <w:r w:rsidRPr="00321572">
        <w:t xml:space="preserve"> la quota di quelle che si sono recate in banca, </w:t>
      </w:r>
      <w:r w:rsidRPr="00321572">
        <w:rPr>
          <w:bCs/>
        </w:rPr>
        <w:t>contro il 22,1% del Nord e al 23,1% del Centro</w:t>
      </w:r>
      <w:r w:rsidRPr="00321572">
        <w:t xml:space="preserve">). </w:t>
      </w:r>
      <w:r w:rsidRPr="00321572">
        <w:rPr>
          <w:bCs/>
        </w:rPr>
        <w:t>Vitivinicoltura, frutticoltura e zootecnia sono i settori in cui si è registrato il maggiore ricorso ai finanziamenti</w:t>
      </w:r>
      <w:r w:rsidRPr="00321572">
        <w:t xml:space="preserve">, viceversa quello dei seminativi e l’olivicoltura sono quelli che si sono dimostrati meno familiari con il sistema creditizio. </w:t>
      </w:r>
      <w:r w:rsidRPr="00321572">
        <w:rPr>
          <w:bCs/>
        </w:rPr>
        <w:t xml:space="preserve">In </w:t>
      </w:r>
      <w:r w:rsidRPr="00321572">
        <w:rPr>
          <w:bCs/>
        </w:rPr>
        <w:lastRenderedPageBreak/>
        <w:t>percentuale sono state maggiormente le aziende condotte da giovani agricoltori a recarsi in banca (25%)</w:t>
      </w:r>
      <w:r w:rsidRPr="00321572">
        <w:t>, rispetto a quelle degli over (19,3%).</w:t>
      </w:r>
    </w:p>
    <w:p w14:paraId="414435A6" w14:textId="1AEB728D" w:rsidR="00932997" w:rsidRPr="00C62ED2" w:rsidRDefault="00932997" w:rsidP="00C62ED2">
      <w:pPr>
        <w:pStyle w:val="Paragrafoelenco"/>
        <w:spacing w:after="120" w:line="240" w:lineRule="auto"/>
        <w:contextualSpacing w:val="0"/>
      </w:pPr>
      <w:r w:rsidRPr="00321572">
        <w:t xml:space="preserve">Quasi la metà delle imprese </w:t>
      </w:r>
      <w:r w:rsidRPr="00321572">
        <w:rPr>
          <w:bCs/>
        </w:rPr>
        <w:t>ha chiesto un finanziamento per investimenti di medio lungo-periodo (49%)</w:t>
      </w:r>
      <w:r w:rsidRPr="00321572">
        <w:t xml:space="preserve">, anche se una quota del </w:t>
      </w:r>
      <w:r w:rsidRPr="00321572">
        <w:rPr>
          <w:bCs/>
        </w:rPr>
        <w:t>42% lo ha richiesto per finanziare l’attività ordinaria d’impresa</w:t>
      </w:r>
      <w:r w:rsidRPr="00321572">
        <w:t xml:space="preserve"> (il 3% per conseguire obiettivi di crescita sul mercato nazionale e il 2% per finanziare attività innovative). In generale, </w:t>
      </w:r>
      <w:r w:rsidRPr="00321572">
        <w:rPr>
          <w:bCs/>
        </w:rPr>
        <w:t>la quasi totalità dei richiedenti ha anche ottenuto il finanziamento richiesto (17,6% degli intervistati)</w:t>
      </w:r>
      <w:r w:rsidRPr="00321572">
        <w:t xml:space="preserve">, una quota contenuta (0,7%) invece lo ha rifiutato a causa delle condizioni troppo onerose imposte dalla banca, al restante 2%, invece, è stato negato esplicitamente da parte del soggetto finanziatore. Tra i motivi della rinuncia da parte dell’impresa o del rifiuto da parte della banca, gli intervistati hanno indicato principalmente la </w:t>
      </w:r>
      <w:r w:rsidRPr="00321572">
        <w:rPr>
          <w:bCs/>
        </w:rPr>
        <w:t>valutazione di garanzia insufficienti (50%)</w:t>
      </w:r>
      <w:r w:rsidRPr="00321572">
        <w:t>, in secondo luogo tassi onerosi (19%), in terzo luogo un business plan o la documentazione contabile ritenuta insoddisfacente (12%).</w:t>
      </w:r>
    </w:p>
    <w:p w14:paraId="70CB0661" w14:textId="77777777" w:rsidR="00932997" w:rsidRPr="00321572" w:rsidRDefault="00932997" w:rsidP="00E347BE">
      <w:pPr>
        <w:pStyle w:val="Paragrafoelenco"/>
        <w:numPr>
          <w:ilvl w:val="0"/>
          <w:numId w:val="19"/>
        </w:numPr>
        <w:spacing w:after="120" w:line="240" w:lineRule="auto"/>
        <w:ind w:hanging="357"/>
        <w:contextualSpacing w:val="0"/>
      </w:pPr>
      <w:r w:rsidRPr="00321572">
        <w:t>Per gli under 40, l’accesso al credito risulta essere il problema principale per il 57% dei giovani agricoltori in Italia rispetto al 33% dei giovani agricoltori nell’UE-28</w:t>
      </w:r>
      <w:r w:rsidRPr="00321572">
        <w:rPr>
          <w:rStyle w:val="Rimandonotaapidipagina"/>
        </w:rPr>
        <w:footnoteReference w:id="17"/>
      </w:r>
      <w:r w:rsidRPr="00321572">
        <w:t xml:space="preserve">. </w:t>
      </w:r>
    </w:p>
    <w:p w14:paraId="37C0B8B7" w14:textId="77777777" w:rsidR="00932997" w:rsidRPr="00321572" w:rsidRDefault="00932997" w:rsidP="002645ED">
      <w:pPr>
        <w:pStyle w:val="Paragrafoelenco"/>
        <w:numPr>
          <w:ilvl w:val="0"/>
          <w:numId w:val="17"/>
        </w:numPr>
        <w:spacing w:after="120" w:line="240" w:lineRule="auto"/>
        <w:ind w:hanging="357"/>
        <w:contextualSpacing w:val="0"/>
      </w:pPr>
      <w:r w:rsidRPr="00321572">
        <w:t>Una recente pubblicazione Fi-</w:t>
      </w:r>
      <w:proofErr w:type="spellStart"/>
      <w:r w:rsidRPr="00321572">
        <w:t>compass</w:t>
      </w:r>
      <w:proofErr w:type="spellEnd"/>
      <w:r w:rsidRPr="00321572">
        <w:rPr>
          <w:rStyle w:val="Rimandonotaapidipagina"/>
        </w:rPr>
        <w:footnoteReference w:id="18"/>
      </w:r>
      <w:r w:rsidRPr="00321572">
        <w:t xml:space="preserve"> riporta i risultati di un questionario sottoposto a 7600 agricoltori dei 24 paesi membri evidenziando i fabbisogni finanziari delle imprese agricole anche in funzione delle diverse classi di età. In linea generale, gli aspetti finanziari degli agricoltori under 40 sono riassunti nei seguenti principali punti:</w:t>
      </w:r>
    </w:p>
    <w:p w14:paraId="777B1985" w14:textId="77777777" w:rsidR="00932997" w:rsidRPr="00321572" w:rsidRDefault="00932997" w:rsidP="00E347BE">
      <w:pPr>
        <w:pStyle w:val="Paragrafoelenco"/>
        <w:numPr>
          <w:ilvl w:val="0"/>
          <w:numId w:val="20"/>
        </w:numPr>
        <w:spacing w:after="120" w:line="240" w:lineRule="auto"/>
        <w:ind w:left="1134" w:hanging="357"/>
        <w:contextualSpacing w:val="0"/>
      </w:pPr>
      <w:r w:rsidRPr="00321572">
        <w:t xml:space="preserve">Non esistono differenze statisticamente significative tra le diverse classi di età in termini di richieste di accesso al credito e tipi di prodotti finanziari; </w:t>
      </w:r>
    </w:p>
    <w:p w14:paraId="488F09BD" w14:textId="2B032A28" w:rsidR="00932997" w:rsidRPr="00321572" w:rsidRDefault="00C62ED2" w:rsidP="00E347BE">
      <w:pPr>
        <w:pStyle w:val="Paragrafoelenco"/>
        <w:numPr>
          <w:ilvl w:val="0"/>
          <w:numId w:val="20"/>
        </w:numPr>
        <w:spacing w:after="120" w:line="240" w:lineRule="auto"/>
        <w:ind w:left="1134" w:hanging="357"/>
        <w:contextualSpacing w:val="0"/>
        <w:rPr>
          <w:rStyle w:val="tlid-translation"/>
        </w:rPr>
      </w:pPr>
      <w:r>
        <w:t xml:space="preserve">I </w:t>
      </w:r>
      <w:r w:rsidR="00932997" w:rsidRPr="00321572">
        <w:t>giovani agricoltori si affidano maggiormente alle risorse fornite da privati (16,2% contro il 14,3% degli over 40), come amici e familiari, mostrando meno fiducia nel sistema bancario. Tale aspetto è rinvenibile anche nei risultati dell’indagine sui beneficiari 2007-2013 del PSR Calabria, così come in un approfondimento valutativo realizzato sul PSR Basilicata 2007-2013, dove si mostra che i risultati del Programma sono dipesi in larga misura dalla capacità dei beneficiari di mobilitare risorse proprie</w:t>
      </w:r>
      <w:r w:rsidR="00932997" w:rsidRPr="00321572">
        <w:rPr>
          <w:vertAlign w:val="superscript"/>
        </w:rPr>
        <w:footnoteReference w:id="19"/>
      </w:r>
      <w:r w:rsidR="00932997" w:rsidRPr="00321572">
        <w:t>;</w:t>
      </w:r>
    </w:p>
    <w:p w14:paraId="32756C68" w14:textId="77777777" w:rsidR="00932997" w:rsidRPr="00321572" w:rsidRDefault="00932997" w:rsidP="00E347BE">
      <w:pPr>
        <w:pStyle w:val="Paragrafoelenco"/>
        <w:numPr>
          <w:ilvl w:val="0"/>
          <w:numId w:val="20"/>
        </w:numPr>
        <w:spacing w:after="120" w:line="240" w:lineRule="auto"/>
        <w:ind w:left="1134" w:hanging="357"/>
        <w:contextualSpacing w:val="0"/>
      </w:pPr>
      <w:r w:rsidRPr="00321572">
        <w:rPr>
          <w:rStyle w:val="tlid-translation"/>
        </w:rPr>
        <w:t xml:space="preserve">In linea generale, le imprese agricole gestite da giovani manager hanno meno successo nell’ottenere i finanziamenti richiesti registrando, per richieste di prestiti a breve o lungo termine, un tasso di rifiuto più elevato. Le domande di prestito da parte dei giovani agricoltori sono respinte principalmente per l'elevato rischio associato alle nuove attività; sembrano inoltre risentire maggiormente della mancanza di garanzie adeguate (sia immobili che mobili). </w:t>
      </w:r>
      <w:r w:rsidRPr="00321572">
        <w:rPr>
          <w:rFonts w:ascii="Calibri" w:eastAsia="Calibri" w:hAnsi="Calibri" w:cs="Times New Roman"/>
        </w:rPr>
        <w:t xml:space="preserve">La </w:t>
      </w:r>
      <w:r w:rsidRPr="00321572">
        <w:rPr>
          <w:rFonts w:ascii="Calibri" w:eastAsia="Calibri" w:hAnsi="Calibri" w:cs="Times New Roman"/>
          <w:bCs/>
        </w:rPr>
        <w:t>mancanza di un sufficiente asset patrimoniale</w:t>
      </w:r>
      <w:r w:rsidRPr="00321572">
        <w:rPr>
          <w:rFonts w:ascii="Calibri" w:eastAsia="Calibri" w:hAnsi="Calibri" w:cs="Times New Roman"/>
        </w:rPr>
        <w:t xml:space="preserve">, beni mobili e immobili, da fornire come garanzia collaterale sembra incidere in maniera negativa soprattutto nel caso dei giovani agricoltori: si tratta, infatti, di un </w:t>
      </w:r>
      <w:r w:rsidRPr="00321572">
        <w:rPr>
          <w:rFonts w:ascii="Calibri" w:eastAsia="Calibri" w:hAnsi="Calibri" w:cs="Times New Roman"/>
          <w:bCs/>
        </w:rPr>
        <w:t xml:space="preserve">fattore dirimente per il 35% degli under 40, </w:t>
      </w:r>
      <w:r w:rsidRPr="00321572">
        <w:rPr>
          <w:rFonts w:ascii="Calibri" w:eastAsia="Calibri" w:hAnsi="Calibri" w:cs="Times New Roman"/>
        </w:rPr>
        <w:t>rispetto al 13% rilevato per gli agricoltori più anziani.</w:t>
      </w:r>
    </w:p>
    <w:p w14:paraId="5DCC95F7" w14:textId="1827D8AD" w:rsidR="00932997" w:rsidRPr="00321572" w:rsidRDefault="00932997" w:rsidP="00E347BE">
      <w:pPr>
        <w:pStyle w:val="Paragrafoelenco"/>
        <w:numPr>
          <w:ilvl w:val="0"/>
          <w:numId w:val="20"/>
        </w:numPr>
        <w:spacing w:after="120" w:line="240" w:lineRule="auto"/>
        <w:ind w:left="1134" w:hanging="357"/>
        <w:contextualSpacing w:val="0"/>
        <w:rPr>
          <w:rStyle w:val="tlid-translation"/>
        </w:rPr>
      </w:pPr>
      <w:r w:rsidRPr="00321572">
        <w:rPr>
          <w:rFonts w:ascii="Calibri" w:eastAsia="Calibri" w:hAnsi="Calibri" w:cs="Times New Roman"/>
        </w:rPr>
        <w:t>Al contempo, anche l’</w:t>
      </w:r>
      <w:r w:rsidRPr="00321572">
        <w:rPr>
          <w:rFonts w:ascii="Calibri" w:eastAsia="Calibri" w:hAnsi="Calibri" w:cs="Times New Roman"/>
          <w:bCs/>
        </w:rPr>
        <w:t>inadeguatezza dei piani aziendali</w:t>
      </w:r>
      <w:r w:rsidRPr="00321572">
        <w:rPr>
          <w:rFonts w:ascii="Calibri" w:eastAsia="Calibri" w:hAnsi="Calibri" w:cs="Times New Roman"/>
        </w:rPr>
        <w:t xml:space="preserve"> rappresenta un ostacolo per il 18% dei giovani. Diversamente, gli agricoltori con più di 40 anni di età vedono respinte le domande di credito a causa di restrizioni nella politica bancaria (come, ad esempio, limitazioni per la concessione di prestiti nello specifico settore), redditività dell'investimento o elevata esposizione debitoria dell’azienda</w:t>
      </w:r>
      <w:r w:rsidR="00C62ED2">
        <w:rPr>
          <w:rFonts w:ascii="Calibri" w:eastAsia="Calibri" w:hAnsi="Calibri" w:cs="Times New Roman"/>
        </w:rPr>
        <w:t>.</w:t>
      </w:r>
    </w:p>
    <w:p w14:paraId="0CA209D0" w14:textId="3E1AB465" w:rsidR="00932997" w:rsidRPr="00321572" w:rsidRDefault="00932997" w:rsidP="00E347BE">
      <w:pPr>
        <w:pStyle w:val="Paragrafoelenco"/>
        <w:numPr>
          <w:ilvl w:val="0"/>
          <w:numId w:val="20"/>
        </w:numPr>
        <w:spacing w:after="120" w:line="240" w:lineRule="auto"/>
        <w:ind w:left="1134" w:hanging="357"/>
        <w:contextualSpacing w:val="0"/>
        <w:rPr>
          <w:rStyle w:val="tlid-translation"/>
        </w:rPr>
      </w:pPr>
      <w:r w:rsidRPr="00321572">
        <w:rPr>
          <w:rFonts w:ascii="Calibri" w:eastAsia="Calibri" w:hAnsi="Calibri" w:cs="Times New Roman"/>
        </w:rPr>
        <w:lastRenderedPageBreak/>
        <w:t xml:space="preserve">Inoltre, gli under 40 hanno un tasso di successo del 10% inferiore nell’ottenere l’intero importo richiesto. Più nel dettaglio, dall’indagine si evince </w:t>
      </w:r>
      <w:r w:rsidRPr="00321572">
        <w:rPr>
          <w:rFonts w:ascii="Calibri" w:eastAsia="Calibri" w:hAnsi="Calibri" w:cs="Times New Roman"/>
          <w:bCs/>
        </w:rPr>
        <w:t>come le imprese agricole gestite da giovani agricoltori abbiano meno successo nell'ottenere finanziamenti per tutti i prodotti finanziari esaminati nell’indagine (68% contro il 79%)</w:t>
      </w:r>
      <w:r w:rsidRPr="00321572">
        <w:rPr>
          <w:rFonts w:ascii="Calibri" w:eastAsia="Calibri" w:hAnsi="Calibri" w:cs="Times New Roman"/>
        </w:rPr>
        <w:t xml:space="preserve">. Tuttavia, </w:t>
      </w:r>
      <w:r w:rsidRPr="00321572">
        <w:rPr>
          <w:rFonts w:ascii="Calibri" w:eastAsia="Calibri" w:hAnsi="Calibri" w:cs="Times New Roman"/>
          <w:bCs/>
        </w:rPr>
        <w:t>la differenza con gli agricoltori più anziani è maggiore per le linee di credito (73% contro 88%), i prestiti a breve termine (67% contro 79%) e i prestiti a lungo termine (63% contro 75%)</w:t>
      </w:r>
      <w:r w:rsidRPr="00321572">
        <w:rPr>
          <w:rFonts w:ascii="Calibri" w:eastAsia="Calibri" w:hAnsi="Calibri" w:cs="Times New Roman"/>
        </w:rPr>
        <w:t>. Ciò è dovuto in gran parte al fatto che i giovani hanno più probabilità di vedere la loro richiesta di prestito respinta, mentre gli agricoltori più anziani rifiutano i prestiti soprattutto a causa del loro costo</w:t>
      </w:r>
      <w:r w:rsidR="00C62ED2">
        <w:rPr>
          <w:rFonts w:ascii="Calibri" w:eastAsia="Calibri" w:hAnsi="Calibri" w:cs="Times New Roman"/>
        </w:rPr>
        <w:t>.</w:t>
      </w:r>
    </w:p>
    <w:p w14:paraId="3F5F2550" w14:textId="77777777" w:rsidR="00932997" w:rsidRPr="00321572" w:rsidRDefault="00932997" w:rsidP="00E347BE">
      <w:pPr>
        <w:pStyle w:val="Paragrafoelenco"/>
        <w:numPr>
          <w:ilvl w:val="0"/>
          <w:numId w:val="20"/>
        </w:numPr>
        <w:spacing w:after="120" w:line="240" w:lineRule="auto"/>
        <w:ind w:left="1134" w:hanging="357"/>
        <w:contextualSpacing w:val="0"/>
        <w:rPr>
          <w:rStyle w:val="tlid-translation"/>
        </w:rPr>
      </w:pPr>
      <w:r w:rsidRPr="00321572">
        <w:rPr>
          <w:rStyle w:val="tlid-translation"/>
        </w:rPr>
        <w:t xml:space="preserve">I giovani agricoltori tendono a investire di più in nuovi macchinari, attrezzature o strutture, e nel capitale circolante; i gestori più anziani, invece, per gli investimenti relativi al capitale fondiario. </w:t>
      </w:r>
    </w:p>
    <w:p w14:paraId="4027431B" w14:textId="77777777" w:rsidR="00932997" w:rsidRPr="00321572" w:rsidRDefault="00932997" w:rsidP="00E347BE">
      <w:pPr>
        <w:pStyle w:val="Paragrafoelenco"/>
        <w:numPr>
          <w:ilvl w:val="0"/>
          <w:numId w:val="20"/>
        </w:numPr>
        <w:spacing w:after="120" w:line="240" w:lineRule="auto"/>
        <w:ind w:left="1134" w:hanging="357"/>
        <w:contextualSpacing w:val="0"/>
      </w:pPr>
      <w:r w:rsidRPr="00321572">
        <w:rPr>
          <w:rStyle w:val="tlid-translation"/>
        </w:rPr>
        <w:t>I giovani agricoltori sono molto più interessati a un potenziale strumento finanziario che comprenda condizioni flessibili, come tassi di interesse o piano di rimborso adeguato al ciclo economico o al flusso di cassa</w:t>
      </w:r>
      <w:r w:rsidRPr="00321572">
        <w:t>.</w:t>
      </w:r>
    </w:p>
    <w:p w14:paraId="4B80133E" w14:textId="76F6D769" w:rsidR="00932997" w:rsidRPr="00321572" w:rsidRDefault="00932997" w:rsidP="002645ED">
      <w:pPr>
        <w:pStyle w:val="Paragrafoelenco"/>
        <w:numPr>
          <w:ilvl w:val="0"/>
          <w:numId w:val="17"/>
        </w:numPr>
        <w:spacing w:after="120" w:line="240" w:lineRule="auto"/>
        <w:contextualSpacing w:val="0"/>
      </w:pPr>
      <w:r w:rsidRPr="00321572">
        <w:t xml:space="preserve">Manca uno studio o un’indagine nazionale focalizzata sul fabbisogno finanziario degli imprenditori agricoli under 40. Le uniche informazioni utili sono di carattere parziale o fortemente territoriale. Tali indagini possono comunque essere utilmente impiegate come proxy per valutazioni più ampie. </w:t>
      </w:r>
    </w:p>
    <w:p w14:paraId="0B6F0E23" w14:textId="77777777" w:rsidR="00932997" w:rsidRPr="00321572" w:rsidRDefault="00932997" w:rsidP="00C62ED2">
      <w:pPr>
        <w:pStyle w:val="Paragrafoelenco"/>
        <w:spacing w:after="120" w:line="240" w:lineRule="auto"/>
        <w:contextualSpacing w:val="0"/>
      </w:pPr>
      <w:r w:rsidRPr="00321572">
        <w:t>In particolare, a questo proposito, sembra interessante l’indagine condotta dalla società di consulenza Lattanzio e Associati sull’accesso al credito e propensione agli investimenti nel PSR Calabria 2007-2013</w:t>
      </w:r>
      <w:r w:rsidRPr="00321572">
        <w:rPr>
          <w:rStyle w:val="Rimandonotaapidipagina"/>
        </w:rPr>
        <w:footnoteReference w:id="20"/>
      </w:r>
      <w:r w:rsidRPr="00321572">
        <w:t xml:space="preserve">. </w:t>
      </w:r>
    </w:p>
    <w:p w14:paraId="3E7E1BAC" w14:textId="77777777" w:rsidR="00932997" w:rsidRPr="00321572" w:rsidRDefault="00932997" w:rsidP="002645ED">
      <w:pPr>
        <w:pStyle w:val="Paragrafoelenco"/>
        <w:spacing w:after="120" w:line="240" w:lineRule="auto"/>
        <w:contextualSpacing w:val="0"/>
      </w:pPr>
      <w:r w:rsidRPr="00321572">
        <w:t xml:space="preserve">Al fine di stimare le difficoltà di accesso al credito e la propensione all’investimento nel PSR Calabria, la stessa società di consulenza nel suo ruolo di valutatore indipendente ha condotto una indagine su un campione di soggetti (84) beneficiari delle misure 121, 122, 123 e 311. Il campione è composto per il 31% da giovani agricoltori con una incidenza della componente maschile pari al 24%, che sale al 69% se si considera gli over 40; rispetto al livello di formazione, si evidenzia come il 23% dei beneficiari è in possesso di un titolo universitario e il 42% abbia completato un ciclo di istruzione superiore. </w:t>
      </w:r>
    </w:p>
    <w:p w14:paraId="06F86FDA" w14:textId="77777777" w:rsidR="00932997" w:rsidRPr="00321572" w:rsidRDefault="00932997" w:rsidP="002645ED">
      <w:pPr>
        <w:pStyle w:val="Paragrafoelenco"/>
        <w:spacing w:after="120" w:line="240" w:lineRule="auto"/>
        <w:contextualSpacing w:val="0"/>
      </w:pPr>
      <w:r w:rsidRPr="00321572">
        <w:t>Oltre la metà del campione, ha promosso investimenti superiori ai 300 mila euro ricorrendo ad un istituto di credito nel 70% dei casi.</w:t>
      </w:r>
    </w:p>
    <w:p w14:paraId="03E7B3EC" w14:textId="77777777" w:rsidR="00932997" w:rsidRPr="00321572" w:rsidRDefault="00932997" w:rsidP="002645ED">
      <w:pPr>
        <w:pStyle w:val="Paragrafoelenco"/>
        <w:spacing w:after="120" w:line="240" w:lineRule="auto"/>
        <w:contextualSpacing w:val="0"/>
      </w:pPr>
      <w:r w:rsidRPr="00321572">
        <w:t>Rispetto a coloro che non hanno fatto accesso al mercato del credito (30%), si evidenzia la netta prevalenza del ricorso all’autofinanziamento (64,3%), cui fa eco la presenza di condizioni non vantaggiose per il prestito (28,6%); più contenuta la quota di coloro che non hanno ricevuto credito pur richiedendolo (14,3%). Tra gli strumenti attivati, la voce più consistente (54%) ha riguardato i prestiti bancari, seguiti dalla concessione di mutui ipotecari con una incidenza del 38%. Appena il 6% del campione ha fatto ricorso allo strumento finanziario previsto dal PSR Calabria 2007-2013 (Fondo di garanzia regionale per le PMI agricole calabresi); il 58% del campione ha dichiarato di non essere a conoscenza di tale Fondo.</w:t>
      </w:r>
    </w:p>
    <w:p w14:paraId="1E2F1486" w14:textId="2BF627FC" w:rsidR="000561ED" w:rsidRPr="00321572" w:rsidRDefault="00932997" w:rsidP="00C62ED2">
      <w:pPr>
        <w:pStyle w:val="Paragrafoelenco"/>
        <w:spacing w:after="120" w:line="240" w:lineRule="auto"/>
        <w:contextualSpacing w:val="0"/>
      </w:pPr>
      <w:r w:rsidRPr="00321572">
        <w:t>Sotto il profilo qualitativo, la quasi totalità del campione (94%) ritiene che un uno strumento finanziario a supporto del credito potrebbe favorire la capacità di investimento nel settore agricolo, forestale e agroalimentare calabrese.</w:t>
      </w:r>
    </w:p>
    <w:p w14:paraId="2456DB50" w14:textId="77777777" w:rsidR="00932997" w:rsidRPr="00321572" w:rsidRDefault="00932997" w:rsidP="00E347BE">
      <w:pPr>
        <w:pStyle w:val="Paragrafoelenco"/>
        <w:numPr>
          <w:ilvl w:val="0"/>
          <w:numId w:val="35"/>
        </w:numPr>
        <w:spacing w:after="120" w:line="240" w:lineRule="auto"/>
        <w:contextualSpacing w:val="0"/>
      </w:pPr>
      <w:r w:rsidRPr="00321572">
        <w:t xml:space="preserve">Infine, alcuni cenni sul ricorso agli strumenti finanziari nell’ambito della Politica di sviluppo rurale. </w:t>
      </w:r>
    </w:p>
    <w:p w14:paraId="2D535DB1" w14:textId="493F444D" w:rsidR="00932997" w:rsidRPr="00321572" w:rsidRDefault="00932997" w:rsidP="00C67129">
      <w:pPr>
        <w:pStyle w:val="Paragrafoelenco"/>
        <w:spacing w:after="120" w:line="240" w:lineRule="auto"/>
        <w:contextualSpacing w:val="0"/>
      </w:pPr>
      <w:r w:rsidRPr="00321572">
        <w:rPr>
          <w:rFonts w:ascii="Calibri" w:eastAsia="Times New Roman" w:hAnsi="Calibri" w:cs="Calibri"/>
        </w:rPr>
        <w:t xml:space="preserve">Ad inizio programmazione 2014-2020, </w:t>
      </w:r>
      <w:r w:rsidRPr="00321572">
        <w:rPr>
          <w:rFonts w:ascii="Calibri" w:eastAsia="Times New Roman" w:hAnsi="Calibri" w:cs="Calibri"/>
          <w:bCs/>
        </w:rPr>
        <w:t>il perseguimento dei fabbisogni regionali si è tradotto in 16 casi nella previsione del ricorso a SF cofinanziati dai PSR</w:t>
      </w:r>
      <w:r w:rsidRPr="00321572">
        <w:rPr>
          <w:rFonts w:ascii="Calibri" w:eastAsia="Times New Roman" w:hAnsi="Calibri" w:cs="Calibri"/>
        </w:rPr>
        <w:t xml:space="preserve">, in sostituzione e/o combinazione alle tradizionali sovvenzioni, al fine di migliorare l’accesso al credito delle imprese agricole e forestali, in </w:t>
      </w:r>
      <w:r w:rsidRPr="00321572">
        <w:rPr>
          <w:rFonts w:ascii="Calibri" w:eastAsia="Times New Roman" w:hAnsi="Calibri" w:cs="Calibri"/>
        </w:rPr>
        <w:lastRenderedPageBreak/>
        <w:t xml:space="preserve">particolare di quelle gestite da giovani agricoltori, delle imprese agroalimentari, delle microimprese e, in generale, delle aree rurali. Tuttavia, come meglio evidenziato di seguito, </w:t>
      </w:r>
      <w:r w:rsidRPr="00321572">
        <w:rPr>
          <w:rFonts w:ascii="Calibri" w:eastAsia="Times New Roman" w:hAnsi="Calibri" w:cs="Calibri"/>
          <w:bCs/>
        </w:rPr>
        <w:t xml:space="preserve">il dato previsionale non sempre si è tradotto </w:t>
      </w:r>
      <w:r w:rsidRPr="00321572">
        <w:rPr>
          <w:rFonts w:ascii="Calibri" w:eastAsia="Times New Roman" w:hAnsi="Calibri" w:cs="Calibri"/>
        </w:rPr>
        <w:t>nella predisposizione di una VEXA e, di conseguenza,</w:t>
      </w:r>
      <w:r w:rsidRPr="00321572">
        <w:rPr>
          <w:rFonts w:ascii="Calibri" w:eastAsia="Times New Roman" w:hAnsi="Calibri" w:cs="Calibri"/>
          <w:bCs/>
        </w:rPr>
        <w:t xml:space="preserve"> nell’attivazione di uno strumento finanziario</w:t>
      </w:r>
      <w:r w:rsidRPr="00321572">
        <w:rPr>
          <w:rFonts w:ascii="Calibri" w:eastAsia="Times New Roman" w:hAnsi="Calibri" w:cs="Calibri"/>
        </w:rPr>
        <w:t xml:space="preserve">.  </w:t>
      </w:r>
    </w:p>
    <w:p w14:paraId="50E6337D" w14:textId="7CC80D30" w:rsidR="00932997" w:rsidRPr="00321572" w:rsidRDefault="00932997" w:rsidP="00C67129">
      <w:pPr>
        <w:pStyle w:val="Paragrafoelenco"/>
        <w:spacing w:after="120" w:line="240" w:lineRule="auto"/>
        <w:contextualSpacing w:val="0"/>
      </w:pPr>
      <w:r w:rsidRPr="00321572">
        <w:rPr>
          <w:rFonts w:cstheme="minorHAnsi"/>
          <w:color w:val="000000"/>
          <w:szCs w:val="24"/>
        </w:rPr>
        <w:t xml:space="preserve">Ad oggi, il ricorso agli SF nella politica di sviluppo rurale italiana è previsto in </w:t>
      </w:r>
      <w:proofErr w:type="gramStart"/>
      <w:r w:rsidRPr="00321572">
        <w:rPr>
          <w:rFonts w:cstheme="minorHAnsi"/>
          <w:bCs/>
          <w:color w:val="000000"/>
          <w:szCs w:val="24"/>
        </w:rPr>
        <w:t>10</w:t>
      </w:r>
      <w:proofErr w:type="gramEnd"/>
      <w:r w:rsidRPr="00321572">
        <w:rPr>
          <w:rFonts w:cstheme="minorHAnsi"/>
          <w:bCs/>
          <w:color w:val="000000"/>
          <w:szCs w:val="24"/>
        </w:rPr>
        <w:t xml:space="preserve"> Programmi</w:t>
      </w:r>
      <w:r w:rsidRPr="00321572">
        <w:rPr>
          <w:rFonts w:cstheme="minorHAnsi"/>
          <w:color w:val="000000"/>
          <w:szCs w:val="24"/>
        </w:rPr>
        <w:t xml:space="preserve"> ma la totalità delle Amministrazioni regionali ne ha pianificato l’attuazione </w:t>
      </w:r>
      <w:r w:rsidRPr="00321572">
        <w:rPr>
          <w:rFonts w:cstheme="minorHAnsi"/>
          <w:bCs/>
          <w:color w:val="000000"/>
          <w:szCs w:val="24"/>
        </w:rPr>
        <w:t>in maniera complementare alle altre forme di sostegno</w:t>
      </w:r>
      <w:r w:rsidRPr="00321572">
        <w:rPr>
          <w:rFonts w:cstheme="minorHAnsi"/>
          <w:color w:val="000000"/>
          <w:szCs w:val="24"/>
        </w:rPr>
        <w:t>. L’unica eccezione è rappresentata dal PSR Lombardia che ne ha previsto il ricorso in maniera esclusiva. Considerando le risorse UE e il cofinanziamento nazionale, il valore degli SF nell’ambito della programmazione per lo sviluppo rurale 2014-2020 è pari a 1</w:t>
      </w:r>
      <w:r w:rsidRPr="00321572">
        <w:rPr>
          <w:rFonts w:cstheme="minorHAnsi"/>
          <w:bCs/>
          <w:color w:val="000000"/>
          <w:szCs w:val="24"/>
        </w:rPr>
        <w:t>39,3 milioni di euro e quasi la metà è ascrivibile a sole tre Regioni (Lombardia, Friuli Venezia-Giulia e Umbria)</w:t>
      </w:r>
      <w:r w:rsidRPr="00321572">
        <w:rPr>
          <w:rFonts w:cstheme="minorHAnsi"/>
          <w:color w:val="000000"/>
          <w:szCs w:val="24"/>
        </w:rPr>
        <w:t xml:space="preserve">. Nel complesso, si tratta dell’1,2% del totale del budget dei 10 PSR, un dato che lascerebbe intendere un clima di cauto ottimismo da parte delle Amministrazioni regionali rispetto alle potenzialità degli SF. </w:t>
      </w:r>
    </w:p>
    <w:p w14:paraId="2A522757" w14:textId="58F2CFB9" w:rsidR="00932997" w:rsidRPr="00321572" w:rsidRDefault="00932997" w:rsidP="00C67129">
      <w:pPr>
        <w:pStyle w:val="Paragrafoelenco"/>
        <w:spacing w:after="120" w:line="240" w:lineRule="auto"/>
        <w:contextualSpacing w:val="0"/>
      </w:pPr>
      <w:r w:rsidRPr="00321572">
        <w:rPr>
          <w:rFonts w:cstheme="minorHAnsi"/>
          <w:color w:val="000000"/>
          <w:szCs w:val="24"/>
        </w:rPr>
        <w:t>La maggior parte delle risorse dei PSR allocate per gli SF è destinata, in maniera analoga agli altri Paesi europei</w:t>
      </w:r>
      <w:r w:rsidRPr="00321572">
        <w:rPr>
          <w:vertAlign w:val="superscript"/>
        </w:rPr>
        <w:footnoteReference w:id="21"/>
      </w:r>
      <w:r w:rsidRPr="00321572">
        <w:rPr>
          <w:rFonts w:cstheme="minorHAnsi"/>
          <w:color w:val="000000"/>
          <w:szCs w:val="24"/>
        </w:rPr>
        <w:t xml:space="preserve">, a supportare gli investimenti per migliorare la competitività e le prestazioni economiche delle aziende agricole e, secondariamente, </w:t>
      </w:r>
      <w:r w:rsidR="00C67129">
        <w:rPr>
          <w:rFonts w:cstheme="minorHAnsi"/>
          <w:color w:val="000000"/>
          <w:szCs w:val="24"/>
        </w:rPr>
        <w:t>a</w:t>
      </w:r>
      <w:r w:rsidRPr="00321572">
        <w:rPr>
          <w:rFonts w:cstheme="minorHAnsi"/>
          <w:color w:val="000000"/>
          <w:szCs w:val="24"/>
        </w:rPr>
        <w:t xml:space="preserve"> promuovere la trasformazione e l’integrazione di filiera (Priorità di intervento 2 e 3). Ne consegue che le </w:t>
      </w:r>
      <w:proofErr w:type="spellStart"/>
      <w:r w:rsidRPr="00321572">
        <w:rPr>
          <w:rFonts w:cstheme="minorHAnsi"/>
          <w:color w:val="000000"/>
          <w:szCs w:val="24"/>
        </w:rPr>
        <w:t>sottomisure</w:t>
      </w:r>
      <w:proofErr w:type="spellEnd"/>
      <w:r w:rsidRPr="00321572">
        <w:rPr>
          <w:rFonts w:cstheme="minorHAnsi"/>
          <w:color w:val="000000"/>
          <w:szCs w:val="24"/>
        </w:rPr>
        <w:t xml:space="preserve"> che hanno previsto l’erogazione del sostegno anche tramite SF sono:</w:t>
      </w:r>
    </w:p>
    <w:p w14:paraId="2CBC01C8" w14:textId="69681BF2" w:rsidR="00932997" w:rsidRPr="00C62ED2" w:rsidRDefault="00932997" w:rsidP="00E347BE">
      <w:pPr>
        <w:pStyle w:val="Paragrafoelenco"/>
        <w:numPr>
          <w:ilvl w:val="0"/>
          <w:numId w:val="44"/>
        </w:numPr>
        <w:spacing w:after="120" w:line="240" w:lineRule="auto"/>
        <w:rPr>
          <w:rFonts w:ascii="Calibri" w:eastAsia="Times New Roman" w:hAnsi="Calibri" w:cs="Calibri"/>
          <w:szCs w:val="20"/>
          <w:lang w:eastAsia="it-IT" w:bidi="he-IL"/>
        </w:rPr>
      </w:pPr>
      <w:r w:rsidRPr="00C62ED2">
        <w:rPr>
          <w:rFonts w:ascii="Calibri" w:eastAsia="Times New Roman" w:hAnsi="Calibri" w:cs="Calibri"/>
          <w:szCs w:val="20"/>
          <w:lang w:eastAsia="it-IT" w:bidi="he-IL"/>
        </w:rPr>
        <w:t>4.1 Investimenti per il miglioramento delle prestazioni e della sostenibilità delle aziende agricol</w:t>
      </w:r>
      <w:r w:rsidR="00C62ED2" w:rsidRPr="00C62ED2">
        <w:rPr>
          <w:rFonts w:ascii="Calibri" w:eastAsia="Times New Roman" w:hAnsi="Calibri" w:cs="Calibri"/>
          <w:szCs w:val="20"/>
          <w:lang w:eastAsia="it-IT" w:bidi="he-IL"/>
        </w:rPr>
        <w:t>i</w:t>
      </w:r>
      <w:r w:rsidRPr="00C62ED2">
        <w:rPr>
          <w:rFonts w:ascii="Calibri" w:eastAsia="Times New Roman" w:hAnsi="Calibri" w:cs="Calibri"/>
          <w:szCs w:val="20"/>
          <w:lang w:eastAsia="it-IT" w:bidi="he-IL"/>
        </w:rPr>
        <w:t xml:space="preserve">; </w:t>
      </w:r>
    </w:p>
    <w:p w14:paraId="439D32F1" w14:textId="0B48EAC9" w:rsidR="00932997" w:rsidRPr="00C62ED2" w:rsidRDefault="00932997" w:rsidP="00E347BE">
      <w:pPr>
        <w:pStyle w:val="Paragrafoelenco"/>
        <w:numPr>
          <w:ilvl w:val="0"/>
          <w:numId w:val="44"/>
        </w:numPr>
        <w:spacing w:after="120" w:line="240" w:lineRule="auto"/>
        <w:rPr>
          <w:rFonts w:ascii="Calibri" w:eastAsia="Times New Roman" w:hAnsi="Calibri" w:cs="Calibri"/>
          <w:szCs w:val="20"/>
          <w:lang w:eastAsia="it-IT" w:bidi="he-IL"/>
        </w:rPr>
      </w:pPr>
      <w:r w:rsidRPr="00C62ED2">
        <w:rPr>
          <w:rFonts w:ascii="Calibri" w:eastAsia="Times New Roman" w:hAnsi="Calibri" w:cs="Calibri"/>
          <w:szCs w:val="20"/>
          <w:lang w:eastAsia="it-IT" w:bidi="he-IL"/>
        </w:rPr>
        <w:t>4.2 Sostegno a investimenti a favore della trasformazione/commercializzazione e/o sviluppo dei prodotti agricoli;</w:t>
      </w:r>
    </w:p>
    <w:p w14:paraId="00B826DD" w14:textId="69BCE3A2" w:rsidR="00932997" w:rsidRPr="00C62ED2" w:rsidRDefault="00932997" w:rsidP="00E347BE">
      <w:pPr>
        <w:pStyle w:val="Paragrafoelenco"/>
        <w:numPr>
          <w:ilvl w:val="0"/>
          <w:numId w:val="44"/>
        </w:numPr>
        <w:spacing w:after="120" w:line="240" w:lineRule="auto"/>
        <w:rPr>
          <w:rFonts w:ascii="Calibri" w:eastAsia="Times New Roman" w:hAnsi="Calibri" w:cs="Calibri"/>
          <w:szCs w:val="20"/>
          <w:lang w:eastAsia="it-IT" w:bidi="he-IL"/>
        </w:rPr>
      </w:pPr>
      <w:r w:rsidRPr="00C62ED2">
        <w:rPr>
          <w:rFonts w:ascii="Calibri" w:eastAsia="Times New Roman" w:hAnsi="Calibri" w:cs="Calibri"/>
          <w:szCs w:val="20"/>
          <w:lang w:eastAsia="it-IT" w:bidi="he-IL"/>
        </w:rPr>
        <w:t>Aiuti all'avviamento di imprese per i giovani agricoltori;</w:t>
      </w:r>
    </w:p>
    <w:p w14:paraId="26BDCA69" w14:textId="0C4D30D5" w:rsidR="00932997" w:rsidRPr="002645ED" w:rsidRDefault="00932997" w:rsidP="00E347BE">
      <w:pPr>
        <w:numPr>
          <w:ilvl w:val="0"/>
          <w:numId w:val="36"/>
        </w:numPr>
        <w:spacing w:after="120" w:line="240" w:lineRule="auto"/>
        <w:ind w:left="1134" w:hanging="357"/>
        <w:rPr>
          <w:rFonts w:ascii="Calibri" w:eastAsia="Times New Roman" w:hAnsi="Calibri" w:cs="Calibri"/>
          <w:szCs w:val="20"/>
          <w:lang w:eastAsia="it-IT" w:bidi="he-IL"/>
        </w:rPr>
      </w:pPr>
      <w:r w:rsidRPr="00321572">
        <w:rPr>
          <w:rFonts w:ascii="Calibri" w:eastAsia="Times New Roman" w:hAnsi="Calibri" w:cs="Calibri"/>
          <w:szCs w:val="20"/>
          <w:lang w:eastAsia="it-IT" w:bidi="he-IL"/>
        </w:rPr>
        <w:t xml:space="preserve">6.4 Sostegno nella creazione e nello sviluppo di attività extra-agricole. </w:t>
      </w:r>
    </w:p>
    <w:p w14:paraId="0CBD4045" w14:textId="3B249531" w:rsidR="000561ED" w:rsidRPr="00382DDD" w:rsidRDefault="00932997" w:rsidP="00E347BE">
      <w:pPr>
        <w:pStyle w:val="Paragrafoelenco"/>
        <w:numPr>
          <w:ilvl w:val="0"/>
          <w:numId w:val="19"/>
        </w:numPr>
        <w:spacing w:after="120" w:line="240" w:lineRule="auto"/>
        <w:ind w:hanging="357"/>
        <w:contextualSpacing w:val="0"/>
        <w:rPr>
          <w:rFonts w:ascii="Calibri" w:eastAsia="Calibri" w:hAnsi="Calibri" w:cs="Times New Roman"/>
        </w:rPr>
      </w:pPr>
      <w:r w:rsidRPr="00321572">
        <w:t>A livello nazionale sono operativi fondi di garanzia a copertura di finanziamenti bancari a breve, medio e lungo termine finalizzati a incrementare la competitività del comparto agricolo. Tali garanzie, nel caso di giovani agricoltori, possono coprire fino all’80% dell’importo finanziato. Allo stesso tempo i giovani agricoltori possono accedere allo specifico fondo per l’abbattimento delle commissioni di garanzia (rilascio garanzie dirette I</w:t>
      </w:r>
      <w:r w:rsidR="00C67129">
        <w:t>SMEA</w:t>
      </w:r>
      <w:r w:rsidRPr="00321572">
        <w:t>), godendo di una garanzia gratuita nel limite di 15.000 euro di costo e comunque nel rispetto dei massimali stabiliti dai Regolamenti della Commissione in materia di aiuti “</w:t>
      </w:r>
      <w:r w:rsidRPr="00C62ED2">
        <w:rPr>
          <w:i/>
        </w:rPr>
        <w:t xml:space="preserve">de </w:t>
      </w:r>
      <w:proofErr w:type="spellStart"/>
      <w:r w:rsidRPr="00C62ED2">
        <w:rPr>
          <w:i/>
        </w:rPr>
        <w:t>minimis</w:t>
      </w:r>
      <w:proofErr w:type="spellEnd"/>
      <w:r w:rsidRPr="00C62ED2">
        <w:rPr>
          <w:i/>
        </w:rPr>
        <w:t>”</w:t>
      </w:r>
      <w:r w:rsidRPr="00321572">
        <w:t>.</w:t>
      </w:r>
      <w:r w:rsidRPr="00C62ED2">
        <w:rPr>
          <w:rFonts w:ascii="Calibri" w:eastAsia="Calibri" w:hAnsi="Calibri" w:cs="Times New Roman"/>
          <w:i/>
        </w:rPr>
        <w:t xml:space="preserve"> </w:t>
      </w:r>
      <w:r w:rsidRPr="00C62ED2">
        <w:rPr>
          <w:rFonts w:ascii="Calibri" w:eastAsia="Calibri" w:hAnsi="Calibri" w:cs="Times New Roman"/>
        </w:rPr>
        <w:t>L’indagine</w:t>
      </w:r>
      <w:r w:rsidRPr="00321572">
        <w:rPr>
          <w:rStyle w:val="Rimandonotaapidipagina"/>
          <w:rFonts w:ascii="Calibri" w:eastAsia="Calibri" w:hAnsi="Calibri" w:cs="Times New Roman"/>
        </w:rPr>
        <w:footnoteReference w:id="22"/>
      </w:r>
      <w:r w:rsidRPr="00C62ED2">
        <w:rPr>
          <w:rFonts w:ascii="Calibri" w:eastAsia="Calibri" w:hAnsi="Calibri" w:cs="Times New Roman"/>
        </w:rPr>
        <w:t xml:space="preserve"> sugli intermediari finanziari dell’UE rileva alcune caratteristiche specifiche delle imprese in fase di avviamento. Se da un lato le banche prestano attenzione al giro d'affari e al reddito dell’impresa, al contempo tendono ad attribuire più importanza al “credit history” dell’imprenditore, ovvero alla sua capacità pregressa di ripagare gli impegni finanziari, piuttosto che alla qualità del business plan. Nei due terzi dei casi esaminati, le banche hanno richiesto garanzie collaterali più elevate per le imprese agricole senza una credit history. D’altra parte, i criteri usati dagli intermediari che rilasciano garanzie sembrano essere diversi, attribuendo maggiore importanza al business plan. Tale circostanza, lascia ipotizzare che tali intermediari potrebbero essere più aperti a sostenere le start-up, facilitando il loro accesso al credito bancario.</w:t>
      </w:r>
      <w:r w:rsidR="00C67129">
        <w:rPr>
          <w:rFonts w:ascii="Calibri" w:eastAsia="Calibri" w:hAnsi="Calibri" w:cs="Times New Roman"/>
        </w:rPr>
        <w:br w:type="page"/>
      </w:r>
    </w:p>
    <w:p w14:paraId="7FF814B2" w14:textId="1896CD7F" w:rsidR="00FD5BB0" w:rsidRPr="002A6B52" w:rsidRDefault="00FD5BB0" w:rsidP="000C7F95">
      <w:pPr>
        <w:pStyle w:val="Titolo2"/>
        <w:numPr>
          <w:ilvl w:val="1"/>
          <w:numId w:val="13"/>
        </w:numPr>
        <w:ind w:left="1418"/>
      </w:pPr>
      <w:bookmarkStart w:id="24" w:name="_Toc22736709"/>
      <w:r w:rsidRPr="002A6B52">
        <w:lastRenderedPageBreak/>
        <w:t xml:space="preserve">Accesso alla formazione e </w:t>
      </w:r>
      <w:r w:rsidR="00B52DF7" w:rsidRPr="002A6B52">
        <w:t>fabbisogno formativo</w:t>
      </w:r>
      <w:r w:rsidR="00B52DF7" w:rsidRPr="002A6B52">
        <w:rPr>
          <w:rStyle w:val="Rimandonotaapidipagina"/>
        </w:rPr>
        <w:footnoteReference w:id="23"/>
      </w:r>
      <w:bookmarkEnd w:id="24"/>
    </w:p>
    <w:p w14:paraId="1B020BCC" w14:textId="77777777" w:rsidR="000561ED" w:rsidRDefault="000561ED" w:rsidP="000561ED">
      <w:pPr>
        <w:spacing w:after="120"/>
      </w:pPr>
      <w:r w:rsidRPr="00E820D1">
        <w:t xml:space="preserve">Per una lettura più completa dell’argomento si rimanda il lettore al Policy brief </w:t>
      </w:r>
      <w:r>
        <w:t>dell’</w:t>
      </w:r>
      <w:r w:rsidRPr="00E820D1">
        <w:t xml:space="preserve">OS trasversale </w:t>
      </w:r>
      <w:r>
        <w:t>“</w:t>
      </w:r>
      <w:r w:rsidRPr="00E820D1">
        <w:t>AKIS</w:t>
      </w:r>
      <w:r>
        <w:t>”.</w:t>
      </w:r>
    </w:p>
    <w:p w14:paraId="388B6435" w14:textId="77777777" w:rsidR="000561ED" w:rsidRDefault="000561ED" w:rsidP="00382DDD">
      <w:pPr>
        <w:pStyle w:val="Paragrafoelenco"/>
        <w:numPr>
          <w:ilvl w:val="0"/>
          <w:numId w:val="18"/>
        </w:numPr>
        <w:spacing w:after="120" w:line="240" w:lineRule="auto"/>
        <w:contextualSpacing w:val="0"/>
      </w:pPr>
      <w:r>
        <w:t xml:space="preserve">Le informazioni riportate di seguito riprendono e ripropongono le principali risultanze di una indagine condotta dalla Rete Rurale Nazionale su un campione stratificato su base regionale di 800 imprenditori agricoli che hanno usufruito di un premio di primo insediamento sia nell'attuale programmazione (2007-2013), che in quella passata (2000-2006). L’indagine ha preso in considerazione sia i corsi "professionalizzanti", previsti per i giovani privi della sufficiente esperienza in azienda come richiesto dalla regolamentazione Comunitaria per l'accesso al premio di primo insediamento, sia altri momenti di formazione frequentati sia, infine, l'interesse e la disponibilità ad un percorso di formazione continua. Di seguito le principali risultanze: </w:t>
      </w:r>
    </w:p>
    <w:p w14:paraId="56900996" w14:textId="77777777" w:rsidR="000561ED" w:rsidRDefault="000561ED" w:rsidP="00E347BE">
      <w:pPr>
        <w:pStyle w:val="Paragrafoelenco"/>
        <w:numPr>
          <w:ilvl w:val="0"/>
          <w:numId w:val="45"/>
        </w:numPr>
        <w:spacing w:after="120" w:line="240" w:lineRule="auto"/>
        <w:ind w:left="1134"/>
        <w:contextualSpacing w:val="0"/>
      </w:pPr>
      <w:r>
        <w:t>Vi è una generale convergenza di opinioni tra i giovani imprenditori sulla rilevanza della formazione quale strumento di acquisizione di conoscenze e competenze sempre più complesse e localmente specifiche necessarie al successo della propria impresa.  </w:t>
      </w:r>
    </w:p>
    <w:p w14:paraId="6ECCB281" w14:textId="77777777" w:rsidR="000561ED" w:rsidRDefault="000561ED" w:rsidP="00E347BE">
      <w:pPr>
        <w:pStyle w:val="Paragrafoelenco"/>
        <w:numPr>
          <w:ilvl w:val="0"/>
          <w:numId w:val="46"/>
        </w:numPr>
        <w:spacing w:after="120" w:line="240" w:lineRule="auto"/>
        <w:ind w:left="1134"/>
        <w:contextualSpacing w:val="0"/>
      </w:pPr>
      <w:r>
        <w:t xml:space="preserve">La crescente richiesta di sostenibilità dei processi agricoli e di salubrità e qualità dei prodotti alimentari sembra far convergere l’attenzione dei giovani prioritariamente sulle tecniche di produzione sia nel caso di allevamenti che di orientamenti colturali vegetali. Una opinione questa che accomuna sia i giovani nei primi anni di insediamento sia quelli con maggiore esperienza in termini di anni. Entrambe queste categorie di giovani agricoltori sembrano avere idee molto chiare rispetto a quanto debba essere internalizzato nell’impresa e nell’imprenditore, in termini di conoscenze e competenze, e quanto possa, invece, essere delegato a consulenti esterni. Tra le competenze da fare proprie, come detto, quelle relative alle tecniche di produzione e di gestione dei processi produttivi e all’introduzione di innovazioni; le seconde riguardano quelle relative all’amministrazione e alla contabilità dell’impresa, al rapporto con il mercato dei capitali e alla conoscenza delle normative.   </w:t>
      </w:r>
    </w:p>
    <w:p w14:paraId="3DE8F819" w14:textId="6020105A" w:rsidR="000561ED" w:rsidRDefault="000561ED" w:rsidP="00E347BE">
      <w:pPr>
        <w:pStyle w:val="Paragrafoelenco"/>
        <w:numPr>
          <w:ilvl w:val="0"/>
          <w:numId w:val="47"/>
        </w:numPr>
        <w:spacing w:after="120" w:line="240" w:lineRule="auto"/>
        <w:ind w:left="1134"/>
        <w:contextualSpacing w:val="0"/>
      </w:pPr>
      <w:r>
        <w:t xml:space="preserve">Dal campione esaminato emerge che poco più di un terzo degli intervistati ha frequentato un corso “professionalizzante” per rispondere a quanto richiesto dalla regolamentazione Comunitaria in termini di capacità professionali per l’accesso al premio di primo insediamento. In relazione agli argomenti trattati si evince con estrema chiarezza come quelli riguardanti gli aspetti normativi siano stati i più trattati, seguiti subito dietro dagli argomenti riguardanti gli aspetti generali produttivi del settore vegetale e animale. </w:t>
      </w:r>
    </w:p>
    <w:p w14:paraId="2D82AD07" w14:textId="50E98F58" w:rsidR="000561ED" w:rsidRDefault="000561ED" w:rsidP="00E347BE">
      <w:pPr>
        <w:pStyle w:val="Paragrafoelenco"/>
        <w:numPr>
          <w:ilvl w:val="0"/>
          <w:numId w:val="48"/>
        </w:numPr>
        <w:spacing w:after="120" w:line="240" w:lineRule="auto"/>
        <w:ind w:left="1134" w:hanging="357"/>
        <w:contextualSpacing w:val="0"/>
      </w:pPr>
      <w:r>
        <w:t>In questo si nota una prima contraddizione rispetto alle necessità dei giovani imprenditori che pongono al terzo posto, in termini di importanza, le conoscenze di tipo normativo e</w:t>
      </w:r>
      <w:r w:rsidR="00652E51">
        <w:t xml:space="preserve"> </w:t>
      </w:r>
      <w:r>
        <w:t xml:space="preserve">al primo invece quelle inerenti </w:t>
      </w:r>
      <w:r w:rsidR="00382DDD">
        <w:t>al</w:t>
      </w:r>
      <w:r>
        <w:t>le tecniche di produzione vegetale e di allevamento. Importante è anche la parte che viene lasciata al tema della commercializzazione dei prodotti, nonché all’aspetto delle innovazioni e dell’introduzione delle stesse nelle realtà agricole ‐ rurali. Solo un numero ridotto di giovani fa riferimento alla presenza nel corso di argomenti riguardanti l’accesso al credito e</w:t>
      </w:r>
      <w:r w:rsidR="00382DDD">
        <w:t xml:space="preserve"> </w:t>
      </w:r>
      <w:r>
        <w:t xml:space="preserve">dai finanziamenti, agli strumenti agevolativi esistenti, agli aspetti amministrativi e alle attività connesse all’agricoltura. </w:t>
      </w:r>
    </w:p>
    <w:p w14:paraId="0934A623" w14:textId="569B0820" w:rsidR="000561ED" w:rsidRDefault="00382DDD" w:rsidP="00E347BE">
      <w:pPr>
        <w:pStyle w:val="Paragrafoelenco"/>
        <w:numPr>
          <w:ilvl w:val="0"/>
          <w:numId w:val="48"/>
        </w:numPr>
        <w:spacing w:after="120" w:line="240" w:lineRule="auto"/>
        <w:ind w:left="1134" w:hanging="357"/>
        <w:contextualSpacing w:val="0"/>
      </w:pPr>
      <w:r>
        <w:t>N</w:t>
      </w:r>
      <w:r w:rsidR="000561ED">
        <w:t xml:space="preserve">on sembrano sufficientemente trattati argomenti sempre più rilevanti per la gestione dell’impresa come quelli riguardanti il controllo di gestione e la gestione finanziaria dell’attività che costituiscono attualmente elementi chiave nel successo delle imprese soprattutto di quelle in fase di start‐up. </w:t>
      </w:r>
    </w:p>
    <w:p w14:paraId="43D62FDB" w14:textId="7C542E7B" w:rsidR="000561ED" w:rsidRDefault="000561ED" w:rsidP="00E347BE">
      <w:pPr>
        <w:pStyle w:val="Paragrafoelenco"/>
        <w:numPr>
          <w:ilvl w:val="0"/>
          <w:numId w:val="48"/>
        </w:numPr>
        <w:spacing w:after="120" w:line="240" w:lineRule="auto"/>
        <w:ind w:left="1134"/>
        <w:contextualSpacing w:val="0"/>
      </w:pPr>
      <w:r>
        <w:t>La maggioranza degli intervistati si dichiara soddisfatto, sia del corso nel suo complesso, sia degli argomenti trattati con particolare apprezzamento laddove sono stat</w:t>
      </w:r>
      <w:r w:rsidR="00652E51">
        <w:t>i</w:t>
      </w:r>
      <w:r>
        <w:t xml:space="preserve"> trattati aspetti relativi alle </w:t>
      </w:r>
      <w:r>
        <w:lastRenderedPageBreak/>
        <w:t xml:space="preserve">tecniche colturali e di allevamento e alle principali innovazioni che riguardano questa attività, e ciò in coerenza con le opinioni descritte riguardo alle conoscenze e competenze proprie di un imprenditore agricolo di successo.   </w:t>
      </w:r>
    </w:p>
    <w:p w14:paraId="0AF6C5AB" w14:textId="301A0568" w:rsidR="000561ED" w:rsidRDefault="000561ED" w:rsidP="00382DDD">
      <w:pPr>
        <w:pStyle w:val="Paragrafoelenco"/>
        <w:numPr>
          <w:ilvl w:val="0"/>
          <w:numId w:val="18"/>
        </w:numPr>
        <w:spacing w:after="120" w:line="240" w:lineRule="auto"/>
        <w:contextualSpacing w:val="0"/>
      </w:pPr>
      <w:r>
        <w:t>Emerge la necessità di strutturare un adeguato network post corsi professionalizzanti al fine di mantenere vivi e continui i contatti che si vengono a i</w:t>
      </w:r>
      <w:r w:rsidR="00652E51">
        <w:t>n</w:t>
      </w:r>
      <w:r>
        <w:t xml:space="preserve">staurare tra le varie realtà agricole e rurali. Viene data estrema importanza alla possibilità di </w:t>
      </w:r>
      <w:r w:rsidR="00652E51">
        <w:t>avviare</w:t>
      </w:r>
      <w:r>
        <w:t xml:space="preserve"> rapporti personali duraturi durante il corso e mantenere tali rapporti in futuro allo scopo di facilitare lo scambio di informazioni e di esperienze in merito all’introduzione di innovazioni di processo e/o di prodotto nelle proprie aziende e sulle tecniche e processi di produzione. </w:t>
      </w:r>
    </w:p>
    <w:p w14:paraId="3809F42F" w14:textId="64565B5A" w:rsidR="000561ED" w:rsidRDefault="000561ED" w:rsidP="00382DDD">
      <w:pPr>
        <w:pStyle w:val="Paragrafoelenco"/>
        <w:numPr>
          <w:ilvl w:val="0"/>
          <w:numId w:val="18"/>
        </w:numPr>
        <w:spacing w:after="120" w:line="240" w:lineRule="auto"/>
        <w:contextualSpacing w:val="0"/>
      </w:pPr>
      <w:r>
        <w:t xml:space="preserve">Vi </w:t>
      </w:r>
      <w:r w:rsidR="00652E51">
        <w:t>è</w:t>
      </w:r>
      <w:r>
        <w:t xml:space="preserve"> una forte consapevolezza nei giovani imprenditori della necessità di una informazione/formazione continua basata sull’interazione non solo con il “sistema istituzionale della conoscenza” (enti di ricerca    e trasferimento tecnologico), ma con altri agricoltori “esperti”, nel senso letterale della parola e cioè con chi ha affrontato già il problema, ne ha avuto esperienza e ne ha trovato soluzioni di successo che possono essere trasferite anche se con le dovute contestualizzazioni alla propria azienda. </w:t>
      </w:r>
    </w:p>
    <w:p w14:paraId="70E9785A" w14:textId="198EA5AD" w:rsidR="000561ED" w:rsidRDefault="000561ED" w:rsidP="00382DDD">
      <w:pPr>
        <w:pStyle w:val="Paragrafoelenco"/>
        <w:numPr>
          <w:ilvl w:val="0"/>
          <w:numId w:val="18"/>
        </w:numPr>
        <w:spacing w:after="120" w:line="240" w:lineRule="auto"/>
        <w:contextualSpacing w:val="0"/>
      </w:pPr>
      <w:r>
        <w:t>A questo scopo, l'I</w:t>
      </w:r>
      <w:r w:rsidR="00652E51">
        <w:t>SMEA</w:t>
      </w:r>
      <w:r>
        <w:t xml:space="preserve">, nell'ambito delle attività finanziate dal programma Rete Rurale Nazionale 2017/2018, ha indetto un Avviso di iscrizione all'elenco </w:t>
      </w:r>
      <w:proofErr w:type="spellStart"/>
      <w:r>
        <w:t>FarmLab</w:t>
      </w:r>
      <w:proofErr w:type="spellEnd"/>
      <w:r>
        <w:t xml:space="preserve"> rivolto a imprenditori agricoli che hanno attuato con successo una o p</w:t>
      </w:r>
      <w:r w:rsidR="002A2C67">
        <w:t>iù buone pratiche e che sono</w:t>
      </w:r>
      <w:r>
        <w:t xml:space="preserve"> disponibili a offrire, presso la propria azienda, un periodo di formazione "sul campo" a giovani agricoltori e altri imprenditori agricoli, con lo scopo di  favorire l'individuazione di scelte tecniche, organizzative e produttive sostenibili per lo start up di imprese, il miglioramento complessivo della gestione dell'impresa e l'introduzione di innovazioni. La costituzione dell'elenco si configura come un supporto alle Autorità di Gestione (</w:t>
      </w:r>
      <w:proofErr w:type="spellStart"/>
      <w:r>
        <w:t>AdG</w:t>
      </w:r>
      <w:proofErr w:type="spellEnd"/>
      <w:r>
        <w:t xml:space="preserve">) dei Programmi di Sviluppo Rurale (PSR) per una più efficace implementazione delle azioni della Misura 1 "Trasferimento di conoscenze e azioni d'informazione", in particolare la sottomisura 1.3 focalizzata sulle visite e gli scambi aziendali. Le attività di formazione saranno rivolte, infatti, a destinatari individuati nei bandi delle Regioni che attivano la Misura 1 nell'ambito del proprio Programma di Sviluppo Rurale 2014-2020. </w:t>
      </w:r>
    </w:p>
    <w:p w14:paraId="47BB0743" w14:textId="2F057696" w:rsidR="000561ED" w:rsidRDefault="000561ED" w:rsidP="00382DDD">
      <w:pPr>
        <w:pStyle w:val="Paragrafoelenco"/>
        <w:numPr>
          <w:ilvl w:val="0"/>
          <w:numId w:val="18"/>
        </w:numPr>
        <w:spacing w:after="120" w:line="240" w:lineRule="auto"/>
        <w:contextualSpacing w:val="0"/>
      </w:pPr>
      <w:r>
        <w:t xml:space="preserve">Altri casi interessanti di networking sono rappresentati dal portale </w:t>
      </w:r>
      <w:proofErr w:type="spellStart"/>
      <w:r>
        <w:t>Innovarurale</w:t>
      </w:r>
      <w:proofErr w:type="spellEnd"/>
      <w:r>
        <w:t xml:space="preserve">, il portale della </w:t>
      </w:r>
      <w:hyperlink r:id="rId30" w:history="1">
        <w:r w:rsidRPr="00283DE4">
          <w:t>conoscenza</w:t>
        </w:r>
      </w:hyperlink>
      <w:r w:rsidRPr="00283DE4">
        <w:t xml:space="preserve"> e dell’ </w:t>
      </w:r>
      <w:hyperlink r:id="rId31" w:history="1">
        <w:r w:rsidRPr="00283DE4">
          <w:t>innovazione</w:t>
        </w:r>
      </w:hyperlink>
      <w:r w:rsidRPr="00283DE4">
        <w:t>. Tale portale è soprattutto uno strumento di scambio e diffusione di informazioni e quindi un</w:t>
      </w:r>
      <w:r>
        <w:t>’opportunità per arricchire le proprie conoscenze e avviare confronti e incontri. Obiettivo di lungo periodo è coinvolgere più soggetti del vasto sistema della conoscenza e dell’innovazione per condividere esperienze, mettere a disposizione soluzioni innovative, rendere disponibili competenze. </w:t>
      </w:r>
    </w:p>
    <w:p w14:paraId="6D1264D6" w14:textId="304F55C1" w:rsidR="000561ED" w:rsidRDefault="000561ED" w:rsidP="00382DDD">
      <w:pPr>
        <w:pStyle w:val="Paragrafoelenco"/>
        <w:numPr>
          <w:ilvl w:val="0"/>
          <w:numId w:val="18"/>
        </w:numPr>
        <w:spacing w:after="120" w:line="240" w:lineRule="auto"/>
        <w:contextualSpacing w:val="0"/>
      </w:pPr>
      <w:r>
        <w:t>I due terzi dei giovani imprenditori intervistati dichiarano di essere interessati a ulteriori att</w:t>
      </w:r>
      <w:r w:rsidR="002A2C67">
        <w:t xml:space="preserve">ività di formazione. Tra queste </w:t>
      </w:r>
      <w:r>
        <w:t>quelle che sembrano riscuotere maggiore successo da parte dei giovani intervistati sono la partecipazione a convegni/seminari e a corsi di formazione/stage di durata di due tre giorni massimo e, infine,</w:t>
      </w:r>
      <w:r w:rsidR="002A2C67">
        <w:t xml:space="preserve"> </w:t>
      </w:r>
      <w:r>
        <w:t xml:space="preserve">la partecipazione a fiere. </w:t>
      </w:r>
    </w:p>
    <w:p w14:paraId="75B35B3A" w14:textId="77777777" w:rsidR="000561ED" w:rsidRDefault="000561ED" w:rsidP="00382DDD">
      <w:pPr>
        <w:pStyle w:val="Paragrafoelenco"/>
        <w:numPr>
          <w:ilvl w:val="0"/>
          <w:numId w:val="18"/>
        </w:numPr>
        <w:spacing w:after="120" w:line="240" w:lineRule="auto"/>
        <w:contextualSpacing w:val="0"/>
      </w:pPr>
      <w:r>
        <w:t>Vi è scarsa esperienza e quindi attesa rispetto a nuove forme e metodi di formazione come la formazione a distanza, che appare poco utilizzata sia nei corsi professionalizzanti sia negli altri corsi.</w:t>
      </w:r>
    </w:p>
    <w:p w14:paraId="7CBFB913" w14:textId="77777777" w:rsidR="000561ED" w:rsidRDefault="000561ED" w:rsidP="00382DDD">
      <w:pPr>
        <w:pStyle w:val="Paragrafoelenco"/>
        <w:numPr>
          <w:ilvl w:val="0"/>
          <w:numId w:val="18"/>
        </w:numPr>
        <w:spacing w:after="120" w:line="240" w:lineRule="auto"/>
        <w:contextualSpacing w:val="0"/>
      </w:pPr>
      <w:r>
        <w:t xml:space="preserve">Gli investimenti nelle infrastrutture per la banda larga e l’evoluzione degli strumenti e metodologie di e‐learning unite alla diffusione di social network tematici e specializzati sul web, possono contribuire notevolmente alla diffusione di questi strumenti che sono molto adeguati ad una formazione “personalizzata” e “on‐demand” che sembra avvicinarsi maggiormente alle necessità dei giovani imprenditori. Si tratta infatti di strumenti che consentono l’incontro e scambio di conoscenze e la loro elaborazione anche a distanza (tra tecnici, esperti ricercatori e agricoltori ed anche tra agricoltori stessi) anche nel caso di problematiche fortemente contestualizzate come sono quelle relative a tecniche e processi produttivi caratterizzati da una forte sostenibilità ambientale. </w:t>
      </w:r>
      <w:r>
        <w:lastRenderedPageBreak/>
        <w:t xml:space="preserve">Strumenti che però non possono sostituire del tutto i luoghi classici dello scambio delle informazioni, dell’ibridizzazione delle conoscenze, della validazione delle innovazioni come convegni, seminari e fiere che sono considerate dai giovani, come detto, i luoghi privilegiati e preferiti per questo tipo di attività. </w:t>
      </w:r>
    </w:p>
    <w:p w14:paraId="512B5C47" w14:textId="67B2B130" w:rsidR="000561ED" w:rsidRDefault="000561ED" w:rsidP="00382DDD">
      <w:pPr>
        <w:pStyle w:val="Paragrafoelenco"/>
        <w:numPr>
          <w:ilvl w:val="0"/>
          <w:numId w:val="18"/>
        </w:numPr>
        <w:spacing w:after="120" w:line="240" w:lineRule="auto"/>
        <w:contextualSpacing w:val="0"/>
      </w:pPr>
      <w:r>
        <w:t>Infine, con riferimento alla relazione tra giovani e innovazione, la propensione ad innovare è propria degli under 35. Secondo dati Nomisma riportati dalla rivista Terra e Vita</w:t>
      </w:r>
      <w:r>
        <w:rPr>
          <w:rStyle w:val="Rimandonotaapidipagina"/>
        </w:rPr>
        <w:footnoteReference w:id="24"/>
      </w:r>
      <w:r>
        <w:t>, dal 2016 al 2019, il 22% delle aziende agricole ha investito in strumenti per l’agricoltura 4.0 e la maggior parte sono imprese con un organico composto prevalentemente da millennial.</w:t>
      </w:r>
    </w:p>
    <w:p w14:paraId="077FE344" w14:textId="23977F06" w:rsidR="000561ED" w:rsidRDefault="000561ED" w:rsidP="00382DDD">
      <w:pPr>
        <w:pStyle w:val="Paragrafoelenco"/>
        <w:numPr>
          <w:ilvl w:val="0"/>
          <w:numId w:val="18"/>
        </w:numPr>
        <w:spacing w:after="120" w:line="240" w:lineRule="auto"/>
        <w:contextualSpacing w:val="0"/>
      </w:pPr>
      <w:r>
        <w:t xml:space="preserve">Dati positivi quindi, ma a cui si affianca qualche ombra, come le lacune infrastrutturali del nostro Paese. Sempre secondo la rivista Terra e Vita, rispetto agli altri Stati europei, l’Italia si colloca al </w:t>
      </w:r>
      <w:proofErr w:type="gramStart"/>
      <w:r>
        <w:t>20esimo</w:t>
      </w:r>
      <w:proofErr w:type="gramEnd"/>
      <w:r>
        <w:t xml:space="preserve"> posto per l’accesso a internet sulla base di dati forniti dalla Commissione Ue (2017). Anche per disponibilità di banda larga, utilizzo di internet per servizi e adempimenti, nonché per e-commerce, il nostro Paese resta nelle retrovie in Europa, al 23° posto.</w:t>
      </w:r>
    </w:p>
    <w:p w14:paraId="29423778" w14:textId="77777777" w:rsidR="000561ED" w:rsidRDefault="000561ED" w:rsidP="000561ED">
      <w:pPr>
        <w:pStyle w:val="Paragrafoelenco"/>
        <w:spacing w:after="120"/>
        <w:sectPr w:rsidR="000561ED" w:rsidSect="007F28A3">
          <w:headerReference w:type="default" r:id="rId32"/>
          <w:footerReference w:type="default" r:id="rId33"/>
          <w:pgSz w:w="11906" w:h="16838"/>
          <w:pgMar w:top="1417" w:right="1134" w:bottom="1134" w:left="1134" w:header="708" w:footer="419" w:gutter="0"/>
          <w:cols w:space="708"/>
          <w:docGrid w:linePitch="360"/>
        </w:sectPr>
      </w:pPr>
    </w:p>
    <w:p w14:paraId="355A8085" w14:textId="7286A7F2" w:rsidR="00BE098A" w:rsidRDefault="009404EF" w:rsidP="000C7F95">
      <w:pPr>
        <w:pStyle w:val="Titolo1"/>
        <w:numPr>
          <w:ilvl w:val="0"/>
          <w:numId w:val="10"/>
        </w:numPr>
        <w:spacing w:before="120" w:after="0"/>
        <w:ind w:left="641" w:hanging="357"/>
      </w:pPr>
      <w:bookmarkStart w:id="25" w:name="_Toc22736710"/>
      <w:r>
        <w:lastRenderedPageBreak/>
        <w:t>Il sostegno</w:t>
      </w:r>
      <w:r w:rsidR="00BE098A">
        <w:t xml:space="preserve"> d</w:t>
      </w:r>
      <w:r w:rsidR="00BE098A" w:rsidRPr="00CA659B">
        <w:t xml:space="preserve">ella </w:t>
      </w:r>
      <w:r>
        <w:t>p</w:t>
      </w:r>
      <w:r w:rsidR="00BE098A" w:rsidRPr="00CA659B">
        <w:t>olitica di sviluppo rurale</w:t>
      </w:r>
      <w:r w:rsidR="00BE098A">
        <w:t xml:space="preserve"> all’imprenditoria giovanile</w:t>
      </w:r>
      <w:bookmarkEnd w:id="25"/>
    </w:p>
    <w:p w14:paraId="6C0134AC" w14:textId="77777777" w:rsidR="00BE098A" w:rsidRDefault="00BE098A" w:rsidP="000C7F95">
      <w:pPr>
        <w:pStyle w:val="Titolo2"/>
        <w:numPr>
          <w:ilvl w:val="1"/>
          <w:numId w:val="11"/>
        </w:numPr>
        <w:spacing w:after="80"/>
        <w:ind w:left="1276" w:hanging="567"/>
      </w:pPr>
      <w:bookmarkStart w:id="26" w:name="_Toc22736711"/>
      <w:r>
        <w:t>La politica di sviluppo rurale 2007-2013</w:t>
      </w:r>
      <w:bookmarkEnd w:id="26"/>
    </w:p>
    <w:p w14:paraId="07E6A067" w14:textId="1775D284" w:rsidR="000561ED" w:rsidRDefault="000561ED" w:rsidP="00652E51">
      <w:pPr>
        <w:spacing w:after="120" w:line="240" w:lineRule="auto"/>
        <w:rPr>
          <w:rFonts w:cstheme="minorHAnsi"/>
          <w:color w:val="000000" w:themeColor="text1"/>
        </w:rPr>
      </w:pPr>
      <w:r>
        <w:t>Nel</w:t>
      </w:r>
      <w:r>
        <w:rPr>
          <w:rFonts w:cstheme="minorHAnsi"/>
          <w:color w:val="000000" w:themeColor="text1"/>
        </w:rPr>
        <w:t xml:space="preserve"> periodo 2007-2013, la politica per il ricambio generazionale presenta</w:t>
      </w:r>
      <w:r w:rsidRPr="00A6685B">
        <w:rPr>
          <w:rFonts w:cstheme="minorHAnsi"/>
          <w:color w:val="000000" w:themeColor="text1"/>
        </w:rPr>
        <w:t xml:space="preserve"> </w:t>
      </w:r>
      <w:r>
        <w:rPr>
          <w:rFonts w:cstheme="minorHAnsi"/>
          <w:color w:val="000000" w:themeColor="text1"/>
        </w:rPr>
        <w:t>importanti</w:t>
      </w:r>
      <w:r w:rsidRPr="00A6685B">
        <w:rPr>
          <w:rFonts w:cstheme="minorHAnsi"/>
          <w:color w:val="000000" w:themeColor="text1"/>
        </w:rPr>
        <w:t xml:space="preserve"> novità rispetto al</w:t>
      </w:r>
      <w:r>
        <w:rPr>
          <w:rFonts w:cstheme="minorHAnsi"/>
          <w:color w:val="000000" w:themeColor="text1"/>
        </w:rPr>
        <w:t xml:space="preserve">la precedente programmazione 2000-2006. In particolare, </w:t>
      </w:r>
      <w:r w:rsidRPr="00A6685B">
        <w:rPr>
          <w:rFonts w:cstheme="minorHAnsi"/>
          <w:color w:val="000000" w:themeColor="text1"/>
        </w:rPr>
        <w:t xml:space="preserve">le due misure tipicamente associate al concetto di ricambio generazionale – 112 </w:t>
      </w:r>
      <w:r>
        <w:rPr>
          <w:rFonts w:cstheme="minorHAnsi"/>
          <w:color w:val="000000" w:themeColor="text1"/>
        </w:rPr>
        <w:t>“</w:t>
      </w:r>
      <w:r w:rsidRPr="00A6685B">
        <w:rPr>
          <w:rFonts w:cstheme="minorHAnsi"/>
          <w:color w:val="000000" w:themeColor="text1"/>
        </w:rPr>
        <w:t>insediamento di giovani agricoltori</w:t>
      </w:r>
      <w:r>
        <w:rPr>
          <w:rFonts w:cstheme="minorHAnsi"/>
          <w:color w:val="000000" w:themeColor="text1"/>
        </w:rPr>
        <w:t>”</w:t>
      </w:r>
      <w:r w:rsidRPr="00A6685B">
        <w:rPr>
          <w:rFonts w:cstheme="minorHAnsi"/>
          <w:color w:val="000000" w:themeColor="text1"/>
        </w:rPr>
        <w:t xml:space="preserve"> e 113 </w:t>
      </w:r>
      <w:r>
        <w:rPr>
          <w:rFonts w:cstheme="minorHAnsi"/>
          <w:color w:val="000000" w:themeColor="text1"/>
        </w:rPr>
        <w:t>“</w:t>
      </w:r>
      <w:r w:rsidRPr="00A6685B">
        <w:rPr>
          <w:rFonts w:cstheme="minorHAnsi"/>
          <w:color w:val="000000" w:themeColor="text1"/>
        </w:rPr>
        <w:t>prepensionamento di agricoltori e lavoratori agricoli</w:t>
      </w:r>
      <w:r>
        <w:rPr>
          <w:rFonts w:cstheme="minorHAnsi"/>
          <w:color w:val="000000" w:themeColor="text1"/>
        </w:rPr>
        <w:t>”</w:t>
      </w:r>
      <w:r w:rsidRPr="00A6685B">
        <w:rPr>
          <w:rFonts w:cstheme="minorHAnsi"/>
          <w:color w:val="000000" w:themeColor="text1"/>
        </w:rPr>
        <w:t xml:space="preserve"> – </w:t>
      </w:r>
      <w:r>
        <w:rPr>
          <w:rFonts w:cstheme="minorHAnsi"/>
          <w:color w:val="000000" w:themeColor="text1"/>
        </w:rPr>
        <w:t>sono</w:t>
      </w:r>
      <w:r w:rsidRPr="00A6685B">
        <w:rPr>
          <w:rFonts w:cstheme="minorHAnsi"/>
          <w:color w:val="000000" w:themeColor="text1"/>
        </w:rPr>
        <w:t xml:space="preserve"> </w:t>
      </w:r>
      <w:r>
        <w:rPr>
          <w:rFonts w:cstheme="minorHAnsi"/>
          <w:color w:val="000000" w:themeColor="text1"/>
        </w:rPr>
        <w:t xml:space="preserve">per la prima volta state </w:t>
      </w:r>
      <w:r w:rsidRPr="00A6685B">
        <w:rPr>
          <w:rFonts w:cstheme="minorHAnsi"/>
          <w:color w:val="000000" w:themeColor="text1"/>
        </w:rPr>
        <w:t>accomunate sotto l’obiettivo specifico del potenziamento del capitale umano e inserite in un insieme coerente di misure che comprende anche la formazione e l’informazione, il ricorso ai servizi di consulenza e l’avvio di servizi di gestione e sostituzione.</w:t>
      </w:r>
      <w:r>
        <w:rPr>
          <w:rFonts w:cstheme="minorHAnsi"/>
          <w:color w:val="000000" w:themeColor="text1"/>
        </w:rPr>
        <w:t xml:space="preserve"> P</w:t>
      </w:r>
      <w:r w:rsidRPr="00A6685B">
        <w:rPr>
          <w:rFonts w:cstheme="minorHAnsi"/>
          <w:color w:val="000000" w:themeColor="text1"/>
        </w:rPr>
        <w:t xml:space="preserve">er la prima volta, il ricambio generazionale </w:t>
      </w:r>
      <w:r w:rsidR="00652E51">
        <w:rPr>
          <w:rFonts w:cstheme="minorHAnsi"/>
          <w:color w:val="000000" w:themeColor="text1"/>
        </w:rPr>
        <w:t>è</w:t>
      </w:r>
      <w:r w:rsidRPr="00A6685B">
        <w:rPr>
          <w:rFonts w:cstheme="minorHAnsi"/>
          <w:color w:val="000000" w:themeColor="text1"/>
        </w:rPr>
        <w:t xml:space="preserve"> associato anche dal punto di vista concettuale al potenziamento del capitale umano</w:t>
      </w:r>
      <w:r w:rsidRPr="00113801">
        <w:rPr>
          <w:rFonts w:cstheme="minorHAnsi"/>
          <w:color w:val="000000" w:themeColor="text1"/>
        </w:rPr>
        <w:t xml:space="preserve"> </w:t>
      </w:r>
      <w:r>
        <w:rPr>
          <w:rFonts w:cstheme="minorHAnsi"/>
          <w:color w:val="000000" w:themeColor="text1"/>
        </w:rPr>
        <w:t>(</w:t>
      </w:r>
      <w:proofErr w:type="spellStart"/>
      <w:r>
        <w:rPr>
          <w:rFonts w:cstheme="minorHAnsi"/>
          <w:color w:val="000000" w:themeColor="text1"/>
        </w:rPr>
        <w:t>Giuliodori</w:t>
      </w:r>
      <w:proofErr w:type="spellEnd"/>
      <w:r>
        <w:rPr>
          <w:rFonts w:cstheme="minorHAnsi"/>
          <w:color w:val="000000" w:themeColor="text1"/>
        </w:rPr>
        <w:t xml:space="preserve"> </w:t>
      </w:r>
      <w:r w:rsidRPr="00A6685B">
        <w:rPr>
          <w:rFonts w:cstheme="minorHAnsi"/>
          <w:color w:val="000000" w:themeColor="text1"/>
        </w:rPr>
        <w:t xml:space="preserve">in </w:t>
      </w:r>
      <w:proofErr w:type="spellStart"/>
      <w:r w:rsidRPr="00A6685B">
        <w:rPr>
          <w:rFonts w:cstheme="minorHAnsi"/>
          <w:color w:val="000000" w:themeColor="text1"/>
        </w:rPr>
        <w:t>Sotte</w:t>
      </w:r>
      <w:proofErr w:type="spellEnd"/>
      <w:r w:rsidRPr="00A6685B">
        <w:rPr>
          <w:rFonts w:cstheme="minorHAnsi"/>
          <w:color w:val="000000" w:themeColor="text1"/>
        </w:rPr>
        <w:t>, 2009</w:t>
      </w:r>
      <w:r>
        <w:rPr>
          <w:rFonts w:cstheme="minorHAnsi"/>
          <w:color w:val="000000" w:themeColor="text1"/>
        </w:rPr>
        <w:t>)</w:t>
      </w:r>
      <w:r w:rsidRPr="00A6685B">
        <w:rPr>
          <w:rFonts w:cstheme="minorHAnsi"/>
          <w:color w:val="000000" w:themeColor="text1"/>
        </w:rPr>
        <w:t xml:space="preserve">. </w:t>
      </w:r>
    </w:p>
    <w:p w14:paraId="35A435DB" w14:textId="77777777" w:rsidR="000561ED" w:rsidRDefault="000561ED" w:rsidP="00652E51">
      <w:pPr>
        <w:spacing w:after="120" w:line="240" w:lineRule="auto"/>
        <w:rPr>
          <w:rFonts w:cstheme="minorHAnsi"/>
          <w:color w:val="000000" w:themeColor="text1"/>
        </w:rPr>
      </w:pPr>
      <w:r w:rsidRPr="00A6685B">
        <w:rPr>
          <w:rFonts w:cstheme="minorHAnsi"/>
          <w:color w:val="000000" w:themeColor="text1"/>
        </w:rPr>
        <w:t xml:space="preserve">La </w:t>
      </w:r>
      <w:r w:rsidRPr="00BF1C58">
        <w:rPr>
          <w:rFonts w:cstheme="minorHAnsi"/>
          <w:b/>
          <w:color w:val="000000" w:themeColor="text1"/>
        </w:rPr>
        <w:t xml:space="preserve">misura </w:t>
      </w:r>
      <w:r>
        <w:rPr>
          <w:rFonts w:cstheme="minorHAnsi"/>
          <w:b/>
          <w:color w:val="000000" w:themeColor="text1"/>
        </w:rPr>
        <w:t xml:space="preserve">113 </w:t>
      </w:r>
      <w:r w:rsidRPr="00BF1C58">
        <w:rPr>
          <w:rFonts w:cstheme="minorHAnsi"/>
          <w:b/>
          <w:color w:val="000000" w:themeColor="text1"/>
        </w:rPr>
        <w:t xml:space="preserve">di </w:t>
      </w:r>
      <w:proofErr w:type="gramStart"/>
      <w:r w:rsidRPr="00BF1C58">
        <w:rPr>
          <w:rFonts w:cstheme="minorHAnsi"/>
          <w:b/>
          <w:color w:val="000000" w:themeColor="text1"/>
        </w:rPr>
        <w:t>pre-pensionamento</w:t>
      </w:r>
      <w:proofErr w:type="gramEnd"/>
      <w:r w:rsidRPr="00BF1C58">
        <w:rPr>
          <w:rFonts w:cstheme="minorHAnsi"/>
          <w:b/>
          <w:color w:val="000000" w:themeColor="text1"/>
        </w:rPr>
        <w:t xml:space="preserve"> </w:t>
      </w:r>
      <w:r w:rsidRPr="00A6685B">
        <w:rPr>
          <w:rFonts w:cstheme="minorHAnsi"/>
          <w:color w:val="000000" w:themeColor="text1"/>
        </w:rPr>
        <w:t xml:space="preserve">ha registrato scarsissime adesioni </w:t>
      </w:r>
      <w:r>
        <w:rPr>
          <w:rFonts w:cstheme="minorHAnsi"/>
          <w:color w:val="000000" w:themeColor="text1"/>
        </w:rPr>
        <w:t xml:space="preserve">già </w:t>
      </w:r>
      <w:r w:rsidRPr="00A6685B">
        <w:rPr>
          <w:rFonts w:cstheme="minorHAnsi"/>
          <w:color w:val="000000" w:themeColor="text1"/>
        </w:rPr>
        <w:t>nel periodo di programmazione 2000-2006. Alla luce degli scarsi risultati ottenuti, nei P</w:t>
      </w:r>
      <w:r>
        <w:rPr>
          <w:rFonts w:cstheme="minorHAnsi"/>
          <w:color w:val="000000" w:themeColor="text1"/>
        </w:rPr>
        <w:t>SR</w:t>
      </w:r>
      <w:r w:rsidRPr="00A6685B">
        <w:rPr>
          <w:rFonts w:cstheme="minorHAnsi"/>
          <w:color w:val="000000" w:themeColor="text1"/>
        </w:rPr>
        <w:t xml:space="preserve"> 2007-2013</w:t>
      </w:r>
      <w:r>
        <w:rPr>
          <w:rFonts w:cstheme="minorHAnsi"/>
          <w:color w:val="000000" w:themeColor="text1"/>
        </w:rPr>
        <w:t>,</w:t>
      </w:r>
      <w:r w:rsidRPr="00A6685B">
        <w:rPr>
          <w:rFonts w:cstheme="minorHAnsi"/>
          <w:color w:val="000000" w:themeColor="text1"/>
        </w:rPr>
        <w:t xml:space="preserve"> le Regioni </w:t>
      </w:r>
      <w:r>
        <w:rPr>
          <w:rFonts w:cstheme="minorHAnsi"/>
          <w:color w:val="000000" w:themeColor="text1"/>
        </w:rPr>
        <w:t xml:space="preserve">che </w:t>
      </w:r>
      <w:r w:rsidRPr="00A6685B">
        <w:rPr>
          <w:rFonts w:cstheme="minorHAnsi"/>
          <w:color w:val="000000" w:themeColor="text1"/>
        </w:rPr>
        <w:t xml:space="preserve">hanno scelto di attivare la misura </w:t>
      </w:r>
      <w:r>
        <w:rPr>
          <w:rFonts w:cstheme="minorHAnsi"/>
          <w:color w:val="000000" w:themeColor="text1"/>
        </w:rPr>
        <w:t xml:space="preserve">sono soltanto </w:t>
      </w:r>
      <w:r w:rsidRPr="00A6685B">
        <w:rPr>
          <w:rFonts w:cstheme="minorHAnsi"/>
          <w:color w:val="000000" w:themeColor="text1"/>
        </w:rPr>
        <w:t>Veneto, Liguria, Lazio, Abruzzo, Molise, Campania, Calabria</w:t>
      </w:r>
      <w:r>
        <w:rPr>
          <w:rFonts w:cstheme="minorHAnsi"/>
          <w:color w:val="000000" w:themeColor="text1"/>
        </w:rPr>
        <w:t>, con</w:t>
      </w:r>
      <w:r w:rsidRPr="00A6685B">
        <w:rPr>
          <w:rFonts w:cstheme="minorHAnsi"/>
          <w:color w:val="000000" w:themeColor="text1"/>
        </w:rPr>
        <w:t xml:space="preserve"> uno stanziamento finanziario trascurabile</w:t>
      </w:r>
      <w:r w:rsidRPr="00085CA4">
        <w:rPr>
          <w:rFonts w:cstheme="minorHAnsi"/>
          <w:color w:val="000000" w:themeColor="text1"/>
        </w:rPr>
        <w:t>.</w:t>
      </w:r>
      <w:r w:rsidRPr="00A6685B">
        <w:rPr>
          <w:rFonts w:cstheme="minorHAnsi"/>
          <w:color w:val="000000" w:themeColor="text1"/>
        </w:rPr>
        <w:t xml:space="preserve"> Inoltre, </w:t>
      </w:r>
      <w:r>
        <w:rPr>
          <w:rFonts w:cstheme="minorHAnsi"/>
          <w:color w:val="000000" w:themeColor="text1"/>
        </w:rPr>
        <w:t>ne</w:t>
      </w:r>
      <w:r w:rsidRPr="00A6685B">
        <w:rPr>
          <w:rFonts w:cstheme="minorHAnsi"/>
          <w:color w:val="000000" w:themeColor="text1"/>
        </w:rPr>
        <w:t>i P</w:t>
      </w:r>
      <w:r>
        <w:rPr>
          <w:rFonts w:cstheme="minorHAnsi"/>
          <w:color w:val="000000" w:themeColor="text1"/>
        </w:rPr>
        <w:t>SR</w:t>
      </w:r>
      <w:r w:rsidRPr="00A6685B">
        <w:rPr>
          <w:rFonts w:cstheme="minorHAnsi"/>
          <w:color w:val="000000" w:themeColor="text1"/>
        </w:rPr>
        <w:t xml:space="preserve"> delle regioni Piemonte, Lombardia, Marche, Puglia, Basilicata, Sicilia e Sardegna </w:t>
      </w:r>
      <w:r>
        <w:rPr>
          <w:rFonts w:cstheme="minorHAnsi"/>
          <w:color w:val="000000" w:themeColor="text1"/>
        </w:rPr>
        <w:t xml:space="preserve">sono stati </w:t>
      </w:r>
      <w:r w:rsidRPr="00A6685B">
        <w:rPr>
          <w:rFonts w:cstheme="minorHAnsi"/>
          <w:color w:val="000000" w:themeColor="text1"/>
        </w:rPr>
        <w:t>prev</w:t>
      </w:r>
      <w:r>
        <w:rPr>
          <w:rFonts w:cstheme="minorHAnsi"/>
          <w:color w:val="000000" w:themeColor="text1"/>
        </w:rPr>
        <w:t>isti</w:t>
      </w:r>
      <w:r w:rsidRPr="00A6685B">
        <w:rPr>
          <w:rFonts w:cstheme="minorHAnsi"/>
          <w:color w:val="000000" w:themeColor="text1"/>
        </w:rPr>
        <w:t xml:space="preserve"> finanziamenti soltanto pari ai trascinamenti dal periodo 2000-2006 senza immaginare, quindi, un futuro per questa </w:t>
      </w:r>
      <w:r>
        <w:rPr>
          <w:rFonts w:cstheme="minorHAnsi"/>
          <w:color w:val="000000" w:themeColor="text1"/>
        </w:rPr>
        <w:t>m</w:t>
      </w:r>
      <w:r w:rsidRPr="00A6685B">
        <w:rPr>
          <w:rFonts w:cstheme="minorHAnsi"/>
          <w:color w:val="000000" w:themeColor="text1"/>
        </w:rPr>
        <w:t>isura nella programmazione 2007-2013.</w:t>
      </w:r>
      <w:r>
        <w:rPr>
          <w:rFonts w:cstheme="minorHAnsi"/>
          <w:color w:val="000000" w:themeColor="text1"/>
        </w:rPr>
        <w:t xml:space="preserve"> Infine, la misura non è prevista tra gli strumenti della programmazione 2014-2020</w:t>
      </w:r>
      <w:r w:rsidRPr="00C875C2">
        <w:rPr>
          <w:rFonts w:cstheme="minorHAnsi"/>
          <w:color w:val="000000" w:themeColor="text1"/>
        </w:rPr>
        <w:t xml:space="preserve"> </w:t>
      </w:r>
      <w:r>
        <w:rPr>
          <w:rFonts w:cstheme="minorHAnsi"/>
          <w:color w:val="000000" w:themeColor="text1"/>
        </w:rPr>
        <w:t xml:space="preserve">rientrando, quindi, tra le così dette misure discontinue con una dotazione finanziaria di appena 15 milioni di euro a copertura degli impegni pluriennali precedentemente assunti e in fase di liquidazione.  </w:t>
      </w:r>
    </w:p>
    <w:p w14:paraId="77B2F35D" w14:textId="77777777" w:rsidR="000561ED" w:rsidRPr="00A6685B" w:rsidRDefault="000561ED" w:rsidP="00652E51">
      <w:pPr>
        <w:spacing w:after="120" w:line="240" w:lineRule="auto"/>
        <w:rPr>
          <w:rFonts w:cstheme="minorHAnsi"/>
          <w:color w:val="000000" w:themeColor="text1"/>
        </w:rPr>
      </w:pPr>
      <w:r w:rsidRPr="00A6685B">
        <w:rPr>
          <w:rFonts w:cstheme="minorHAnsi"/>
          <w:color w:val="000000" w:themeColor="text1"/>
        </w:rPr>
        <w:t xml:space="preserve">La </w:t>
      </w:r>
      <w:r w:rsidRPr="003149B7">
        <w:rPr>
          <w:rFonts w:cstheme="minorHAnsi"/>
          <w:b/>
          <w:color w:val="000000" w:themeColor="text1"/>
        </w:rPr>
        <w:t>misura 112</w:t>
      </w:r>
      <w:r>
        <w:rPr>
          <w:rFonts w:cstheme="minorHAnsi"/>
          <w:color w:val="000000" w:themeColor="text1"/>
        </w:rPr>
        <w:t xml:space="preserve"> </w:t>
      </w:r>
      <w:r w:rsidRPr="003149B7">
        <w:rPr>
          <w:rFonts w:cstheme="minorHAnsi"/>
          <w:b/>
          <w:color w:val="000000" w:themeColor="text1"/>
        </w:rPr>
        <w:t>di primo insediamento</w:t>
      </w:r>
      <w:r w:rsidRPr="00A6685B">
        <w:rPr>
          <w:rFonts w:cstheme="minorHAnsi"/>
          <w:color w:val="000000" w:themeColor="text1"/>
        </w:rPr>
        <w:t xml:space="preserve"> era finalizzata alla concessione di un premio ad agricoltori di età inferiore a quarant’anni, in possesso di conoscenze e competenze professionali adeguate, che si insediavano per la prima volta in un’azienda agricola in qualità di capo dell’azienda, dietro presentazione di un piano aziendale per lo sviluppo dell’attività agricola. </w:t>
      </w:r>
    </w:p>
    <w:p w14:paraId="272F2AB3" w14:textId="77777777" w:rsidR="000561ED" w:rsidRPr="00A6685B" w:rsidRDefault="000561ED" w:rsidP="00652E51">
      <w:pPr>
        <w:spacing w:after="120" w:line="240" w:lineRule="auto"/>
        <w:rPr>
          <w:rFonts w:cstheme="minorHAnsi"/>
          <w:color w:val="000000" w:themeColor="text1"/>
        </w:rPr>
      </w:pPr>
      <w:r>
        <w:rPr>
          <w:rFonts w:cstheme="minorHAnsi"/>
          <w:color w:val="000000" w:themeColor="text1"/>
        </w:rPr>
        <w:t>R</w:t>
      </w:r>
      <w:r w:rsidRPr="00A6685B">
        <w:rPr>
          <w:rFonts w:cstheme="minorHAnsi"/>
          <w:color w:val="000000" w:themeColor="text1"/>
        </w:rPr>
        <w:t xml:space="preserve">ispetto al precedente ciclo di programmazione, </w:t>
      </w:r>
      <w:r>
        <w:rPr>
          <w:rFonts w:cstheme="minorHAnsi"/>
          <w:color w:val="000000" w:themeColor="text1"/>
        </w:rPr>
        <w:t>l</w:t>
      </w:r>
      <w:r w:rsidRPr="00A6685B">
        <w:rPr>
          <w:rFonts w:cstheme="minorHAnsi"/>
          <w:color w:val="000000" w:themeColor="text1"/>
        </w:rPr>
        <w:t xml:space="preserve">a </w:t>
      </w:r>
      <w:r>
        <w:rPr>
          <w:rFonts w:cstheme="minorHAnsi"/>
          <w:color w:val="000000" w:themeColor="text1"/>
        </w:rPr>
        <w:t>m</w:t>
      </w:r>
      <w:r w:rsidRPr="00A6685B">
        <w:rPr>
          <w:rFonts w:cstheme="minorHAnsi"/>
          <w:color w:val="000000" w:themeColor="text1"/>
        </w:rPr>
        <w:t>isura ha sub</w:t>
      </w:r>
      <w:r>
        <w:rPr>
          <w:rFonts w:cstheme="minorHAnsi"/>
          <w:color w:val="000000" w:themeColor="text1"/>
        </w:rPr>
        <w:t>ì</w:t>
      </w:r>
      <w:r w:rsidRPr="00A6685B">
        <w:rPr>
          <w:rFonts w:cstheme="minorHAnsi"/>
          <w:color w:val="000000" w:themeColor="text1"/>
        </w:rPr>
        <w:t>to alcun</w:t>
      </w:r>
      <w:r>
        <w:rPr>
          <w:rFonts w:cstheme="minorHAnsi"/>
          <w:color w:val="000000" w:themeColor="text1"/>
        </w:rPr>
        <w:t>i</w:t>
      </w:r>
      <w:r w:rsidRPr="00A6685B">
        <w:rPr>
          <w:rFonts w:cstheme="minorHAnsi"/>
          <w:color w:val="000000" w:themeColor="text1"/>
        </w:rPr>
        <w:t xml:space="preserve"> importanti </w:t>
      </w:r>
      <w:r>
        <w:rPr>
          <w:rFonts w:cstheme="minorHAnsi"/>
          <w:color w:val="000000" w:themeColor="text1"/>
        </w:rPr>
        <w:t>rinnovamenti.</w:t>
      </w:r>
      <w:r w:rsidRPr="00A6685B">
        <w:rPr>
          <w:rFonts w:cstheme="minorHAnsi"/>
          <w:color w:val="000000" w:themeColor="text1"/>
        </w:rPr>
        <w:t xml:space="preserve"> </w:t>
      </w:r>
      <w:r>
        <w:rPr>
          <w:rFonts w:cstheme="minorHAnsi"/>
          <w:color w:val="000000" w:themeColor="text1"/>
        </w:rPr>
        <w:t>I</w:t>
      </w:r>
      <w:r w:rsidRPr="00A6685B">
        <w:rPr>
          <w:rFonts w:cstheme="minorHAnsi"/>
          <w:color w:val="000000" w:themeColor="text1"/>
        </w:rPr>
        <w:t xml:space="preserve">l Piano Strategico Nazionale (PSN) per lo sviluppo rurale 2007-2013 </w:t>
      </w:r>
      <w:r>
        <w:rPr>
          <w:rFonts w:cstheme="minorHAnsi"/>
          <w:color w:val="000000" w:themeColor="text1"/>
        </w:rPr>
        <w:t xml:space="preserve">aveva </w:t>
      </w:r>
      <w:r w:rsidRPr="00A6685B">
        <w:rPr>
          <w:rFonts w:cstheme="minorHAnsi"/>
          <w:color w:val="000000" w:themeColor="text1"/>
        </w:rPr>
        <w:t>propo</w:t>
      </w:r>
      <w:r>
        <w:rPr>
          <w:rFonts w:cstheme="minorHAnsi"/>
          <w:color w:val="000000" w:themeColor="text1"/>
        </w:rPr>
        <w:t xml:space="preserve">sto </w:t>
      </w:r>
      <w:r w:rsidRPr="00A6685B">
        <w:rPr>
          <w:rFonts w:cstheme="minorHAnsi"/>
          <w:color w:val="000000" w:themeColor="text1"/>
        </w:rPr>
        <w:t xml:space="preserve">che la misura </w:t>
      </w:r>
      <w:r>
        <w:rPr>
          <w:rFonts w:cstheme="minorHAnsi"/>
          <w:color w:val="000000" w:themeColor="text1"/>
        </w:rPr>
        <w:t>fosse</w:t>
      </w:r>
      <w:r w:rsidRPr="00A6685B">
        <w:rPr>
          <w:rFonts w:cstheme="minorHAnsi"/>
          <w:color w:val="000000" w:themeColor="text1"/>
        </w:rPr>
        <w:t xml:space="preserve"> inserita all’interno del “Pacchetto giovani</w:t>
      </w:r>
      <w:r>
        <w:rPr>
          <w:rStyle w:val="Rimandonotaapidipagina"/>
          <w:rFonts w:cstheme="minorHAnsi"/>
          <w:color w:val="000000" w:themeColor="text1"/>
        </w:rPr>
        <w:footnoteReference w:id="25"/>
      </w:r>
      <w:r w:rsidRPr="00A6685B">
        <w:rPr>
          <w:rFonts w:cstheme="minorHAnsi"/>
          <w:color w:val="000000" w:themeColor="text1"/>
        </w:rPr>
        <w:t xml:space="preserve">”, pensato come uno strumento che raccoglie una serie di incentivi specifici per gli agricoltori sotto i 40 anni che desiderano insediarsi in azienda. </w:t>
      </w:r>
    </w:p>
    <w:p w14:paraId="5785EEDE" w14:textId="77777777" w:rsidR="000561ED" w:rsidRPr="00A6685B" w:rsidRDefault="000561ED" w:rsidP="00652E51">
      <w:pPr>
        <w:spacing w:after="120" w:line="240" w:lineRule="auto"/>
        <w:rPr>
          <w:rFonts w:cstheme="minorHAnsi"/>
          <w:color w:val="000000" w:themeColor="text1"/>
        </w:rPr>
      </w:pPr>
      <w:r w:rsidRPr="00A6685B">
        <w:rPr>
          <w:rFonts w:cstheme="minorHAnsi"/>
          <w:color w:val="000000" w:themeColor="text1"/>
        </w:rPr>
        <w:t>Un</w:t>
      </w:r>
      <w:r>
        <w:rPr>
          <w:rFonts w:cstheme="minorHAnsi"/>
          <w:color w:val="000000" w:themeColor="text1"/>
        </w:rPr>
        <w:t>’</w:t>
      </w:r>
      <w:r w:rsidRPr="00A6685B">
        <w:rPr>
          <w:rFonts w:cstheme="minorHAnsi"/>
          <w:color w:val="000000" w:themeColor="text1"/>
        </w:rPr>
        <w:t xml:space="preserve">ulteriore novità </w:t>
      </w:r>
      <w:r>
        <w:rPr>
          <w:rFonts w:cstheme="minorHAnsi"/>
          <w:color w:val="000000" w:themeColor="text1"/>
        </w:rPr>
        <w:t>è stata</w:t>
      </w:r>
      <w:r w:rsidRPr="00A6685B">
        <w:rPr>
          <w:rFonts w:cstheme="minorHAnsi"/>
          <w:color w:val="000000" w:themeColor="text1"/>
        </w:rPr>
        <w:t xml:space="preserve"> introdott</w:t>
      </w:r>
      <w:r>
        <w:rPr>
          <w:rFonts w:cstheme="minorHAnsi"/>
          <w:color w:val="000000" w:themeColor="text1"/>
        </w:rPr>
        <w:t>a</w:t>
      </w:r>
      <w:r w:rsidRPr="00A6685B">
        <w:rPr>
          <w:rFonts w:cstheme="minorHAnsi"/>
          <w:color w:val="000000" w:themeColor="text1"/>
        </w:rPr>
        <w:t xml:space="preserve"> a seguito del</w:t>
      </w:r>
      <w:r>
        <w:rPr>
          <w:rFonts w:cstheme="minorHAnsi"/>
          <w:color w:val="000000" w:themeColor="text1"/>
        </w:rPr>
        <w:t>l’</w:t>
      </w:r>
      <w:r w:rsidRPr="00A6685B">
        <w:rPr>
          <w:rFonts w:cstheme="minorHAnsi"/>
          <w:color w:val="000000" w:themeColor="text1"/>
        </w:rPr>
        <w:t>Health check della PAC che, con il Regolamento 74/2009, ha previsto l’aumento del sostegno ai giovani portando da 55.000 a 70.000 euro il massimale concedibile attraverso il premio</w:t>
      </w:r>
      <w:r>
        <w:rPr>
          <w:rFonts w:cstheme="minorHAnsi"/>
          <w:color w:val="000000" w:themeColor="text1"/>
        </w:rPr>
        <w:t>,</w:t>
      </w:r>
      <w:r w:rsidRPr="00A6685B">
        <w:rPr>
          <w:rFonts w:cstheme="minorHAnsi"/>
          <w:color w:val="000000" w:themeColor="text1"/>
        </w:rPr>
        <w:t xml:space="preserve"> con l’inten</w:t>
      </w:r>
      <w:r>
        <w:rPr>
          <w:rFonts w:cstheme="minorHAnsi"/>
          <w:color w:val="000000" w:themeColor="text1"/>
        </w:rPr>
        <w:t>t</w:t>
      </w:r>
      <w:r w:rsidRPr="00A6685B">
        <w:rPr>
          <w:rFonts w:cstheme="minorHAnsi"/>
          <w:color w:val="000000" w:themeColor="text1"/>
        </w:rPr>
        <w:t>o di favorire ulteriormente l’ingresso dei giovani nel settore agricolo. In realtà, il premio da 55.000</w:t>
      </w:r>
      <w:r>
        <w:rPr>
          <w:rFonts w:cstheme="minorHAnsi"/>
          <w:color w:val="000000" w:themeColor="text1"/>
        </w:rPr>
        <w:t xml:space="preserve"> euro</w:t>
      </w:r>
      <w:r w:rsidRPr="00A6685B">
        <w:rPr>
          <w:rFonts w:cstheme="minorHAnsi"/>
          <w:color w:val="000000" w:themeColor="text1"/>
        </w:rPr>
        <w:t xml:space="preserve"> costituiva già di per sé una novità importante rispetto al precedente periodo di programmazione che prevedeva un importo decisamente inferiore</w:t>
      </w:r>
      <w:r>
        <w:rPr>
          <w:rFonts w:cstheme="minorHAnsi"/>
          <w:color w:val="000000" w:themeColor="text1"/>
        </w:rPr>
        <w:t>,</w:t>
      </w:r>
      <w:r w:rsidRPr="00A6685B">
        <w:rPr>
          <w:rFonts w:cstheme="minorHAnsi"/>
          <w:color w:val="000000" w:themeColor="text1"/>
        </w:rPr>
        <w:t xml:space="preserve"> pari a 25.000</w:t>
      </w:r>
      <w:r>
        <w:rPr>
          <w:rFonts w:cstheme="minorHAnsi"/>
          <w:color w:val="000000" w:themeColor="text1"/>
        </w:rPr>
        <w:t xml:space="preserve"> euro</w:t>
      </w:r>
      <w:r w:rsidRPr="00A6685B">
        <w:rPr>
          <w:rFonts w:cstheme="minorHAnsi"/>
          <w:color w:val="000000" w:themeColor="text1"/>
        </w:rPr>
        <w:t xml:space="preserve">. </w:t>
      </w:r>
    </w:p>
    <w:p w14:paraId="48298C52" w14:textId="31602ED0" w:rsidR="000561ED" w:rsidRDefault="000561ED" w:rsidP="00652E51">
      <w:pPr>
        <w:spacing w:after="120" w:line="240" w:lineRule="auto"/>
        <w:rPr>
          <w:rFonts w:cstheme="minorHAnsi"/>
          <w:color w:val="000000" w:themeColor="text1"/>
        </w:rPr>
      </w:pPr>
      <w:r>
        <w:rPr>
          <w:rFonts w:cstheme="minorHAnsi"/>
          <w:color w:val="000000" w:themeColor="text1"/>
        </w:rPr>
        <w:t>P</w:t>
      </w:r>
      <w:r w:rsidRPr="00A6685B">
        <w:rPr>
          <w:rFonts w:cstheme="minorHAnsi"/>
          <w:color w:val="000000" w:themeColor="text1"/>
        </w:rPr>
        <w:t>er favorire l’insediamento di giovani agricoltori è stata stanziata</w:t>
      </w:r>
      <w:r>
        <w:rPr>
          <w:rFonts w:cstheme="minorHAnsi"/>
          <w:color w:val="000000" w:themeColor="text1"/>
        </w:rPr>
        <w:t xml:space="preserve"> nel 2007-2013</w:t>
      </w:r>
      <w:r w:rsidRPr="00A6685B">
        <w:rPr>
          <w:rFonts w:cstheme="minorHAnsi"/>
          <w:color w:val="000000" w:themeColor="text1"/>
        </w:rPr>
        <w:t>, a livello nazionale, una spesa pubblica complessiva di oltre 702</w:t>
      </w:r>
      <w:r>
        <w:rPr>
          <w:rFonts w:cstheme="minorHAnsi"/>
          <w:color w:val="000000" w:themeColor="text1"/>
        </w:rPr>
        <w:t>,</w:t>
      </w:r>
      <w:r w:rsidRPr="00A6685B">
        <w:rPr>
          <w:rFonts w:cstheme="minorHAnsi"/>
          <w:color w:val="000000" w:themeColor="text1"/>
        </w:rPr>
        <w:t>4 milioni di euro (333</w:t>
      </w:r>
      <w:r>
        <w:rPr>
          <w:rFonts w:cstheme="minorHAnsi"/>
          <w:color w:val="000000" w:themeColor="text1"/>
        </w:rPr>
        <w:t>,</w:t>
      </w:r>
      <w:r w:rsidRPr="00A6685B">
        <w:rPr>
          <w:rFonts w:cstheme="minorHAnsi"/>
          <w:color w:val="000000" w:themeColor="text1"/>
        </w:rPr>
        <w:t xml:space="preserve">9 milioni di contributo FEASR) pari al 4% della spesa pubblica complessiva. Nel corso della </w:t>
      </w:r>
      <w:r>
        <w:rPr>
          <w:rFonts w:cstheme="minorHAnsi"/>
          <w:color w:val="000000" w:themeColor="text1"/>
        </w:rPr>
        <w:t xml:space="preserve">passata </w:t>
      </w:r>
      <w:r w:rsidRPr="00A6685B">
        <w:rPr>
          <w:rFonts w:cstheme="minorHAnsi"/>
          <w:color w:val="000000" w:themeColor="text1"/>
        </w:rPr>
        <w:t>programmazione, secondo i dati finanziari più recenti, sono stati spesi oltre 698 milioni di euro raggiungendo quasi completamente il valore target definito per l’intera programmazione 2007-2013</w:t>
      </w:r>
      <w:r w:rsidR="00881A29">
        <w:rPr>
          <w:rFonts w:cstheme="minorHAnsi"/>
          <w:color w:val="000000" w:themeColor="text1"/>
        </w:rPr>
        <w:t xml:space="preserve"> (</w:t>
      </w:r>
      <w:r w:rsidR="00881A29" w:rsidRPr="00881A29">
        <w:rPr>
          <w:rFonts w:cstheme="minorHAnsi"/>
          <w:b/>
          <w:bCs/>
          <w:color w:val="000000" w:themeColor="text1"/>
        </w:rPr>
        <w:t>Tabella 2</w:t>
      </w:r>
      <w:r w:rsidR="00881A29">
        <w:rPr>
          <w:rFonts w:cstheme="minorHAnsi"/>
          <w:b/>
          <w:bCs/>
          <w:color w:val="000000" w:themeColor="text1"/>
        </w:rPr>
        <w:t>2</w:t>
      </w:r>
      <w:r w:rsidR="00881A29">
        <w:rPr>
          <w:rFonts w:cstheme="minorHAnsi"/>
          <w:color w:val="000000" w:themeColor="text1"/>
        </w:rPr>
        <w:t>)</w:t>
      </w:r>
      <w:r w:rsidRPr="00A6685B">
        <w:rPr>
          <w:rFonts w:cstheme="minorHAnsi"/>
          <w:color w:val="000000" w:themeColor="text1"/>
        </w:rPr>
        <w:t>.</w:t>
      </w:r>
    </w:p>
    <w:p w14:paraId="7CF8FF2D" w14:textId="30C57A91" w:rsidR="000561ED" w:rsidRPr="00A6685B" w:rsidRDefault="000561ED" w:rsidP="000561ED">
      <w:pPr>
        <w:pStyle w:val="Titolotab"/>
        <w:numPr>
          <w:ilvl w:val="0"/>
          <w:numId w:val="0"/>
        </w:numPr>
      </w:pPr>
      <w:r>
        <w:lastRenderedPageBreak/>
        <w:t xml:space="preserve">Tabella </w:t>
      </w:r>
      <w:r w:rsidRPr="000561ED">
        <w:t>2</w:t>
      </w:r>
      <w:r w:rsidR="00881A29">
        <w:t>2</w:t>
      </w:r>
      <w:r>
        <w:t xml:space="preserve"> - </w:t>
      </w:r>
      <w:r w:rsidRPr="00462FCA">
        <w:t>Attuazione finanziaria della misura 112</w:t>
      </w:r>
      <w:r>
        <w:t>, e</w:t>
      </w:r>
      <w:r w:rsidRPr="00462FCA">
        <w:t>sclusi gli impegn</w:t>
      </w:r>
      <w:r w:rsidR="007F5823">
        <w:t>i in corso sottoscritti nel 2007-2013</w:t>
      </w:r>
      <w:r>
        <w:t xml:space="preserve"> </w:t>
      </w:r>
      <w:r w:rsidRPr="00462FCA">
        <w:t xml:space="preserve">(milioni di </w:t>
      </w:r>
      <w:r>
        <w:t>euro)</w:t>
      </w:r>
    </w:p>
    <w:tbl>
      <w:tblPr>
        <w:tblStyle w:val="Tabellagriglia5scura-colore11"/>
        <w:tblW w:w="5000" w:type="pct"/>
        <w:tblLayout w:type="fixed"/>
        <w:tblLook w:val="04A0" w:firstRow="1" w:lastRow="0" w:firstColumn="1" w:lastColumn="0" w:noHBand="0" w:noVBand="1"/>
      </w:tblPr>
      <w:tblGrid>
        <w:gridCol w:w="1525"/>
        <w:gridCol w:w="1592"/>
        <w:gridCol w:w="1558"/>
        <w:gridCol w:w="1558"/>
        <w:gridCol w:w="1558"/>
        <w:gridCol w:w="1837"/>
      </w:tblGrid>
      <w:tr w:rsidR="000561ED" w:rsidRPr="005547A2" w14:paraId="2B8F723A" w14:textId="77777777" w:rsidTr="000561E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2" w:type="pct"/>
            <w:noWrap/>
            <w:hideMark/>
          </w:tcPr>
          <w:p w14:paraId="776255EF" w14:textId="77777777" w:rsidR="000561ED" w:rsidRPr="007B0AAF" w:rsidRDefault="000561ED" w:rsidP="000561ED">
            <w:pPr>
              <w:rPr>
                <w:rFonts w:cstheme="minorHAnsi"/>
                <w:sz w:val="20"/>
                <w:szCs w:val="20"/>
                <w:lang w:eastAsia="it-IT"/>
              </w:rPr>
            </w:pPr>
          </w:p>
        </w:tc>
        <w:tc>
          <w:tcPr>
            <w:tcW w:w="827" w:type="pct"/>
            <w:noWrap/>
            <w:hideMark/>
          </w:tcPr>
          <w:p w14:paraId="1287A3F1" w14:textId="77777777" w:rsidR="000561ED" w:rsidRPr="007B0AAF" w:rsidRDefault="000561ED" w:rsidP="000561ED">
            <w:pPr>
              <w:jc w:val="right"/>
              <w:cnfStyle w:val="100000000000" w:firstRow="1" w:lastRow="0" w:firstColumn="0" w:lastColumn="0" w:oddVBand="0" w:evenVBand="0" w:oddHBand="0" w:evenHBand="0" w:firstRowFirstColumn="0" w:firstRowLastColumn="0" w:lastRowFirstColumn="0" w:lastRowLastColumn="0"/>
              <w:rPr>
                <w:rFonts w:cstheme="minorHAnsi"/>
                <w:sz w:val="20"/>
                <w:szCs w:val="20"/>
                <w:lang w:eastAsia="it-IT"/>
              </w:rPr>
            </w:pPr>
            <w:r w:rsidRPr="007B0AAF">
              <w:rPr>
                <w:rFonts w:cstheme="minorHAnsi"/>
                <w:sz w:val="20"/>
                <w:szCs w:val="20"/>
                <w:lang w:eastAsia="it-IT"/>
              </w:rPr>
              <w:t>Spesa pubblica programmata</w:t>
            </w:r>
            <w:r>
              <w:rPr>
                <w:rFonts w:cstheme="minorHAnsi"/>
                <w:sz w:val="20"/>
                <w:szCs w:val="20"/>
                <w:lang w:eastAsia="it-IT"/>
              </w:rPr>
              <w:t xml:space="preserve"> M112</w:t>
            </w:r>
          </w:p>
        </w:tc>
        <w:tc>
          <w:tcPr>
            <w:tcW w:w="809" w:type="pct"/>
            <w:noWrap/>
            <w:hideMark/>
          </w:tcPr>
          <w:p w14:paraId="78A9209A" w14:textId="77777777" w:rsidR="000561ED" w:rsidRPr="007B0AAF" w:rsidRDefault="000561ED" w:rsidP="000561ED">
            <w:pPr>
              <w:jc w:val="right"/>
              <w:cnfStyle w:val="100000000000" w:firstRow="1" w:lastRow="0" w:firstColumn="0" w:lastColumn="0" w:oddVBand="0" w:evenVBand="0" w:oddHBand="0" w:evenHBand="0" w:firstRowFirstColumn="0" w:firstRowLastColumn="0" w:lastRowFirstColumn="0" w:lastRowLastColumn="0"/>
              <w:rPr>
                <w:rFonts w:cstheme="minorHAnsi"/>
                <w:sz w:val="20"/>
                <w:szCs w:val="20"/>
                <w:lang w:eastAsia="it-IT"/>
              </w:rPr>
            </w:pPr>
            <w:r>
              <w:rPr>
                <w:rFonts w:cstheme="minorHAnsi"/>
                <w:sz w:val="20"/>
                <w:szCs w:val="20"/>
                <w:lang w:eastAsia="it-IT"/>
              </w:rPr>
              <w:t>Spesa pubblica totale PSR</w:t>
            </w:r>
          </w:p>
        </w:tc>
        <w:tc>
          <w:tcPr>
            <w:tcW w:w="809" w:type="pct"/>
          </w:tcPr>
          <w:p w14:paraId="0B549BCD" w14:textId="77777777" w:rsidR="000561ED" w:rsidRPr="007B0AAF" w:rsidRDefault="000561ED" w:rsidP="000561ED">
            <w:pPr>
              <w:cnfStyle w:val="100000000000" w:firstRow="1" w:lastRow="0" w:firstColumn="0" w:lastColumn="0" w:oddVBand="0" w:evenVBand="0" w:oddHBand="0" w:evenHBand="0" w:firstRowFirstColumn="0" w:firstRowLastColumn="0" w:lastRowFirstColumn="0" w:lastRowLastColumn="0"/>
              <w:rPr>
                <w:rFonts w:cstheme="minorHAnsi"/>
                <w:sz w:val="20"/>
                <w:szCs w:val="20"/>
                <w:lang w:eastAsia="it-IT"/>
              </w:rPr>
            </w:pPr>
            <w:r w:rsidRPr="007B0AAF">
              <w:rPr>
                <w:rFonts w:cstheme="minorHAnsi"/>
                <w:sz w:val="20"/>
                <w:szCs w:val="20"/>
                <w:lang w:eastAsia="it-IT"/>
              </w:rPr>
              <w:t>Peso della M112 sul totale</w:t>
            </w:r>
            <w:r>
              <w:rPr>
                <w:rFonts w:cstheme="minorHAnsi"/>
                <w:sz w:val="20"/>
                <w:szCs w:val="20"/>
                <w:lang w:eastAsia="it-IT"/>
              </w:rPr>
              <w:t xml:space="preserve"> PSR</w:t>
            </w:r>
          </w:p>
        </w:tc>
        <w:tc>
          <w:tcPr>
            <w:tcW w:w="809" w:type="pct"/>
            <w:noWrap/>
            <w:hideMark/>
          </w:tcPr>
          <w:p w14:paraId="47E9B1A8" w14:textId="77777777" w:rsidR="000561ED" w:rsidRPr="007B0AAF" w:rsidRDefault="000561ED" w:rsidP="000561ED">
            <w:pPr>
              <w:jc w:val="right"/>
              <w:cnfStyle w:val="100000000000" w:firstRow="1" w:lastRow="0" w:firstColumn="0" w:lastColumn="0" w:oddVBand="0" w:evenVBand="0" w:oddHBand="0" w:evenHBand="0" w:firstRowFirstColumn="0" w:firstRowLastColumn="0" w:lastRowFirstColumn="0" w:lastRowLastColumn="0"/>
              <w:rPr>
                <w:rFonts w:cstheme="minorHAnsi"/>
                <w:sz w:val="20"/>
                <w:szCs w:val="20"/>
                <w:lang w:eastAsia="it-IT"/>
              </w:rPr>
            </w:pPr>
            <w:r w:rsidRPr="007B0AAF">
              <w:rPr>
                <w:rFonts w:cstheme="minorHAnsi"/>
                <w:sz w:val="20"/>
                <w:szCs w:val="20"/>
                <w:lang w:eastAsia="it-IT"/>
              </w:rPr>
              <w:t>Pagato Spesa Pubblica</w:t>
            </w:r>
            <w:r>
              <w:rPr>
                <w:rFonts w:cstheme="minorHAnsi"/>
                <w:sz w:val="20"/>
                <w:szCs w:val="20"/>
                <w:lang w:eastAsia="it-IT"/>
              </w:rPr>
              <w:t xml:space="preserve"> M112</w:t>
            </w:r>
          </w:p>
        </w:tc>
        <w:tc>
          <w:tcPr>
            <w:tcW w:w="954" w:type="pct"/>
          </w:tcPr>
          <w:p w14:paraId="6B515DFC" w14:textId="77777777" w:rsidR="000561ED" w:rsidRPr="007B0AAF" w:rsidRDefault="000561ED" w:rsidP="000561ED">
            <w:pPr>
              <w:jc w:val="right"/>
              <w:cnfStyle w:val="100000000000" w:firstRow="1" w:lastRow="0" w:firstColumn="0" w:lastColumn="0" w:oddVBand="0" w:evenVBand="0" w:oddHBand="0" w:evenHBand="0" w:firstRowFirstColumn="0" w:firstRowLastColumn="0" w:lastRowFirstColumn="0" w:lastRowLastColumn="0"/>
              <w:rPr>
                <w:rFonts w:cstheme="minorHAnsi"/>
                <w:sz w:val="20"/>
                <w:szCs w:val="20"/>
                <w:lang w:eastAsia="it-IT"/>
              </w:rPr>
            </w:pPr>
            <w:r w:rsidRPr="00A15388">
              <w:rPr>
                <w:rFonts w:cstheme="minorHAnsi"/>
                <w:sz w:val="20"/>
                <w:szCs w:val="20"/>
                <w:lang w:eastAsia="it-IT"/>
              </w:rPr>
              <w:t xml:space="preserve">Tasso di esecuzione </w:t>
            </w:r>
            <w:r w:rsidRPr="007B0AAF">
              <w:rPr>
                <w:rFonts w:cstheme="minorHAnsi"/>
                <w:sz w:val="20"/>
                <w:szCs w:val="20"/>
                <w:lang w:eastAsia="it-IT"/>
              </w:rPr>
              <w:t xml:space="preserve">finanziaria </w:t>
            </w:r>
          </w:p>
        </w:tc>
      </w:tr>
      <w:tr w:rsidR="000561ED" w:rsidRPr="005547A2" w14:paraId="088D9A89" w14:textId="77777777" w:rsidTr="000561E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391DE147" w14:textId="77777777" w:rsidR="000561ED" w:rsidRPr="00043A09" w:rsidRDefault="000561ED" w:rsidP="000561ED">
            <w:pPr>
              <w:rPr>
                <w:rFonts w:cstheme="minorHAnsi"/>
                <w:sz w:val="20"/>
                <w:szCs w:val="20"/>
                <w:lang w:eastAsia="it-IT"/>
              </w:rPr>
            </w:pPr>
            <w:r w:rsidRPr="00043A09">
              <w:rPr>
                <w:rFonts w:ascii="Calibri" w:hAnsi="Calibri" w:cs="Calibri"/>
                <w:sz w:val="20"/>
                <w:szCs w:val="20"/>
              </w:rPr>
              <w:t>Competitività</w:t>
            </w:r>
          </w:p>
        </w:tc>
        <w:tc>
          <w:tcPr>
            <w:tcW w:w="827" w:type="pct"/>
            <w:noWrap/>
            <w:vAlign w:val="bottom"/>
          </w:tcPr>
          <w:p w14:paraId="4A584233"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b/>
                <w:color w:val="000000"/>
                <w:sz w:val="20"/>
                <w:szCs w:val="20"/>
              </w:rPr>
            </w:pPr>
            <w:r w:rsidRPr="002B6C32">
              <w:rPr>
                <w:rFonts w:ascii="Calibri" w:hAnsi="Calibri" w:cstheme="minorHAnsi"/>
                <w:b/>
                <w:color w:val="000000"/>
                <w:sz w:val="20"/>
                <w:szCs w:val="20"/>
              </w:rPr>
              <w:t>456.500.000</w:t>
            </w:r>
          </w:p>
        </w:tc>
        <w:tc>
          <w:tcPr>
            <w:tcW w:w="809" w:type="pct"/>
            <w:noWrap/>
            <w:vAlign w:val="center"/>
          </w:tcPr>
          <w:p w14:paraId="36F07D76"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b/>
                <w:sz w:val="20"/>
                <w:szCs w:val="20"/>
              </w:rPr>
            </w:pPr>
            <w:r w:rsidRPr="002B6C32">
              <w:rPr>
                <w:rFonts w:ascii="Calibri" w:hAnsi="Calibri" w:cs="Calibri"/>
                <w:b/>
                <w:color w:val="000000"/>
                <w:sz w:val="20"/>
                <w:szCs w:val="20"/>
              </w:rPr>
              <w:t>10.245.200.000</w:t>
            </w:r>
          </w:p>
        </w:tc>
        <w:tc>
          <w:tcPr>
            <w:tcW w:w="809" w:type="pct"/>
            <w:vAlign w:val="center"/>
          </w:tcPr>
          <w:p w14:paraId="4309F707"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b/>
                <w:color w:val="000000"/>
                <w:sz w:val="20"/>
                <w:szCs w:val="20"/>
              </w:rPr>
            </w:pPr>
            <w:r w:rsidRPr="002B6C32">
              <w:rPr>
                <w:rFonts w:ascii="Calibri" w:hAnsi="Calibri" w:cs="Calibri"/>
                <w:b/>
                <w:color w:val="000000"/>
                <w:sz w:val="20"/>
                <w:szCs w:val="20"/>
              </w:rPr>
              <w:t>4,5%</w:t>
            </w:r>
          </w:p>
        </w:tc>
        <w:tc>
          <w:tcPr>
            <w:tcW w:w="809" w:type="pct"/>
            <w:noWrap/>
            <w:vAlign w:val="center"/>
          </w:tcPr>
          <w:p w14:paraId="7056953E"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b/>
                <w:sz w:val="20"/>
                <w:szCs w:val="20"/>
              </w:rPr>
            </w:pPr>
            <w:r w:rsidRPr="002B6C32">
              <w:rPr>
                <w:rFonts w:ascii="Calibri" w:hAnsi="Calibri" w:cs="Calibri"/>
                <w:b/>
                <w:color w:val="000000"/>
                <w:sz w:val="20"/>
                <w:szCs w:val="20"/>
              </w:rPr>
              <w:t>450.360.000</w:t>
            </w:r>
          </w:p>
        </w:tc>
        <w:tc>
          <w:tcPr>
            <w:tcW w:w="954" w:type="pct"/>
            <w:vAlign w:val="bottom"/>
          </w:tcPr>
          <w:p w14:paraId="44A85339"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sz w:val="20"/>
                <w:szCs w:val="20"/>
              </w:rPr>
            </w:pPr>
            <w:r w:rsidRPr="002B6C32">
              <w:rPr>
                <w:rFonts w:ascii="Calibri" w:hAnsi="Calibri" w:cs="Calibri"/>
                <w:b/>
                <w:color w:val="000000"/>
                <w:sz w:val="20"/>
                <w:szCs w:val="20"/>
              </w:rPr>
              <w:t>98,7%</w:t>
            </w:r>
          </w:p>
        </w:tc>
      </w:tr>
      <w:tr w:rsidR="000561ED" w:rsidRPr="005547A2" w14:paraId="11DBEC84" w14:textId="77777777" w:rsidTr="000561ED">
        <w:trPr>
          <w:trHeight w:val="300"/>
        </w:trPr>
        <w:tc>
          <w:tcPr>
            <w:cnfStyle w:val="001000000000" w:firstRow="0" w:lastRow="0" w:firstColumn="1" w:lastColumn="0" w:oddVBand="0" w:evenVBand="0" w:oddHBand="0" w:evenHBand="0" w:firstRowFirstColumn="0" w:firstRowLastColumn="0" w:lastRowFirstColumn="0" w:lastRowLastColumn="0"/>
            <w:tcW w:w="792" w:type="pct"/>
            <w:noWrap/>
            <w:hideMark/>
          </w:tcPr>
          <w:p w14:paraId="3B6E31AB"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Abruzzo</w:t>
            </w:r>
          </w:p>
        </w:tc>
        <w:tc>
          <w:tcPr>
            <w:tcW w:w="827" w:type="pct"/>
            <w:noWrap/>
            <w:vAlign w:val="bottom"/>
          </w:tcPr>
          <w:p w14:paraId="0D7433EF"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37.700.000</w:t>
            </w:r>
          </w:p>
        </w:tc>
        <w:tc>
          <w:tcPr>
            <w:tcW w:w="809" w:type="pct"/>
            <w:noWrap/>
            <w:vAlign w:val="center"/>
          </w:tcPr>
          <w:p w14:paraId="3DF8FDE3"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426.100.000</w:t>
            </w:r>
          </w:p>
        </w:tc>
        <w:tc>
          <w:tcPr>
            <w:tcW w:w="809" w:type="pct"/>
            <w:vAlign w:val="center"/>
          </w:tcPr>
          <w:p w14:paraId="1430D1CC"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8,8%</w:t>
            </w:r>
          </w:p>
        </w:tc>
        <w:tc>
          <w:tcPr>
            <w:tcW w:w="809" w:type="pct"/>
            <w:noWrap/>
            <w:vAlign w:val="center"/>
          </w:tcPr>
          <w:p w14:paraId="2FED3AE7"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34.500.000</w:t>
            </w:r>
          </w:p>
        </w:tc>
        <w:tc>
          <w:tcPr>
            <w:tcW w:w="954" w:type="pct"/>
            <w:vAlign w:val="bottom"/>
          </w:tcPr>
          <w:p w14:paraId="3AF987CF"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91,5%</w:t>
            </w:r>
          </w:p>
        </w:tc>
      </w:tr>
      <w:tr w:rsidR="000561ED" w:rsidRPr="005547A2" w14:paraId="7A38C0AF" w14:textId="77777777" w:rsidTr="000561E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2" w:type="pct"/>
            <w:noWrap/>
            <w:hideMark/>
          </w:tcPr>
          <w:p w14:paraId="3D0D2F0A"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Bolzano</w:t>
            </w:r>
          </w:p>
        </w:tc>
        <w:tc>
          <w:tcPr>
            <w:tcW w:w="827" w:type="pct"/>
            <w:noWrap/>
            <w:vAlign w:val="bottom"/>
          </w:tcPr>
          <w:p w14:paraId="3DD2571E"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9.900.000</w:t>
            </w:r>
          </w:p>
        </w:tc>
        <w:tc>
          <w:tcPr>
            <w:tcW w:w="809" w:type="pct"/>
            <w:noWrap/>
            <w:vAlign w:val="center"/>
          </w:tcPr>
          <w:p w14:paraId="4964F47D"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330.200.000</w:t>
            </w:r>
          </w:p>
        </w:tc>
        <w:tc>
          <w:tcPr>
            <w:tcW w:w="809" w:type="pct"/>
            <w:vAlign w:val="center"/>
          </w:tcPr>
          <w:p w14:paraId="41042A0A"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3,0%</w:t>
            </w:r>
          </w:p>
        </w:tc>
        <w:tc>
          <w:tcPr>
            <w:tcW w:w="809" w:type="pct"/>
            <w:noWrap/>
            <w:vAlign w:val="center"/>
          </w:tcPr>
          <w:p w14:paraId="57CD982D"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9.900.000</w:t>
            </w:r>
          </w:p>
        </w:tc>
        <w:tc>
          <w:tcPr>
            <w:tcW w:w="954" w:type="pct"/>
            <w:vAlign w:val="bottom"/>
          </w:tcPr>
          <w:p w14:paraId="0553C853"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100,0%</w:t>
            </w:r>
          </w:p>
        </w:tc>
      </w:tr>
      <w:tr w:rsidR="000561ED" w:rsidRPr="005547A2" w14:paraId="389FC936" w14:textId="77777777" w:rsidTr="000561ED">
        <w:trPr>
          <w:trHeight w:val="300"/>
        </w:trPr>
        <w:tc>
          <w:tcPr>
            <w:cnfStyle w:val="001000000000" w:firstRow="0" w:lastRow="0" w:firstColumn="1" w:lastColumn="0" w:oddVBand="0" w:evenVBand="0" w:oddHBand="0" w:evenHBand="0" w:firstRowFirstColumn="0" w:firstRowLastColumn="0" w:lastRowFirstColumn="0" w:lastRowLastColumn="0"/>
            <w:tcW w:w="792" w:type="pct"/>
            <w:noWrap/>
            <w:hideMark/>
          </w:tcPr>
          <w:p w14:paraId="6E45040A" w14:textId="77777777" w:rsidR="000561ED" w:rsidRPr="00043A09" w:rsidRDefault="000561ED" w:rsidP="000561ED">
            <w:pPr>
              <w:rPr>
                <w:rFonts w:cstheme="minorHAnsi"/>
                <w:b w:val="0"/>
                <w:sz w:val="20"/>
                <w:szCs w:val="20"/>
                <w:lang w:eastAsia="it-IT"/>
              </w:rPr>
            </w:pPr>
            <w:proofErr w:type="gramStart"/>
            <w:r w:rsidRPr="00043A09">
              <w:rPr>
                <w:rFonts w:ascii="Calibri" w:hAnsi="Calibri" w:cs="Calibri"/>
                <w:b w:val="0"/>
                <w:sz w:val="20"/>
                <w:szCs w:val="20"/>
              </w:rPr>
              <w:t>Emilia Romagna</w:t>
            </w:r>
            <w:proofErr w:type="gramEnd"/>
          </w:p>
        </w:tc>
        <w:tc>
          <w:tcPr>
            <w:tcW w:w="827" w:type="pct"/>
            <w:noWrap/>
            <w:vAlign w:val="bottom"/>
          </w:tcPr>
          <w:p w14:paraId="68B8E73F"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59.800.000</w:t>
            </w:r>
          </w:p>
        </w:tc>
        <w:tc>
          <w:tcPr>
            <w:tcW w:w="809" w:type="pct"/>
            <w:noWrap/>
            <w:vAlign w:val="center"/>
          </w:tcPr>
          <w:p w14:paraId="188C4038"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1.163.300.000</w:t>
            </w:r>
          </w:p>
        </w:tc>
        <w:tc>
          <w:tcPr>
            <w:tcW w:w="809" w:type="pct"/>
            <w:vAlign w:val="center"/>
          </w:tcPr>
          <w:p w14:paraId="57886023"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5,1%</w:t>
            </w:r>
          </w:p>
        </w:tc>
        <w:tc>
          <w:tcPr>
            <w:tcW w:w="809" w:type="pct"/>
            <w:noWrap/>
            <w:vAlign w:val="center"/>
          </w:tcPr>
          <w:p w14:paraId="25DCF69C"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59.800.000</w:t>
            </w:r>
          </w:p>
        </w:tc>
        <w:tc>
          <w:tcPr>
            <w:tcW w:w="954" w:type="pct"/>
            <w:vAlign w:val="bottom"/>
          </w:tcPr>
          <w:p w14:paraId="28ED749F"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100,0%</w:t>
            </w:r>
          </w:p>
        </w:tc>
      </w:tr>
      <w:tr w:rsidR="000561ED" w:rsidRPr="005547A2" w14:paraId="70DF3DA6" w14:textId="77777777" w:rsidTr="000561E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64F6E11A" w14:textId="77777777" w:rsidR="000561ED" w:rsidRPr="00043A09" w:rsidRDefault="000561ED" w:rsidP="000561ED">
            <w:pPr>
              <w:rPr>
                <w:rFonts w:cstheme="minorHAnsi"/>
                <w:b w:val="0"/>
                <w:sz w:val="20"/>
                <w:szCs w:val="20"/>
                <w:lang w:eastAsia="it-IT"/>
              </w:rPr>
            </w:pPr>
            <w:proofErr w:type="gramStart"/>
            <w:r w:rsidRPr="00043A09">
              <w:rPr>
                <w:rFonts w:ascii="Calibri" w:hAnsi="Calibri" w:cs="Calibri"/>
                <w:b w:val="0"/>
                <w:sz w:val="20"/>
                <w:szCs w:val="20"/>
              </w:rPr>
              <w:t>Friuli Venezia Giulia</w:t>
            </w:r>
            <w:proofErr w:type="gramEnd"/>
          </w:p>
        </w:tc>
        <w:tc>
          <w:tcPr>
            <w:tcW w:w="827" w:type="pct"/>
            <w:noWrap/>
            <w:vAlign w:val="bottom"/>
          </w:tcPr>
          <w:p w14:paraId="6E267D08" w14:textId="77777777" w:rsidR="000561ED" w:rsidRPr="00D265D1"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D265D1">
              <w:rPr>
                <w:rFonts w:ascii="Calibri" w:hAnsi="Calibri" w:cs="Calibri"/>
                <w:color w:val="000000"/>
                <w:sz w:val="20"/>
                <w:szCs w:val="20"/>
              </w:rPr>
              <w:t>7.900.000</w:t>
            </w:r>
          </w:p>
        </w:tc>
        <w:tc>
          <w:tcPr>
            <w:tcW w:w="809" w:type="pct"/>
            <w:noWrap/>
            <w:vAlign w:val="center"/>
          </w:tcPr>
          <w:p w14:paraId="55978CE6" w14:textId="77777777" w:rsidR="000561ED" w:rsidRPr="00D265D1"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Pr>
                <w:rFonts w:ascii="Calibri" w:hAnsi="Calibri" w:cs="Calibri"/>
                <w:color w:val="000000"/>
                <w:sz w:val="20"/>
                <w:szCs w:val="20"/>
              </w:rPr>
              <w:t>265.600.000</w:t>
            </w:r>
          </w:p>
        </w:tc>
        <w:tc>
          <w:tcPr>
            <w:tcW w:w="809" w:type="pct"/>
            <w:vAlign w:val="center"/>
          </w:tcPr>
          <w:p w14:paraId="32052A19"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3,0%</w:t>
            </w:r>
          </w:p>
        </w:tc>
        <w:tc>
          <w:tcPr>
            <w:tcW w:w="809" w:type="pct"/>
            <w:noWrap/>
            <w:vAlign w:val="center"/>
          </w:tcPr>
          <w:p w14:paraId="0B2CD30F"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7.800.000</w:t>
            </w:r>
          </w:p>
        </w:tc>
        <w:tc>
          <w:tcPr>
            <w:tcW w:w="954" w:type="pct"/>
            <w:vAlign w:val="bottom"/>
          </w:tcPr>
          <w:p w14:paraId="51A98EFC"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98,7%</w:t>
            </w:r>
          </w:p>
        </w:tc>
      </w:tr>
      <w:tr w:rsidR="000561ED" w:rsidRPr="005547A2" w14:paraId="7D64BEE5" w14:textId="77777777" w:rsidTr="000561ED">
        <w:trPr>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3F4CFCEB"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Lazio</w:t>
            </w:r>
          </w:p>
        </w:tc>
        <w:tc>
          <w:tcPr>
            <w:tcW w:w="827" w:type="pct"/>
            <w:noWrap/>
            <w:vAlign w:val="bottom"/>
          </w:tcPr>
          <w:p w14:paraId="078FA7B4"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47.300.000</w:t>
            </w:r>
          </w:p>
        </w:tc>
        <w:tc>
          <w:tcPr>
            <w:tcW w:w="809" w:type="pct"/>
            <w:noWrap/>
            <w:vAlign w:val="center"/>
          </w:tcPr>
          <w:p w14:paraId="2D21602F"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700.100.000</w:t>
            </w:r>
          </w:p>
        </w:tc>
        <w:tc>
          <w:tcPr>
            <w:tcW w:w="809" w:type="pct"/>
            <w:vAlign w:val="center"/>
          </w:tcPr>
          <w:p w14:paraId="7473C2F6"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6,8%</w:t>
            </w:r>
          </w:p>
        </w:tc>
        <w:tc>
          <w:tcPr>
            <w:tcW w:w="809" w:type="pct"/>
            <w:noWrap/>
            <w:vAlign w:val="center"/>
          </w:tcPr>
          <w:p w14:paraId="180B5A0B"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44.800.000</w:t>
            </w:r>
          </w:p>
        </w:tc>
        <w:tc>
          <w:tcPr>
            <w:tcW w:w="954" w:type="pct"/>
            <w:vAlign w:val="bottom"/>
          </w:tcPr>
          <w:p w14:paraId="068A2972"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94,7%</w:t>
            </w:r>
          </w:p>
        </w:tc>
      </w:tr>
      <w:tr w:rsidR="000561ED" w:rsidRPr="005547A2" w14:paraId="02286590" w14:textId="77777777" w:rsidTr="000561E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1CFC5825"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Liguria</w:t>
            </w:r>
          </w:p>
        </w:tc>
        <w:tc>
          <w:tcPr>
            <w:tcW w:w="827" w:type="pct"/>
            <w:noWrap/>
            <w:vAlign w:val="bottom"/>
          </w:tcPr>
          <w:p w14:paraId="17CE4E26"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9.800.000</w:t>
            </w:r>
          </w:p>
        </w:tc>
        <w:tc>
          <w:tcPr>
            <w:tcW w:w="809" w:type="pct"/>
            <w:noWrap/>
            <w:vAlign w:val="center"/>
          </w:tcPr>
          <w:p w14:paraId="6098BEF3"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288.000.000</w:t>
            </w:r>
          </w:p>
        </w:tc>
        <w:tc>
          <w:tcPr>
            <w:tcW w:w="809" w:type="pct"/>
            <w:vAlign w:val="center"/>
          </w:tcPr>
          <w:p w14:paraId="5EE2647D"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3,4%</w:t>
            </w:r>
          </w:p>
        </w:tc>
        <w:tc>
          <w:tcPr>
            <w:tcW w:w="809" w:type="pct"/>
            <w:noWrap/>
            <w:vAlign w:val="center"/>
          </w:tcPr>
          <w:p w14:paraId="2E36050D"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9.700.000</w:t>
            </w:r>
          </w:p>
        </w:tc>
        <w:tc>
          <w:tcPr>
            <w:tcW w:w="954" w:type="pct"/>
            <w:vAlign w:val="bottom"/>
          </w:tcPr>
          <w:p w14:paraId="696C7DF1"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99,0%</w:t>
            </w:r>
          </w:p>
        </w:tc>
      </w:tr>
      <w:tr w:rsidR="000561ED" w:rsidRPr="005547A2" w14:paraId="4F613D7A" w14:textId="77777777" w:rsidTr="000561ED">
        <w:trPr>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62CD0513"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Lombardia</w:t>
            </w:r>
          </w:p>
        </w:tc>
        <w:tc>
          <w:tcPr>
            <w:tcW w:w="827" w:type="pct"/>
            <w:noWrap/>
            <w:vAlign w:val="bottom"/>
          </w:tcPr>
          <w:p w14:paraId="6E4899D8"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25.700.000</w:t>
            </w:r>
          </w:p>
        </w:tc>
        <w:tc>
          <w:tcPr>
            <w:tcW w:w="809" w:type="pct"/>
            <w:noWrap/>
            <w:vAlign w:val="center"/>
          </w:tcPr>
          <w:p w14:paraId="7242F28B"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1.027.000.000</w:t>
            </w:r>
          </w:p>
        </w:tc>
        <w:tc>
          <w:tcPr>
            <w:tcW w:w="809" w:type="pct"/>
            <w:vAlign w:val="center"/>
          </w:tcPr>
          <w:p w14:paraId="0D5FC119"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2,5%</w:t>
            </w:r>
          </w:p>
        </w:tc>
        <w:tc>
          <w:tcPr>
            <w:tcW w:w="809" w:type="pct"/>
            <w:noWrap/>
            <w:vAlign w:val="center"/>
          </w:tcPr>
          <w:p w14:paraId="2D7FA6A3"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25.600.000</w:t>
            </w:r>
          </w:p>
        </w:tc>
        <w:tc>
          <w:tcPr>
            <w:tcW w:w="954" w:type="pct"/>
            <w:vAlign w:val="bottom"/>
          </w:tcPr>
          <w:p w14:paraId="15288ACB"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99,6%</w:t>
            </w:r>
          </w:p>
        </w:tc>
      </w:tr>
      <w:tr w:rsidR="000561ED" w:rsidRPr="005547A2" w14:paraId="747B5800" w14:textId="77777777" w:rsidTr="000561E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60803FD8"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Marche</w:t>
            </w:r>
          </w:p>
        </w:tc>
        <w:tc>
          <w:tcPr>
            <w:tcW w:w="827" w:type="pct"/>
            <w:noWrap/>
            <w:vAlign w:val="bottom"/>
          </w:tcPr>
          <w:p w14:paraId="331E2918"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7.300.000</w:t>
            </w:r>
          </w:p>
        </w:tc>
        <w:tc>
          <w:tcPr>
            <w:tcW w:w="809" w:type="pct"/>
            <w:noWrap/>
            <w:vAlign w:val="center"/>
          </w:tcPr>
          <w:p w14:paraId="271B5F94"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482.600.000</w:t>
            </w:r>
          </w:p>
        </w:tc>
        <w:tc>
          <w:tcPr>
            <w:tcW w:w="809" w:type="pct"/>
            <w:vAlign w:val="center"/>
          </w:tcPr>
          <w:p w14:paraId="602E6CC8"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1,5%</w:t>
            </w:r>
          </w:p>
        </w:tc>
        <w:tc>
          <w:tcPr>
            <w:tcW w:w="809" w:type="pct"/>
            <w:noWrap/>
            <w:vAlign w:val="center"/>
          </w:tcPr>
          <w:p w14:paraId="70102173"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7.300.000</w:t>
            </w:r>
          </w:p>
        </w:tc>
        <w:tc>
          <w:tcPr>
            <w:tcW w:w="954" w:type="pct"/>
            <w:vAlign w:val="bottom"/>
          </w:tcPr>
          <w:p w14:paraId="35E02F17"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100,0%</w:t>
            </w:r>
          </w:p>
        </w:tc>
      </w:tr>
      <w:tr w:rsidR="000561ED" w:rsidRPr="005547A2" w14:paraId="005B17B5" w14:textId="77777777" w:rsidTr="000561ED">
        <w:trPr>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3AEBDF40"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Molise</w:t>
            </w:r>
          </w:p>
        </w:tc>
        <w:tc>
          <w:tcPr>
            <w:tcW w:w="827" w:type="pct"/>
            <w:noWrap/>
            <w:vAlign w:val="bottom"/>
          </w:tcPr>
          <w:p w14:paraId="05E07FC8"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4.500.000</w:t>
            </w:r>
          </w:p>
        </w:tc>
        <w:tc>
          <w:tcPr>
            <w:tcW w:w="809" w:type="pct"/>
            <w:noWrap/>
            <w:vAlign w:val="center"/>
          </w:tcPr>
          <w:p w14:paraId="1092D3DB"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206.600.000</w:t>
            </w:r>
          </w:p>
        </w:tc>
        <w:tc>
          <w:tcPr>
            <w:tcW w:w="809" w:type="pct"/>
            <w:vAlign w:val="center"/>
          </w:tcPr>
          <w:p w14:paraId="6BD634E0"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2,2%</w:t>
            </w:r>
          </w:p>
        </w:tc>
        <w:tc>
          <w:tcPr>
            <w:tcW w:w="809" w:type="pct"/>
            <w:noWrap/>
            <w:vAlign w:val="center"/>
          </w:tcPr>
          <w:p w14:paraId="13B757AF"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4.500.000</w:t>
            </w:r>
          </w:p>
        </w:tc>
        <w:tc>
          <w:tcPr>
            <w:tcW w:w="954" w:type="pct"/>
            <w:vAlign w:val="bottom"/>
          </w:tcPr>
          <w:p w14:paraId="7BAB9409"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100,0%</w:t>
            </w:r>
          </w:p>
        </w:tc>
      </w:tr>
      <w:tr w:rsidR="000561ED" w:rsidRPr="005547A2" w14:paraId="7815F368" w14:textId="77777777" w:rsidTr="000561E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41A926BD"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Piemonte</w:t>
            </w:r>
          </w:p>
        </w:tc>
        <w:tc>
          <w:tcPr>
            <w:tcW w:w="827" w:type="pct"/>
            <w:noWrap/>
            <w:vAlign w:val="bottom"/>
          </w:tcPr>
          <w:p w14:paraId="113FEC0B"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43.400.000</w:t>
            </w:r>
          </w:p>
        </w:tc>
        <w:tc>
          <w:tcPr>
            <w:tcW w:w="809" w:type="pct"/>
            <w:noWrap/>
            <w:vAlign w:val="center"/>
          </w:tcPr>
          <w:p w14:paraId="5C4F1984"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974.100.000</w:t>
            </w:r>
          </w:p>
        </w:tc>
        <w:tc>
          <w:tcPr>
            <w:tcW w:w="809" w:type="pct"/>
            <w:vAlign w:val="center"/>
          </w:tcPr>
          <w:p w14:paraId="6192CDA5"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4,5%</w:t>
            </w:r>
          </w:p>
        </w:tc>
        <w:tc>
          <w:tcPr>
            <w:tcW w:w="809" w:type="pct"/>
            <w:noWrap/>
            <w:vAlign w:val="center"/>
          </w:tcPr>
          <w:p w14:paraId="57E813F9"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43.300.000</w:t>
            </w:r>
          </w:p>
        </w:tc>
        <w:tc>
          <w:tcPr>
            <w:tcW w:w="954" w:type="pct"/>
            <w:vAlign w:val="bottom"/>
          </w:tcPr>
          <w:p w14:paraId="7D5319E9"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99,8%</w:t>
            </w:r>
          </w:p>
        </w:tc>
      </w:tr>
      <w:tr w:rsidR="000561ED" w:rsidRPr="005547A2" w14:paraId="4C702A9B" w14:textId="77777777" w:rsidTr="000561ED">
        <w:trPr>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7D27CF0B"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Sardegna</w:t>
            </w:r>
          </w:p>
        </w:tc>
        <w:tc>
          <w:tcPr>
            <w:tcW w:w="827" w:type="pct"/>
            <w:noWrap/>
            <w:vAlign w:val="bottom"/>
          </w:tcPr>
          <w:p w14:paraId="7B3ED958"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62.500.000</w:t>
            </w:r>
          </w:p>
        </w:tc>
        <w:tc>
          <w:tcPr>
            <w:tcW w:w="809" w:type="pct"/>
            <w:noWrap/>
            <w:vAlign w:val="center"/>
          </w:tcPr>
          <w:p w14:paraId="35250B04"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1.284.700.000</w:t>
            </w:r>
          </w:p>
        </w:tc>
        <w:tc>
          <w:tcPr>
            <w:tcW w:w="809" w:type="pct"/>
            <w:vAlign w:val="center"/>
          </w:tcPr>
          <w:p w14:paraId="692470A4"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4,9%</w:t>
            </w:r>
          </w:p>
        </w:tc>
        <w:tc>
          <w:tcPr>
            <w:tcW w:w="809" w:type="pct"/>
            <w:noWrap/>
            <w:vAlign w:val="center"/>
          </w:tcPr>
          <w:p w14:paraId="36023BC4"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63.300.000</w:t>
            </w:r>
          </w:p>
        </w:tc>
        <w:tc>
          <w:tcPr>
            <w:tcW w:w="954" w:type="pct"/>
            <w:vAlign w:val="bottom"/>
          </w:tcPr>
          <w:p w14:paraId="0EBB8F2B"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101,3%</w:t>
            </w:r>
          </w:p>
        </w:tc>
      </w:tr>
      <w:tr w:rsidR="000561ED" w:rsidRPr="005547A2" w14:paraId="3383C669" w14:textId="77777777" w:rsidTr="000561E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061F48D0"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Toscana</w:t>
            </w:r>
          </w:p>
        </w:tc>
        <w:tc>
          <w:tcPr>
            <w:tcW w:w="827" w:type="pct"/>
            <w:noWrap/>
            <w:vAlign w:val="bottom"/>
          </w:tcPr>
          <w:p w14:paraId="7939187E"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56.500.000</w:t>
            </w:r>
          </w:p>
        </w:tc>
        <w:tc>
          <w:tcPr>
            <w:tcW w:w="809" w:type="pct"/>
            <w:noWrap/>
            <w:vAlign w:val="center"/>
          </w:tcPr>
          <w:p w14:paraId="1E6D9E2D"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869.500.000</w:t>
            </w:r>
          </w:p>
        </w:tc>
        <w:tc>
          <w:tcPr>
            <w:tcW w:w="809" w:type="pct"/>
            <w:vAlign w:val="center"/>
          </w:tcPr>
          <w:p w14:paraId="6E59D653"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6,5%</w:t>
            </w:r>
          </w:p>
        </w:tc>
        <w:tc>
          <w:tcPr>
            <w:tcW w:w="809" w:type="pct"/>
            <w:noWrap/>
            <w:vAlign w:val="center"/>
          </w:tcPr>
          <w:p w14:paraId="07800DEA"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55.000.000</w:t>
            </w:r>
          </w:p>
        </w:tc>
        <w:tc>
          <w:tcPr>
            <w:tcW w:w="954" w:type="pct"/>
            <w:vAlign w:val="bottom"/>
          </w:tcPr>
          <w:p w14:paraId="56A282E1"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97,3%</w:t>
            </w:r>
          </w:p>
        </w:tc>
      </w:tr>
      <w:tr w:rsidR="000561ED" w:rsidRPr="005547A2" w14:paraId="0258F0DB" w14:textId="77777777" w:rsidTr="000561ED">
        <w:trPr>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615F675C"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Trento</w:t>
            </w:r>
          </w:p>
        </w:tc>
        <w:tc>
          <w:tcPr>
            <w:tcW w:w="827" w:type="pct"/>
            <w:noWrap/>
            <w:vAlign w:val="bottom"/>
          </w:tcPr>
          <w:p w14:paraId="240D1DA0"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9.100.000</w:t>
            </w:r>
          </w:p>
        </w:tc>
        <w:tc>
          <w:tcPr>
            <w:tcW w:w="809" w:type="pct"/>
            <w:noWrap/>
            <w:vAlign w:val="center"/>
          </w:tcPr>
          <w:p w14:paraId="26363780"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278.800.000</w:t>
            </w:r>
          </w:p>
        </w:tc>
        <w:tc>
          <w:tcPr>
            <w:tcW w:w="809" w:type="pct"/>
            <w:vAlign w:val="center"/>
          </w:tcPr>
          <w:p w14:paraId="08FC0212"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3,3%</w:t>
            </w:r>
          </w:p>
        </w:tc>
        <w:tc>
          <w:tcPr>
            <w:tcW w:w="809" w:type="pct"/>
            <w:noWrap/>
            <w:vAlign w:val="center"/>
          </w:tcPr>
          <w:p w14:paraId="46E8147A"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9.200.000</w:t>
            </w:r>
          </w:p>
        </w:tc>
        <w:tc>
          <w:tcPr>
            <w:tcW w:w="954" w:type="pct"/>
            <w:vAlign w:val="bottom"/>
          </w:tcPr>
          <w:p w14:paraId="50665F0A"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101,1%</w:t>
            </w:r>
          </w:p>
        </w:tc>
      </w:tr>
      <w:tr w:rsidR="000561ED" w:rsidRPr="005547A2" w14:paraId="48507B91" w14:textId="77777777" w:rsidTr="000561E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291CBC74"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Umbria</w:t>
            </w:r>
          </w:p>
        </w:tc>
        <w:tc>
          <w:tcPr>
            <w:tcW w:w="827" w:type="pct"/>
            <w:noWrap/>
            <w:vAlign w:val="bottom"/>
          </w:tcPr>
          <w:p w14:paraId="4E767F24"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13.900.000</w:t>
            </w:r>
          </w:p>
        </w:tc>
        <w:tc>
          <w:tcPr>
            <w:tcW w:w="809" w:type="pct"/>
            <w:noWrap/>
            <w:vAlign w:val="center"/>
          </w:tcPr>
          <w:p w14:paraId="32F8601F"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783.800.000</w:t>
            </w:r>
          </w:p>
        </w:tc>
        <w:tc>
          <w:tcPr>
            <w:tcW w:w="809" w:type="pct"/>
            <w:vAlign w:val="center"/>
          </w:tcPr>
          <w:p w14:paraId="7D8C4925"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1,8%</w:t>
            </w:r>
          </w:p>
        </w:tc>
        <w:tc>
          <w:tcPr>
            <w:tcW w:w="809" w:type="pct"/>
            <w:noWrap/>
            <w:vAlign w:val="center"/>
          </w:tcPr>
          <w:p w14:paraId="09DF0003"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14.900.000</w:t>
            </w:r>
          </w:p>
        </w:tc>
        <w:tc>
          <w:tcPr>
            <w:tcW w:w="954" w:type="pct"/>
            <w:vAlign w:val="bottom"/>
          </w:tcPr>
          <w:p w14:paraId="4B103866"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107,2%</w:t>
            </w:r>
          </w:p>
        </w:tc>
      </w:tr>
      <w:tr w:rsidR="000561ED" w:rsidRPr="005547A2" w14:paraId="6184017F" w14:textId="77777777" w:rsidTr="000561ED">
        <w:trPr>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52A153B3"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Valle D’Aosta</w:t>
            </w:r>
          </w:p>
        </w:tc>
        <w:tc>
          <w:tcPr>
            <w:tcW w:w="827" w:type="pct"/>
            <w:noWrap/>
            <w:vAlign w:val="bottom"/>
          </w:tcPr>
          <w:p w14:paraId="1214D4B2"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4.500.000</w:t>
            </w:r>
          </w:p>
        </w:tc>
        <w:tc>
          <w:tcPr>
            <w:tcW w:w="809" w:type="pct"/>
            <w:noWrap/>
            <w:vAlign w:val="center"/>
          </w:tcPr>
          <w:p w14:paraId="44305BE6"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123.600.000</w:t>
            </w:r>
          </w:p>
        </w:tc>
        <w:tc>
          <w:tcPr>
            <w:tcW w:w="809" w:type="pct"/>
            <w:vAlign w:val="center"/>
          </w:tcPr>
          <w:p w14:paraId="0E4258FB"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3,6%</w:t>
            </w:r>
          </w:p>
        </w:tc>
        <w:tc>
          <w:tcPr>
            <w:tcW w:w="809" w:type="pct"/>
            <w:noWrap/>
            <w:vAlign w:val="center"/>
          </w:tcPr>
          <w:p w14:paraId="225C412B"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4.400.000</w:t>
            </w:r>
          </w:p>
        </w:tc>
        <w:tc>
          <w:tcPr>
            <w:tcW w:w="954" w:type="pct"/>
            <w:vAlign w:val="bottom"/>
          </w:tcPr>
          <w:p w14:paraId="483CDA00"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97,8%</w:t>
            </w:r>
          </w:p>
        </w:tc>
      </w:tr>
      <w:tr w:rsidR="000561ED" w:rsidRPr="005547A2" w14:paraId="725851F3" w14:textId="77777777" w:rsidTr="000561E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203A5AA0"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 xml:space="preserve">Veneto </w:t>
            </w:r>
          </w:p>
        </w:tc>
        <w:tc>
          <w:tcPr>
            <w:tcW w:w="827" w:type="pct"/>
            <w:noWrap/>
            <w:vAlign w:val="bottom"/>
          </w:tcPr>
          <w:p w14:paraId="79B37EC5"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56.700.000</w:t>
            </w:r>
          </w:p>
        </w:tc>
        <w:tc>
          <w:tcPr>
            <w:tcW w:w="809" w:type="pct"/>
            <w:noWrap/>
            <w:vAlign w:val="center"/>
          </w:tcPr>
          <w:p w14:paraId="761332D1"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1.041.200.000</w:t>
            </w:r>
          </w:p>
        </w:tc>
        <w:tc>
          <w:tcPr>
            <w:tcW w:w="809" w:type="pct"/>
            <w:vAlign w:val="center"/>
          </w:tcPr>
          <w:p w14:paraId="59916174"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5,4%</w:t>
            </w:r>
          </w:p>
        </w:tc>
        <w:tc>
          <w:tcPr>
            <w:tcW w:w="809" w:type="pct"/>
            <w:noWrap/>
            <w:vAlign w:val="center"/>
          </w:tcPr>
          <w:p w14:paraId="39547DC7"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56.400.000</w:t>
            </w:r>
          </w:p>
        </w:tc>
        <w:tc>
          <w:tcPr>
            <w:tcW w:w="954" w:type="pct"/>
            <w:vAlign w:val="bottom"/>
          </w:tcPr>
          <w:p w14:paraId="7969FE93"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99,5%</w:t>
            </w:r>
          </w:p>
        </w:tc>
      </w:tr>
      <w:tr w:rsidR="000561ED" w:rsidRPr="005547A2" w14:paraId="4EF2DA7B" w14:textId="77777777" w:rsidTr="000561ED">
        <w:trPr>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414CBD8E" w14:textId="77777777" w:rsidR="000561ED" w:rsidRPr="00043A09" w:rsidRDefault="000561ED" w:rsidP="000561ED">
            <w:pPr>
              <w:rPr>
                <w:rFonts w:cstheme="minorHAnsi"/>
                <w:sz w:val="20"/>
                <w:szCs w:val="20"/>
                <w:lang w:eastAsia="it-IT"/>
              </w:rPr>
            </w:pPr>
            <w:r w:rsidRPr="00043A09">
              <w:rPr>
                <w:rFonts w:ascii="Calibri" w:hAnsi="Calibri" w:cs="Calibri"/>
                <w:sz w:val="20"/>
                <w:szCs w:val="20"/>
              </w:rPr>
              <w:t>Convergenza</w:t>
            </w:r>
          </w:p>
        </w:tc>
        <w:tc>
          <w:tcPr>
            <w:tcW w:w="827" w:type="pct"/>
            <w:noWrap/>
            <w:vAlign w:val="bottom"/>
          </w:tcPr>
          <w:p w14:paraId="3810C82E"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b/>
                <w:color w:val="000000"/>
                <w:sz w:val="20"/>
                <w:szCs w:val="20"/>
              </w:rPr>
            </w:pPr>
            <w:r w:rsidRPr="002B6C32">
              <w:rPr>
                <w:rFonts w:ascii="Calibri" w:hAnsi="Calibri" w:cstheme="minorHAnsi"/>
                <w:b/>
                <w:color w:val="000000"/>
                <w:sz w:val="20"/>
                <w:szCs w:val="20"/>
              </w:rPr>
              <w:t>246.100.000</w:t>
            </w:r>
          </w:p>
        </w:tc>
        <w:tc>
          <w:tcPr>
            <w:tcW w:w="809" w:type="pct"/>
            <w:noWrap/>
            <w:vAlign w:val="center"/>
          </w:tcPr>
          <w:p w14:paraId="76DC4D25"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2B6C32">
              <w:rPr>
                <w:rFonts w:ascii="Calibri" w:hAnsi="Calibri" w:cs="Calibri"/>
                <w:b/>
                <w:color w:val="000000"/>
                <w:sz w:val="20"/>
                <w:szCs w:val="20"/>
              </w:rPr>
              <w:t>7.232.600.000</w:t>
            </w:r>
          </w:p>
        </w:tc>
        <w:tc>
          <w:tcPr>
            <w:tcW w:w="809" w:type="pct"/>
            <w:vAlign w:val="center"/>
          </w:tcPr>
          <w:p w14:paraId="7C888CBC"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color w:val="000000"/>
                <w:sz w:val="20"/>
                <w:szCs w:val="20"/>
              </w:rPr>
            </w:pPr>
            <w:r w:rsidRPr="002B6C32">
              <w:rPr>
                <w:rFonts w:ascii="Calibri" w:hAnsi="Calibri" w:cs="Calibri"/>
                <w:b/>
                <w:color w:val="000000"/>
                <w:sz w:val="20"/>
                <w:szCs w:val="20"/>
              </w:rPr>
              <w:t>3,4%</w:t>
            </w:r>
          </w:p>
        </w:tc>
        <w:tc>
          <w:tcPr>
            <w:tcW w:w="809" w:type="pct"/>
            <w:noWrap/>
            <w:vAlign w:val="center"/>
          </w:tcPr>
          <w:p w14:paraId="1D8BF1B9"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2B6C32">
              <w:rPr>
                <w:rFonts w:ascii="Calibri" w:hAnsi="Calibri" w:cs="Calibri"/>
                <w:b/>
                <w:color w:val="000000"/>
                <w:sz w:val="20"/>
                <w:szCs w:val="20"/>
              </w:rPr>
              <w:t>247.820.000</w:t>
            </w:r>
          </w:p>
        </w:tc>
        <w:tc>
          <w:tcPr>
            <w:tcW w:w="954" w:type="pct"/>
            <w:vAlign w:val="bottom"/>
          </w:tcPr>
          <w:p w14:paraId="1CC50F90"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sz w:val="20"/>
                <w:szCs w:val="20"/>
              </w:rPr>
            </w:pPr>
            <w:r w:rsidRPr="002B6C32">
              <w:rPr>
                <w:rFonts w:ascii="Calibri" w:hAnsi="Calibri" w:cs="Calibri"/>
                <w:b/>
                <w:color w:val="000000"/>
                <w:sz w:val="20"/>
                <w:szCs w:val="20"/>
              </w:rPr>
              <w:t>100,7%</w:t>
            </w:r>
          </w:p>
        </w:tc>
      </w:tr>
      <w:tr w:rsidR="000561ED" w:rsidRPr="005547A2" w14:paraId="01649074" w14:textId="77777777" w:rsidTr="000561E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55B49259"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 xml:space="preserve">Basilicata </w:t>
            </w:r>
          </w:p>
        </w:tc>
        <w:tc>
          <w:tcPr>
            <w:tcW w:w="827" w:type="pct"/>
            <w:noWrap/>
            <w:vAlign w:val="bottom"/>
          </w:tcPr>
          <w:p w14:paraId="0B5F4F3B"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24.200.000</w:t>
            </w:r>
          </w:p>
        </w:tc>
        <w:tc>
          <w:tcPr>
            <w:tcW w:w="809" w:type="pct"/>
            <w:noWrap/>
            <w:vAlign w:val="center"/>
          </w:tcPr>
          <w:p w14:paraId="626F3750"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625.900.000</w:t>
            </w:r>
          </w:p>
        </w:tc>
        <w:tc>
          <w:tcPr>
            <w:tcW w:w="809" w:type="pct"/>
            <w:vAlign w:val="center"/>
          </w:tcPr>
          <w:p w14:paraId="5FA9F0B2"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3,9%</w:t>
            </w:r>
          </w:p>
        </w:tc>
        <w:tc>
          <w:tcPr>
            <w:tcW w:w="809" w:type="pct"/>
            <w:noWrap/>
            <w:vAlign w:val="center"/>
          </w:tcPr>
          <w:p w14:paraId="1583C771"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24.100.000</w:t>
            </w:r>
          </w:p>
        </w:tc>
        <w:tc>
          <w:tcPr>
            <w:tcW w:w="954" w:type="pct"/>
            <w:vAlign w:val="bottom"/>
          </w:tcPr>
          <w:p w14:paraId="7B86E74E"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99,6%</w:t>
            </w:r>
          </w:p>
        </w:tc>
      </w:tr>
      <w:tr w:rsidR="000561ED" w:rsidRPr="005547A2" w14:paraId="71A67066" w14:textId="77777777" w:rsidTr="000561ED">
        <w:trPr>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0A066206"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 xml:space="preserve">Calabria </w:t>
            </w:r>
          </w:p>
        </w:tc>
        <w:tc>
          <w:tcPr>
            <w:tcW w:w="827" w:type="pct"/>
            <w:noWrap/>
            <w:vAlign w:val="bottom"/>
          </w:tcPr>
          <w:p w14:paraId="31EB3648"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46.300.000</w:t>
            </w:r>
          </w:p>
        </w:tc>
        <w:tc>
          <w:tcPr>
            <w:tcW w:w="809" w:type="pct"/>
            <w:noWrap/>
            <w:vAlign w:val="center"/>
          </w:tcPr>
          <w:p w14:paraId="278E2CAE"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1.087.500.000</w:t>
            </w:r>
          </w:p>
        </w:tc>
        <w:tc>
          <w:tcPr>
            <w:tcW w:w="809" w:type="pct"/>
            <w:vAlign w:val="center"/>
          </w:tcPr>
          <w:p w14:paraId="1454DA1B"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4,3%</w:t>
            </w:r>
          </w:p>
        </w:tc>
        <w:tc>
          <w:tcPr>
            <w:tcW w:w="809" w:type="pct"/>
            <w:noWrap/>
            <w:vAlign w:val="center"/>
          </w:tcPr>
          <w:p w14:paraId="163FF333"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46.100.000</w:t>
            </w:r>
          </w:p>
        </w:tc>
        <w:tc>
          <w:tcPr>
            <w:tcW w:w="954" w:type="pct"/>
            <w:vAlign w:val="bottom"/>
          </w:tcPr>
          <w:p w14:paraId="2E619BE5"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99,6%</w:t>
            </w:r>
          </w:p>
        </w:tc>
      </w:tr>
      <w:tr w:rsidR="000561ED" w:rsidRPr="005547A2" w14:paraId="0F157CE6" w14:textId="77777777" w:rsidTr="000561E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1932F733"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Campania</w:t>
            </w:r>
          </w:p>
        </w:tc>
        <w:tc>
          <w:tcPr>
            <w:tcW w:w="827" w:type="pct"/>
            <w:noWrap/>
            <w:vAlign w:val="bottom"/>
          </w:tcPr>
          <w:p w14:paraId="53421E3E"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28.000.000</w:t>
            </w:r>
          </w:p>
        </w:tc>
        <w:tc>
          <w:tcPr>
            <w:tcW w:w="809" w:type="pct"/>
            <w:noWrap/>
            <w:vAlign w:val="center"/>
          </w:tcPr>
          <w:p w14:paraId="2A8F0BA3"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1.797.600.000</w:t>
            </w:r>
          </w:p>
        </w:tc>
        <w:tc>
          <w:tcPr>
            <w:tcW w:w="809" w:type="pct"/>
            <w:vAlign w:val="center"/>
          </w:tcPr>
          <w:p w14:paraId="4CBE4142"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1,6%</w:t>
            </w:r>
          </w:p>
        </w:tc>
        <w:tc>
          <w:tcPr>
            <w:tcW w:w="809" w:type="pct"/>
            <w:noWrap/>
            <w:vAlign w:val="center"/>
          </w:tcPr>
          <w:p w14:paraId="39DA6109"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28.300.000</w:t>
            </w:r>
          </w:p>
        </w:tc>
        <w:tc>
          <w:tcPr>
            <w:tcW w:w="954" w:type="pct"/>
            <w:vAlign w:val="bottom"/>
          </w:tcPr>
          <w:p w14:paraId="09C96ADE"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101,1%</w:t>
            </w:r>
          </w:p>
        </w:tc>
      </w:tr>
      <w:tr w:rsidR="000561ED" w:rsidRPr="005547A2" w14:paraId="40A71030" w14:textId="77777777" w:rsidTr="000561ED">
        <w:trPr>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46654A83"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Puglia</w:t>
            </w:r>
          </w:p>
        </w:tc>
        <w:tc>
          <w:tcPr>
            <w:tcW w:w="827" w:type="pct"/>
            <w:noWrap/>
            <w:vAlign w:val="bottom"/>
          </w:tcPr>
          <w:p w14:paraId="36E85DF4"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70.500.000</w:t>
            </w:r>
          </w:p>
        </w:tc>
        <w:tc>
          <w:tcPr>
            <w:tcW w:w="809" w:type="pct"/>
            <w:noWrap/>
            <w:vAlign w:val="center"/>
          </w:tcPr>
          <w:p w14:paraId="0B6935BB"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1.595.100.000</w:t>
            </w:r>
          </w:p>
        </w:tc>
        <w:tc>
          <w:tcPr>
            <w:tcW w:w="809" w:type="pct"/>
            <w:vAlign w:val="center"/>
          </w:tcPr>
          <w:p w14:paraId="5E3F0379"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4,4%</w:t>
            </w:r>
          </w:p>
        </w:tc>
        <w:tc>
          <w:tcPr>
            <w:tcW w:w="809" w:type="pct"/>
            <w:noWrap/>
            <w:vAlign w:val="center"/>
          </w:tcPr>
          <w:p w14:paraId="3275302B" w14:textId="77777777" w:rsidR="000561ED" w:rsidRPr="007B0AAF"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71.400.000</w:t>
            </w:r>
          </w:p>
        </w:tc>
        <w:tc>
          <w:tcPr>
            <w:tcW w:w="954" w:type="pct"/>
            <w:vAlign w:val="bottom"/>
          </w:tcPr>
          <w:p w14:paraId="54C5BB16"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101,3%</w:t>
            </w:r>
          </w:p>
        </w:tc>
      </w:tr>
      <w:tr w:rsidR="000561ED" w:rsidRPr="005547A2" w14:paraId="05A5C6F2" w14:textId="77777777" w:rsidTr="000561E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6424C911" w14:textId="77777777" w:rsidR="000561ED" w:rsidRPr="00043A09" w:rsidRDefault="000561ED" w:rsidP="000561ED">
            <w:pPr>
              <w:rPr>
                <w:rFonts w:cstheme="minorHAnsi"/>
                <w:b w:val="0"/>
                <w:sz w:val="20"/>
                <w:szCs w:val="20"/>
                <w:lang w:eastAsia="it-IT"/>
              </w:rPr>
            </w:pPr>
            <w:r w:rsidRPr="00043A09">
              <w:rPr>
                <w:rFonts w:ascii="Calibri" w:hAnsi="Calibri" w:cs="Calibri"/>
                <w:b w:val="0"/>
                <w:sz w:val="20"/>
                <w:szCs w:val="20"/>
              </w:rPr>
              <w:t>Sicilia</w:t>
            </w:r>
          </w:p>
        </w:tc>
        <w:tc>
          <w:tcPr>
            <w:tcW w:w="827" w:type="pct"/>
            <w:noWrap/>
            <w:vAlign w:val="bottom"/>
          </w:tcPr>
          <w:p w14:paraId="724283E3"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color w:val="000000"/>
                <w:sz w:val="20"/>
                <w:szCs w:val="20"/>
              </w:rPr>
            </w:pPr>
            <w:r w:rsidRPr="002B6C32">
              <w:rPr>
                <w:rFonts w:ascii="Calibri" w:hAnsi="Calibri" w:cstheme="minorHAnsi"/>
                <w:color w:val="000000"/>
                <w:sz w:val="20"/>
                <w:szCs w:val="20"/>
              </w:rPr>
              <w:t>77.100.000</w:t>
            </w:r>
          </w:p>
        </w:tc>
        <w:tc>
          <w:tcPr>
            <w:tcW w:w="809" w:type="pct"/>
            <w:noWrap/>
            <w:vAlign w:val="center"/>
          </w:tcPr>
          <w:p w14:paraId="7CCA9F2F"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2.126.500.000</w:t>
            </w:r>
          </w:p>
        </w:tc>
        <w:tc>
          <w:tcPr>
            <w:tcW w:w="809" w:type="pct"/>
            <w:vAlign w:val="center"/>
          </w:tcPr>
          <w:p w14:paraId="0449DADE"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0"/>
                <w:szCs w:val="20"/>
              </w:rPr>
            </w:pPr>
            <w:r>
              <w:rPr>
                <w:rFonts w:ascii="Calibri" w:hAnsi="Calibri" w:cs="Calibri"/>
                <w:color w:val="000000"/>
                <w:sz w:val="20"/>
                <w:szCs w:val="20"/>
              </w:rPr>
              <w:t>3,6%</w:t>
            </w:r>
          </w:p>
        </w:tc>
        <w:tc>
          <w:tcPr>
            <w:tcW w:w="809" w:type="pct"/>
            <w:noWrap/>
            <w:vAlign w:val="center"/>
          </w:tcPr>
          <w:p w14:paraId="205E35D1" w14:textId="77777777" w:rsidR="000561ED" w:rsidRPr="007B0AAF"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77.900.000</w:t>
            </w:r>
          </w:p>
        </w:tc>
        <w:tc>
          <w:tcPr>
            <w:tcW w:w="954" w:type="pct"/>
            <w:vAlign w:val="bottom"/>
          </w:tcPr>
          <w:p w14:paraId="59434B1F" w14:textId="77777777" w:rsidR="000561ED" w:rsidRPr="002B6C32" w:rsidRDefault="000561ED" w:rsidP="000561ED">
            <w:pPr>
              <w:jc w:val="right"/>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2B6C32">
              <w:rPr>
                <w:rFonts w:ascii="Calibri" w:hAnsi="Calibri" w:cs="Calibri"/>
                <w:color w:val="000000"/>
                <w:sz w:val="20"/>
                <w:szCs w:val="20"/>
              </w:rPr>
              <w:t>101,0%</w:t>
            </w:r>
          </w:p>
        </w:tc>
      </w:tr>
      <w:tr w:rsidR="000561ED" w:rsidRPr="005547A2" w14:paraId="466C808A" w14:textId="77777777" w:rsidTr="000561ED">
        <w:trPr>
          <w:trHeight w:val="300"/>
        </w:trPr>
        <w:tc>
          <w:tcPr>
            <w:cnfStyle w:val="001000000000" w:firstRow="0" w:lastRow="0" w:firstColumn="1" w:lastColumn="0" w:oddVBand="0" w:evenVBand="0" w:oddHBand="0" w:evenHBand="0" w:firstRowFirstColumn="0" w:firstRowLastColumn="0" w:lastRowFirstColumn="0" w:lastRowLastColumn="0"/>
            <w:tcW w:w="792" w:type="pct"/>
            <w:noWrap/>
          </w:tcPr>
          <w:p w14:paraId="43CDEDDB" w14:textId="77777777" w:rsidR="000561ED" w:rsidRPr="00043A09" w:rsidRDefault="000561ED" w:rsidP="000561ED">
            <w:pPr>
              <w:rPr>
                <w:rFonts w:cstheme="minorHAnsi"/>
                <w:sz w:val="20"/>
                <w:szCs w:val="20"/>
                <w:lang w:eastAsia="it-IT"/>
              </w:rPr>
            </w:pPr>
            <w:r w:rsidRPr="00043A09">
              <w:rPr>
                <w:rFonts w:ascii="Calibri" w:hAnsi="Calibri" w:cs="Calibri"/>
                <w:sz w:val="20"/>
                <w:szCs w:val="20"/>
              </w:rPr>
              <w:t>Italia</w:t>
            </w:r>
          </w:p>
        </w:tc>
        <w:tc>
          <w:tcPr>
            <w:tcW w:w="827" w:type="pct"/>
            <w:noWrap/>
            <w:vAlign w:val="bottom"/>
          </w:tcPr>
          <w:p w14:paraId="4E2AD063"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b/>
                <w:color w:val="000000"/>
                <w:sz w:val="20"/>
                <w:szCs w:val="20"/>
              </w:rPr>
            </w:pPr>
            <w:r w:rsidRPr="002B6C32">
              <w:rPr>
                <w:rFonts w:ascii="Calibri" w:hAnsi="Calibri" w:cstheme="minorHAnsi"/>
                <w:b/>
                <w:color w:val="000000"/>
                <w:sz w:val="20"/>
                <w:szCs w:val="20"/>
              </w:rPr>
              <w:t>702.600.000</w:t>
            </w:r>
          </w:p>
        </w:tc>
        <w:tc>
          <w:tcPr>
            <w:tcW w:w="809" w:type="pct"/>
            <w:noWrap/>
            <w:vAlign w:val="center"/>
          </w:tcPr>
          <w:p w14:paraId="5B893A08"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2B6C32">
              <w:rPr>
                <w:rFonts w:ascii="Calibri" w:hAnsi="Calibri" w:cs="Calibri"/>
                <w:b/>
                <w:color w:val="000000"/>
                <w:sz w:val="20"/>
                <w:szCs w:val="20"/>
              </w:rPr>
              <w:t>17.477.800.000</w:t>
            </w:r>
          </w:p>
        </w:tc>
        <w:tc>
          <w:tcPr>
            <w:tcW w:w="809" w:type="pct"/>
            <w:vAlign w:val="center"/>
          </w:tcPr>
          <w:p w14:paraId="3A843D77"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color w:val="000000"/>
                <w:sz w:val="20"/>
                <w:szCs w:val="20"/>
              </w:rPr>
            </w:pPr>
            <w:r w:rsidRPr="002B6C32">
              <w:rPr>
                <w:rFonts w:ascii="Calibri" w:hAnsi="Calibri" w:cs="Calibri"/>
                <w:b/>
                <w:color w:val="000000"/>
                <w:sz w:val="20"/>
                <w:szCs w:val="20"/>
              </w:rPr>
              <w:t>4,0%</w:t>
            </w:r>
          </w:p>
        </w:tc>
        <w:tc>
          <w:tcPr>
            <w:tcW w:w="809" w:type="pct"/>
            <w:noWrap/>
            <w:vAlign w:val="center"/>
          </w:tcPr>
          <w:p w14:paraId="7E36E208"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2B6C32">
              <w:rPr>
                <w:rFonts w:ascii="Calibri" w:hAnsi="Calibri" w:cs="Calibri"/>
                <w:b/>
                <w:color w:val="000000"/>
                <w:sz w:val="20"/>
                <w:szCs w:val="20"/>
              </w:rPr>
              <w:t>698.180.000</w:t>
            </w:r>
          </w:p>
        </w:tc>
        <w:tc>
          <w:tcPr>
            <w:tcW w:w="954" w:type="pct"/>
            <w:vAlign w:val="bottom"/>
          </w:tcPr>
          <w:p w14:paraId="1A8A4B03" w14:textId="77777777" w:rsidR="000561ED" w:rsidRPr="002B6C32" w:rsidRDefault="000561ED" w:rsidP="000561ED">
            <w:pPr>
              <w:jc w:val="right"/>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sz w:val="20"/>
                <w:szCs w:val="20"/>
              </w:rPr>
            </w:pPr>
            <w:r w:rsidRPr="002B6C32">
              <w:rPr>
                <w:rFonts w:ascii="Calibri" w:hAnsi="Calibri" w:cs="Calibri"/>
                <w:b/>
                <w:color w:val="000000"/>
                <w:sz w:val="20"/>
                <w:szCs w:val="20"/>
              </w:rPr>
              <w:t>99,4%</w:t>
            </w:r>
          </w:p>
        </w:tc>
      </w:tr>
    </w:tbl>
    <w:p w14:paraId="4B8C0ECA" w14:textId="77777777" w:rsidR="000561ED" w:rsidRPr="005843B7" w:rsidRDefault="000561ED" w:rsidP="000561ED">
      <w:pPr>
        <w:pStyle w:val="Fontetabellagrafico"/>
        <w:rPr>
          <w:rFonts w:ascii="Century Gothic" w:hAnsi="Century Gothic"/>
          <w:color w:val="000000" w:themeColor="text1"/>
          <w:lang w:val="it-IT"/>
        </w:rPr>
      </w:pPr>
      <w:r w:rsidRPr="00E71318">
        <w:rPr>
          <w:lang w:val="it-IT"/>
        </w:rPr>
        <w:t>Fonte: elaborazioni Ismea su dati RAE cumulati al 31/12/2015</w:t>
      </w:r>
    </w:p>
    <w:p w14:paraId="5720415C" w14:textId="253FAE57" w:rsidR="000561ED" w:rsidRDefault="000561ED" w:rsidP="000561ED">
      <w:r w:rsidRPr="00A6685B">
        <w:t xml:space="preserve">L’attuazione </w:t>
      </w:r>
      <w:r>
        <w:t xml:space="preserve">fisica </w:t>
      </w:r>
      <w:r w:rsidRPr="00A6685B">
        <w:t xml:space="preserve">della Misura, a partire dai primi anni della programmazione, non ha riscontrato particolari criticità, manifestando al contrario un effetto particolarmente attrattivo nei confronti dei potenziali beneficiari. </w:t>
      </w:r>
      <w:r>
        <w:t>Il 2010 è l’anno in cui si inizia a registrare un significativo livello di spesa, che cresce negli anni successivi in maniera costante fino al termine del periodo di programmazione</w:t>
      </w:r>
      <w:r w:rsidR="0076109C">
        <w:t xml:space="preserve"> (</w:t>
      </w:r>
      <w:r w:rsidR="0076109C" w:rsidRPr="0076109C">
        <w:rPr>
          <w:b/>
          <w:bCs/>
        </w:rPr>
        <w:t>Figura 23</w:t>
      </w:r>
      <w:r w:rsidR="0076109C">
        <w:t>)</w:t>
      </w:r>
      <w:r>
        <w:t xml:space="preserve">. </w:t>
      </w:r>
    </w:p>
    <w:p w14:paraId="0B78486E" w14:textId="18A8EEBE" w:rsidR="000561ED" w:rsidRPr="00DF622E" w:rsidRDefault="000561ED" w:rsidP="00881A29">
      <w:pPr>
        <w:pStyle w:val="Titolotab"/>
        <w:numPr>
          <w:ilvl w:val="0"/>
          <w:numId w:val="0"/>
        </w:numPr>
        <w:spacing w:after="0"/>
      </w:pPr>
      <w:r>
        <w:lastRenderedPageBreak/>
        <w:t xml:space="preserve">Figura </w:t>
      </w:r>
      <w:r w:rsidR="00325025">
        <w:t>2</w:t>
      </w:r>
      <w:r w:rsidR="00881A29">
        <w:t>3</w:t>
      </w:r>
      <w:r>
        <w:t>- Andamento</w:t>
      </w:r>
      <w:r w:rsidRPr="00725899">
        <w:t xml:space="preserve"> della spesa pubblica </w:t>
      </w:r>
      <w:r>
        <w:t xml:space="preserve">per la Misura 112 </w:t>
      </w:r>
      <w:r w:rsidRPr="00DF622E">
        <w:t>(valore in milioni di euro e tasso di esecuzione in %)</w:t>
      </w:r>
    </w:p>
    <w:p w14:paraId="207F6DEB" w14:textId="77777777" w:rsidR="000561ED" w:rsidRDefault="000561ED" w:rsidP="000561ED">
      <w:pPr>
        <w:pStyle w:val="Titolotab"/>
        <w:numPr>
          <w:ilvl w:val="0"/>
          <w:numId w:val="0"/>
        </w:numPr>
      </w:pPr>
      <w:r>
        <w:rPr>
          <w:noProof/>
          <w:lang w:eastAsia="it-IT"/>
        </w:rPr>
        <w:drawing>
          <wp:inline distT="0" distB="0" distL="0" distR="0" wp14:anchorId="38F6CCA5" wp14:editId="6F15AB6F">
            <wp:extent cx="6120130" cy="3667125"/>
            <wp:effectExtent l="0" t="0" r="13970" b="9525"/>
            <wp:docPr id="30" name="Grafico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53A88E90" w14:textId="77777777" w:rsidR="000561ED" w:rsidRPr="00DF622E" w:rsidRDefault="000561ED" w:rsidP="0076109C">
      <w:pPr>
        <w:pStyle w:val="Fontetabellagrafico"/>
        <w:spacing w:before="0" w:after="120"/>
        <w:rPr>
          <w:rFonts w:ascii="Century Gothic" w:hAnsi="Century Gothic"/>
          <w:color w:val="000000" w:themeColor="text1"/>
          <w:lang w:val="it-IT"/>
        </w:rPr>
      </w:pPr>
      <w:r w:rsidRPr="00797918">
        <w:rPr>
          <w:lang w:val="it-IT"/>
        </w:rPr>
        <w:t>Fonte: elaborazioni Ismea su dati RAE cumulati al 31/12/2015</w:t>
      </w:r>
    </w:p>
    <w:p w14:paraId="0471FB04" w14:textId="77777777" w:rsidR="000561ED" w:rsidRDefault="000561ED" w:rsidP="000561ED">
      <w:r w:rsidRPr="00A6685B">
        <w:t>Dal dettaglio regionale si evince una buona performance della misura</w:t>
      </w:r>
      <w:r>
        <w:t>,</w:t>
      </w:r>
      <w:r w:rsidRPr="00A6685B">
        <w:t xml:space="preserve"> essendo stato pressoché realizzato quanto previsto all’inizio della programmazione</w:t>
      </w:r>
      <w:r>
        <w:t>,</w:t>
      </w:r>
      <w:r w:rsidRPr="00A6685B">
        <w:t xml:space="preserve"> con alcune regioni che hanno abbondantemente superato il target fissato.</w:t>
      </w:r>
    </w:p>
    <w:p w14:paraId="649DEC40" w14:textId="77777777" w:rsidR="0076109C" w:rsidRDefault="0076109C" w:rsidP="000561ED">
      <w:pPr>
        <w:pStyle w:val="Titolotab"/>
        <w:numPr>
          <w:ilvl w:val="0"/>
          <w:numId w:val="0"/>
        </w:numPr>
      </w:pPr>
      <w:r>
        <w:br w:type="page"/>
      </w:r>
    </w:p>
    <w:p w14:paraId="23B76D9F" w14:textId="72FCBAFA" w:rsidR="000561ED" w:rsidRPr="00A6685B" w:rsidRDefault="000561ED" w:rsidP="000561ED">
      <w:pPr>
        <w:pStyle w:val="Titolotab"/>
        <w:numPr>
          <w:ilvl w:val="0"/>
          <w:numId w:val="0"/>
        </w:numPr>
      </w:pPr>
      <w:r>
        <w:lastRenderedPageBreak/>
        <w:t xml:space="preserve">Tabella </w:t>
      </w:r>
      <w:r w:rsidR="00325025" w:rsidRPr="00325025">
        <w:t>23</w:t>
      </w:r>
      <w:r>
        <w:t xml:space="preserve"> - </w:t>
      </w:r>
      <w:r w:rsidRPr="00462FCA">
        <w:t xml:space="preserve">Attuazione </w:t>
      </w:r>
      <w:r>
        <w:t>fisica</w:t>
      </w:r>
      <w:r w:rsidRPr="00462FCA">
        <w:t xml:space="preserve"> della misura 112</w:t>
      </w:r>
      <w:r>
        <w:t>, e</w:t>
      </w:r>
      <w:r w:rsidRPr="00462FCA">
        <w:t>sclusi gli impegni in corso sottoscritti nel 2000-2006</w:t>
      </w:r>
      <w:r>
        <w:t xml:space="preserve"> </w:t>
      </w:r>
      <w:r w:rsidRPr="00462FCA">
        <w:t xml:space="preserve">(milioni di </w:t>
      </w:r>
      <w:r>
        <w:t>euro)</w:t>
      </w:r>
    </w:p>
    <w:tbl>
      <w:tblPr>
        <w:tblStyle w:val="Tabellagriglia5scura-colore11"/>
        <w:tblW w:w="5000" w:type="pct"/>
        <w:jc w:val="center"/>
        <w:tblLook w:val="04A0" w:firstRow="1" w:lastRow="0" w:firstColumn="1" w:lastColumn="0" w:noHBand="0" w:noVBand="1"/>
      </w:tblPr>
      <w:tblGrid>
        <w:gridCol w:w="1946"/>
        <w:gridCol w:w="3003"/>
        <w:gridCol w:w="1193"/>
        <w:gridCol w:w="2160"/>
        <w:gridCol w:w="1326"/>
      </w:tblGrid>
      <w:tr w:rsidR="000561ED" w:rsidRPr="00043A09" w14:paraId="739A250F" w14:textId="77777777" w:rsidTr="000561ED">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hideMark/>
          </w:tcPr>
          <w:p w14:paraId="4EF523D5" w14:textId="77777777" w:rsidR="000561ED" w:rsidRPr="00043A09" w:rsidRDefault="000561ED" w:rsidP="000561ED">
            <w:pPr>
              <w:rPr>
                <w:rFonts w:cstheme="minorHAnsi"/>
                <w:sz w:val="20"/>
                <w:szCs w:val="20"/>
                <w:lang w:eastAsia="it-IT"/>
              </w:rPr>
            </w:pPr>
          </w:p>
        </w:tc>
        <w:tc>
          <w:tcPr>
            <w:tcW w:w="1036" w:type="pct"/>
            <w:noWrap/>
          </w:tcPr>
          <w:p w14:paraId="2D6C8FA0" w14:textId="77777777" w:rsidR="000561ED" w:rsidRPr="00797918" w:rsidRDefault="000561ED" w:rsidP="000561ED">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797918">
              <w:rPr>
                <w:rFonts w:cstheme="minorHAnsi"/>
                <w:sz w:val="20"/>
                <w:szCs w:val="20"/>
              </w:rPr>
              <w:t>Giovani agricoltori beneficiari (n.)</w:t>
            </w:r>
          </w:p>
        </w:tc>
        <w:tc>
          <w:tcPr>
            <w:tcW w:w="862" w:type="pct"/>
            <w:noWrap/>
          </w:tcPr>
          <w:p w14:paraId="38CEC085" w14:textId="77777777" w:rsidR="000561ED" w:rsidRPr="00797918" w:rsidRDefault="000561ED" w:rsidP="000561ED">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797918">
              <w:rPr>
                <w:rFonts w:cstheme="minorHAnsi"/>
                <w:sz w:val="20"/>
                <w:szCs w:val="20"/>
              </w:rPr>
              <w:t xml:space="preserve">Obiettivo </w:t>
            </w:r>
            <w:r w:rsidRPr="00797918">
              <w:rPr>
                <w:rFonts w:cstheme="minorHAnsi"/>
                <w:sz w:val="20"/>
                <w:szCs w:val="20"/>
              </w:rPr>
              <w:br/>
              <w:t>2007-2013</w:t>
            </w:r>
          </w:p>
        </w:tc>
        <w:tc>
          <w:tcPr>
            <w:tcW w:w="1122" w:type="pct"/>
            <w:noWrap/>
          </w:tcPr>
          <w:p w14:paraId="6EBC8E86" w14:textId="77777777" w:rsidR="000561ED" w:rsidRPr="00E52D96" w:rsidRDefault="000561ED" w:rsidP="000561ED">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797918">
              <w:rPr>
                <w:rFonts w:cstheme="minorHAnsi"/>
                <w:sz w:val="20"/>
                <w:szCs w:val="20"/>
              </w:rPr>
              <w:t>Tasso di esecuzione (%)</w:t>
            </w:r>
          </w:p>
        </w:tc>
        <w:tc>
          <w:tcPr>
            <w:tcW w:w="949" w:type="pct"/>
          </w:tcPr>
          <w:p w14:paraId="52B48D36" w14:textId="77777777" w:rsidR="000561ED" w:rsidRPr="00E52D96" w:rsidRDefault="000561ED" w:rsidP="000561ED">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E52D96">
              <w:rPr>
                <w:rFonts w:cstheme="minorHAnsi"/>
                <w:sz w:val="20"/>
                <w:szCs w:val="20"/>
              </w:rPr>
              <w:t>Aziende agricole totali</w:t>
            </w:r>
          </w:p>
        </w:tc>
      </w:tr>
      <w:tr w:rsidR="000561ED" w:rsidRPr="00295F74" w14:paraId="75E1317D" w14:textId="77777777" w:rsidTr="000561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7B8CA57C" w14:textId="77777777" w:rsidR="000561ED" w:rsidRPr="00043A09" w:rsidRDefault="000561ED" w:rsidP="000561ED">
            <w:pPr>
              <w:rPr>
                <w:rFonts w:cstheme="minorHAnsi"/>
                <w:sz w:val="20"/>
                <w:szCs w:val="20"/>
                <w:lang w:eastAsia="it-IT"/>
              </w:rPr>
            </w:pPr>
            <w:r w:rsidRPr="00043A09">
              <w:rPr>
                <w:rFonts w:cstheme="minorHAnsi"/>
                <w:sz w:val="20"/>
                <w:szCs w:val="20"/>
                <w:lang w:eastAsia="it-IT"/>
              </w:rPr>
              <w:t>Competitività</w:t>
            </w:r>
          </w:p>
        </w:tc>
        <w:tc>
          <w:tcPr>
            <w:tcW w:w="1036" w:type="pct"/>
            <w:noWrap/>
          </w:tcPr>
          <w:p w14:paraId="5DB57BC2"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b/>
                <w:iCs/>
                <w:sz w:val="20"/>
                <w:szCs w:val="20"/>
              </w:rPr>
            </w:pPr>
            <w:r w:rsidRPr="00295F74">
              <w:rPr>
                <w:rFonts w:cstheme="minorHAnsi"/>
                <w:b/>
                <w:iCs/>
                <w:sz w:val="20"/>
                <w:szCs w:val="20"/>
              </w:rPr>
              <w:t>14.788</w:t>
            </w:r>
          </w:p>
        </w:tc>
        <w:tc>
          <w:tcPr>
            <w:tcW w:w="862" w:type="pct"/>
            <w:noWrap/>
          </w:tcPr>
          <w:p w14:paraId="1659A91B"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b/>
                <w:iCs/>
                <w:sz w:val="20"/>
                <w:szCs w:val="20"/>
              </w:rPr>
            </w:pPr>
            <w:r w:rsidRPr="00295F74">
              <w:rPr>
                <w:rFonts w:cstheme="minorHAnsi"/>
                <w:b/>
                <w:iCs/>
                <w:sz w:val="20"/>
                <w:szCs w:val="20"/>
              </w:rPr>
              <w:t>15.537</w:t>
            </w:r>
          </w:p>
        </w:tc>
        <w:tc>
          <w:tcPr>
            <w:tcW w:w="1122" w:type="pct"/>
            <w:noWrap/>
          </w:tcPr>
          <w:p w14:paraId="08B92C4E"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b/>
                <w:iCs/>
                <w:sz w:val="20"/>
                <w:szCs w:val="20"/>
              </w:rPr>
            </w:pPr>
            <w:r>
              <w:rPr>
                <w:rFonts w:cstheme="minorHAnsi"/>
                <w:b/>
                <w:iCs/>
                <w:sz w:val="20"/>
                <w:szCs w:val="20"/>
              </w:rPr>
              <w:t>95,2</w:t>
            </w:r>
            <w:r w:rsidRPr="00295F74">
              <w:rPr>
                <w:rFonts w:cstheme="minorHAnsi"/>
                <w:b/>
                <w:iCs/>
                <w:sz w:val="20"/>
                <w:szCs w:val="20"/>
              </w:rPr>
              <w:t>%</w:t>
            </w:r>
          </w:p>
        </w:tc>
        <w:tc>
          <w:tcPr>
            <w:tcW w:w="949" w:type="pct"/>
            <w:vAlign w:val="center"/>
          </w:tcPr>
          <w:p w14:paraId="42E5685B"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b/>
                <w:iCs/>
                <w:sz w:val="20"/>
                <w:szCs w:val="20"/>
              </w:rPr>
            </w:pPr>
            <w:r>
              <w:rPr>
                <w:rFonts w:ascii="Calibri" w:hAnsi="Calibri" w:cs="Calibri"/>
                <w:b/>
                <w:bCs/>
                <w:color w:val="000000"/>
                <w:sz w:val="20"/>
                <w:szCs w:val="20"/>
              </w:rPr>
              <w:t>803.035</w:t>
            </w:r>
          </w:p>
        </w:tc>
      </w:tr>
      <w:tr w:rsidR="000561ED" w:rsidRPr="00295F74" w14:paraId="4AEE1212" w14:textId="77777777" w:rsidTr="000561ED">
        <w:trPr>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hideMark/>
          </w:tcPr>
          <w:p w14:paraId="5B347EB8"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Abruzzo</w:t>
            </w:r>
          </w:p>
        </w:tc>
        <w:tc>
          <w:tcPr>
            <w:tcW w:w="1036" w:type="pct"/>
            <w:noWrap/>
          </w:tcPr>
          <w:p w14:paraId="07EE51DB"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965</w:t>
            </w:r>
          </w:p>
        </w:tc>
        <w:tc>
          <w:tcPr>
            <w:tcW w:w="862" w:type="pct"/>
            <w:noWrap/>
          </w:tcPr>
          <w:p w14:paraId="5CC6FF72"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750</w:t>
            </w:r>
          </w:p>
        </w:tc>
        <w:tc>
          <w:tcPr>
            <w:tcW w:w="1122" w:type="pct"/>
            <w:noWrap/>
          </w:tcPr>
          <w:p w14:paraId="59429DCA"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128,7</w:t>
            </w:r>
            <w:r w:rsidRPr="00295F74">
              <w:rPr>
                <w:rFonts w:cstheme="minorHAnsi"/>
                <w:sz w:val="20"/>
                <w:szCs w:val="20"/>
              </w:rPr>
              <w:t>%</w:t>
            </w:r>
          </w:p>
        </w:tc>
        <w:tc>
          <w:tcPr>
            <w:tcW w:w="949" w:type="pct"/>
            <w:vAlign w:val="center"/>
          </w:tcPr>
          <w:p w14:paraId="6BAC455E"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66.837</w:t>
            </w:r>
          </w:p>
        </w:tc>
      </w:tr>
      <w:tr w:rsidR="000561ED" w:rsidRPr="00295F74" w14:paraId="64311713" w14:textId="77777777" w:rsidTr="000561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hideMark/>
          </w:tcPr>
          <w:p w14:paraId="2A381E2C"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Bolzano</w:t>
            </w:r>
          </w:p>
        </w:tc>
        <w:tc>
          <w:tcPr>
            <w:tcW w:w="1036" w:type="pct"/>
            <w:noWrap/>
          </w:tcPr>
          <w:p w14:paraId="45EA4B76"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455</w:t>
            </w:r>
          </w:p>
        </w:tc>
        <w:tc>
          <w:tcPr>
            <w:tcW w:w="862" w:type="pct"/>
            <w:noWrap/>
          </w:tcPr>
          <w:p w14:paraId="485DC0AA"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450</w:t>
            </w:r>
          </w:p>
        </w:tc>
        <w:tc>
          <w:tcPr>
            <w:tcW w:w="1122" w:type="pct"/>
            <w:noWrap/>
          </w:tcPr>
          <w:p w14:paraId="4FB50895"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101,1</w:t>
            </w:r>
            <w:r w:rsidRPr="00295F74">
              <w:rPr>
                <w:rFonts w:cstheme="minorHAnsi"/>
                <w:sz w:val="20"/>
                <w:szCs w:val="20"/>
              </w:rPr>
              <w:t>%</w:t>
            </w:r>
          </w:p>
        </w:tc>
        <w:tc>
          <w:tcPr>
            <w:tcW w:w="949" w:type="pct"/>
            <w:vAlign w:val="center"/>
          </w:tcPr>
          <w:p w14:paraId="6F171943"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20.247</w:t>
            </w:r>
          </w:p>
        </w:tc>
      </w:tr>
      <w:tr w:rsidR="000561ED" w:rsidRPr="00295F74" w14:paraId="421AC12E" w14:textId="77777777" w:rsidTr="000561ED">
        <w:trPr>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hideMark/>
          </w:tcPr>
          <w:p w14:paraId="4A4F17EE" w14:textId="77777777" w:rsidR="000561ED" w:rsidRPr="00043A09" w:rsidRDefault="000561ED" w:rsidP="000561ED">
            <w:pPr>
              <w:rPr>
                <w:rFonts w:cstheme="minorHAnsi"/>
                <w:b w:val="0"/>
                <w:sz w:val="20"/>
                <w:szCs w:val="20"/>
                <w:lang w:eastAsia="it-IT"/>
              </w:rPr>
            </w:pPr>
            <w:proofErr w:type="gramStart"/>
            <w:r w:rsidRPr="00043A09">
              <w:rPr>
                <w:rFonts w:cstheme="minorHAnsi"/>
                <w:b w:val="0"/>
                <w:sz w:val="20"/>
                <w:szCs w:val="20"/>
                <w:lang w:eastAsia="it-IT"/>
              </w:rPr>
              <w:t>Emilia Romagna</w:t>
            </w:r>
            <w:proofErr w:type="gramEnd"/>
          </w:p>
        </w:tc>
        <w:tc>
          <w:tcPr>
            <w:tcW w:w="1036" w:type="pct"/>
            <w:noWrap/>
          </w:tcPr>
          <w:p w14:paraId="5755F21B"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1640</w:t>
            </w:r>
          </w:p>
        </w:tc>
        <w:tc>
          <w:tcPr>
            <w:tcW w:w="862" w:type="pct"/>
            <w:noWrap/>
          </w:tcPr>
          <w:p w14:paraId="1735DE30"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1.774</w:t>
            </w:r>
          </w:p>
        </w:tc>
        <w:tc>
          <w:tcPr>
            <w:tcW w:w="1122" w:type="pct"/>
            <w:noWrap/>
          </w:tcPr>
          <w:p w14:paraId="08998BE4"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92,4</w:t>
            </w:r>
            <w:r w:rsidRPr="00295F74">
              <w:rPr>
                <w:rFonts w:cstheme="minorHAnsi"/>
                <w:sz w:val="20"/>
                <w:szCs w:val="20"/>
              </w:rPr>
              <w:t>%</w:t>
            </w:r>
          </w:p>
        </w:tc>
        <w:tc>
          <w:tcPr>
            <w:tcW w:w="949" w:type="pct"/>
            <w:vAlign w:val="center"/>
          </w:tcPr>
          <w:p w14:paraId="05986301"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73.466</w:t>
            </w:r>
          </w:p>
        </w:tc>
      </w:tr>
      <w:tr w:rsidR="000561ED" w:rsidRPr="00295F74" w14:paraId="41E23CF6" w14:textId="77777777" w:rsidTr="000561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1771D4CF" w14:textId="77777777" w:rsidR="000561ED" w:rsidRPr="00043A09" w:rsidRDefault="000561ED" w:rsidP="000561ED">
            <w:pPr>
              <w:rPr>
                <w:rFonts w:cstheme="minorHAnsi"/>
                <w:b w:val="0"/>
                <w:sz w:val="20"/>
                <w:szCs w:val="20"/>
                <w:lang w:eastAsia="it-IT"/>
              </w:rPr>
            </w:pPr>
            <w:proofErr w:type="gramStart"/>
            <w:r w:rsidRPr="00043A09">
              <w:rPr>
                <w:rFonts w:cstheme="minorHAnsi"/>
                <w:b w:val="0"/>
                <w:sz w:val="20"/>
                <w:szCs w:val="20"/>
                <w:lang w:eastAsia="it-IT"/>
              </w:rPr>
              <w:t>Friuli Venezia Giulia</w:t>
            </w:r>
            <w:proofErr w:type="gramEnd"/>
            <w:r>
              <w:rPr>
                <w:rStyle w:val="Rimandonotaapidipagina"/>
                <w:rFonts w:cstheme="minorHAnsi"/>
                <w:b w:val="0"/>
                <w:sz w:val="20"/>
                <w:szCs w:val="20"/>
                <w:lang w:eastAsia="it-IT"/>
              </w:rPr>
              <w:footnoteReference w:id="26"/>
            </w:r>
          </w:p>
        </w:tc>
        <w:tc>
          <w:tcPr>
            <w:tcW w:w="1036" w:type="pct"/>
            <w:noWrap/>
            <w:vAlign w:val="center"/>
          </w:tcPr>
          <w:p w14:paraId="04FDCD8A"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95</w:t>
            </w:r>
          </w:p>
        </w:tc>
        <w:tc>
          <w:tcPr>
            <w:tcW w:w="862" w:type="pct"/>
            <w:noWrap/>
            <w:vAlign w:val="center"/>
          </w:tcPr>
          <w:p w14:paraId="17C2CD6D"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500</w:t>
            </w:r>
          </w:p>
        </w:tc>
        <w:tc>
          <w:tcPr>
            <w:tcW w:w="1122" w:type="pct"/>
            <w:noWrap/>
            <w:vAlign w:val="center"/>
          </w:tcPr>
          <w:p w14:paraId="274F7B1B"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19,0</w:t>
            </w:r>
            <w:r w:rsidRPr="00295F74">
              <w:rPr>
                <w:rFonts w:cstheme="minorHAnsi"/>
                <w:sz w:val="20"/>
                <w:szCs w:val="20"/>
              </w:rPr>
              <w:t>%</w:t>
            </w:r>
          </w:p>
        </w:tc>
        <w:tc>
          <w:tcPr>
            <w:tcW w:w="949" w:type="pct"/>
            <w:vAlign w:val="center"/>
          </w:tcPr>
          <w:p w14:paraId="2F32909A"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22.316</w:t>
            </w:r>
          </w:p>
        </w:tc>
      </w:tr>
      <w:tr w:rsidR="000561ED" w:rsidRPr="00295F74" w14:paraId="68A71F2C" w14:textId="77777777" w:rsidTr="000561ED">
        <w:trPr>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1F497B1E"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Lazio</w:t>
            </w:r>
          </w:p>
        </w:tc>
        <w:tc>
          <w:tcPr>
            <w:tcW w:w="1036" w:type="pct"/>
            <w:noWrap/>
          </w:tcPr>
          <w:p w14:paraId="6104E7E4"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1.505</w:t>
            </w:r>
          </w:p>
        </w:tc>
        <w:tc>
          <w:tcPr>
            <w:tcW w:w="862" w:type="pct"/>
            <w:noWrap/>
          </w:tcPr>
          <w:p w14:paraId="1441064C"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1.960</w:t>
            </w:r>
          </w:p>
        </w:tc>
        <w:tc>
          <w:tcPr>
            <w:tcW w:w="1122" w:type="pct"/>
            <w:noWrap/>
          </w:tcPr>
          <w:p w14:paraId="1D9B5DBD"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76,8</w:t>
            </w:r>
            <w:r w:rsidRPr="00295F74">
              <w:rPr>
                <w:rFonts w:cstheme="minorHAnsi"/>
                <w:sz w:val="20"/>
                <w:szCs w:val="20"/>
              </w:rPr>
              <w:t>%</w:t>
            </w:r>
          </w:p>
        </w:tc>
        <w:tc>
          <w:tcPr>
            <w:tcW w:w="949" w:type="pct"/>
            <w:vAlign w:val="center"/>
          </w:tcPr>
          <w:p w14:paraId="6C67E41D"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98.216</w:t>
            </w:r>
          </w:p>
        </w:tc>
      </w:tr>
      <w:tr w:rsidR="000561ED" w:rsidRPr="00295F74" w14:paraId="246A40F7" w14:textId="77777777" w:rsidTr="000561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6E63D7E3"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Liguria</w:t>
            </w:r>
          </w:p>
        </w:tc>
        <w:tc>
          <w:tcPr>
            <w:tcW w:w="1036" w:type="pct"/>
            <w:noWrap/>
          </w:tcPr>
          <w:p w14:paraId="075E17CE"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538</w:t>
            </w:r>
          </w:p>
        </w:tc>
        <w:tc>
          <w:tcPr>
            <w:tcW w:w="862" w:type="pct"/>
            <w:noWrap/>
          </w:tcPr>
          <w:p w14:paraId="3FC3E286"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610</w:t>
            </w:r>
          </w:p>
        </w:tc>
        <w:tc>
          <w:tcPr>
            <w:tcW w:w="1122" w:type="pct"/>
            <w:noWrap/>
          </w:tcPr>
          <w:p w14:paraId="58D5FA5B"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88,2</w:t>
            </w:r>
            <w:r w:rsidRPr="00295F74">
              <w:rPr>
                <w:rFonts w:cstheme="minorHAnsi"/>
                <w:sz w:val="20"/>
                <w:szCs w:val="20"/>
              </w:rPr>
              <w:t>%</w:t>
            </w:r>
          </w:p>
        </w:tc>
        <w:tc>
          <w:tcPr>
            <w:tcW w:w="949" w:type="pct"/>
            <w:vAlign w:val="center"/>
          </w:tcPr>
          <w:p w14:paraId="23F2606F"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20.208</w:t>
            </w:r>
          </w:p>
        </w:tc>
      </w:tr>
      <w:tr w:rsidR="000561ED" w:rsidRPr="00295F74" w14:paraId="787DB047" w14:textId="77777777" w:rsidTr="000561ED">
        <w:trPr>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1B4B17E1"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Lombardia</w:t>
            </w:r>
          </w:p>
        </w:tc>
        <w:tc>
          <w:tcPr>
            <w:tcW w:w="1036" w:type="pct"/>
            <w:noWrap/>
          </w:tcPr>
          <w:p w14:paraId="2ADFC58B"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1.138</w:t>
            </w:r>
          </w:p>
        </w:tc>
        <w:tc>
          <w:tcPr>
            <w:tcW w:w="862" w:type="pct"/>
            <w:noWrap/>
          </w:tcPr>
          <w:p w14:paraId="65AA1ED0"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1.190</w:t>
            </w:r>
          </w:p>
        </w:tc>
        <w:tc>
          <w:tcPr>
            <w:tcW w:w="1122" w:type="pct"/>
            <w:noWrap/>
          </w:tcPr>
          <w:p w14:paraId="4A6D100B"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95,6</w:t>
            </w:r>
            <w:r w:rsidRPr="00295F74">
              <w:rPr>
                <w:rFonts w:cstheme="minorHAnsi"/>
                <w:sz w:val="20"/>
                <w:szCs w:val="20"/>
              </w:rPr>
              <w:t>%</w:t>
            </w:r>
          </w:p>
        </w:tc>
        <w:tc>
          <w:tcPr>
            <w:tcW w:w="949" w:type="pct"/>
            <w:vAlign w:val="center"/>
          </w:tcPr>
          <w:p w14:paraId="550D40D9"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54.333</w:t>
            </w:r>
          </w:p>
        </w:tc>
      </w:tr>
      <w:tr w:rsidR="000561ED" w:rsidRPr="00295F74" w14:paraId="030C82B7" w14:textId="77777777" w:rsidTr="000561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08E07FC5"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Marche</w:t>
            </w:r>
          </w:p>
        </w:tc>
        <w:tc>
          <w:tcPr>
            <w:tcW w:w="1036" w:type="pct"/>
            <w:noWrap/>
          </w:tcPr>
          <w:p w14:paraId="2792524E"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189</w:t>
            </w:r>
          </w:p>
        </w:tc>
        <w:tc>
          <w:tcPr>
            <w:tcW w:w="862" w:type="pct"/>
            <w:noWrap/>
          </w:tcPr>
          <w:p w14:paraId="336C347B"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226</w:t>
            </w:r>
          </w:p>
        </w:tc>
        <w:tc>
          <w:tcPr>
            <w:tcW w:w="1122" w:type="pct"/>
            <w:noWrap/>
          </w:tcPr>
          <w:p w14:paraId="59262AB9"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83,6</w:t>
            </w:r>
            <w:r w:rsidRPr="00295F74">
              <w:rPr>
                <w:rFonts w:cstheme="minorHAnsi"/>
                <w:sz w:val="20"/>
                <w:szCs w:val="20"/>
              </w:rPr>
              <w:t>%</w:t>
            </w:r>
          </w:p>
        </w:tc>
        <w:tc>
          <w:tcPr>
            <w:tcW w:w="949" w:type="pct"/>
            <w:vAlign w:val="center"/>
          </w:tcPr>
          <w:p w14:paraId="2841E575"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44.866</w:t>
            </w:r>
          </w:p>
        </w:tc>
      </w:tr>
      <w:tr w:rsidR="000561ED" w:rsidRPr="00295F74" w14:paraId="150277CD" w14:textId="77777777" w:rsidTr="000561ED">
        <w:trPr>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11FF455B"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Molise</w:t>
            </w:r>
          </w:p>
        </w:tc>
        <w:tc>
          <w:tcPr>
            <w:tcW w:w="1036" w:type="pct"/>
            <w:noWrap/>
          </w:tcPr>
          <w:p w14:paraId="0914613F"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156</w:t>
            </w:r>
          </w:p>
        </w:tc>
        <w:tc>
          <w:tcPr>
            <w:tcW w:w="862" w:type="pct"/>
            <w:noWrap/>
          </w:tcPr>
          <w:p w14:paraId="6DE3664E"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160</w:t>
            </w:r>
          </w:p>
        </w:tc>
        <w:tc>
          <w:tcPr>
            <w:tcW w:w="1122" w:type="pct"/>
            <w:noWrap/>
          </w:tcPr>
          <w:p w14:paraId="47D8B5EC"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97,5</w:t>
            </w:r>
            <w:r w:rsidRPr="00295F74">
              <w:rPr>
                <w:rFonts w:cstheme="minorHAnsi"/>
                <w:sz w:val="20"/>
                <w:szCs w:val="20"/>
              </w:rPr>
              <w:t>%</w:t>
            </w:r>
          </w:p>
        </w:tc>
        <w:tc>
          <w:tcPr>
            <w:tcW w:w="949" w:type="pct"/>
            <w:vAlign w:val="center"/>
          </w:tcPr>
          <w:p w14:paraId="5FC7F4AD"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26.272</w:t>
            </w:r>
          </w:p>
        </w:tc>
      </w:tr>
      <w:tr w:rsidR="000561ED" w:rsidRPr="00295F74" w14:paraId="005DCE8B" w14:textId="77777777" w:rsidTr="000561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1ABABCFB"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Piemonte</w:t>
            </w:r>
          </w:p>
        </w:tc>
        <w:tc>
          <w:tcPr>
            <w:tcW w:w="1036" w:type="pct"/>
            <w:noWrap/>
          </w:tcPr>
          <w:p w14:paraId="08F0A3EE"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1.919</w:t>
            </w:r>
          </w:p>
        </w:tc>
        <w:tc>
          <w:tcPr>
            <w:tcW w:w="862" w:type="pct"/>
            <w:noWrap/>
          </w:tcPr>
          <w:p w14:paraId="12CDA486"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1.500</w:t>
            </w:r>
          </w:p>
        </w:tc>
        <w:tc>
          <w:tcPr>
            <w:tcW w:w="1122" w:type="pct"/>
            <w:noWrap/>
          </w:tcPr>
          <w:p w14:paraId="762D71F5"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127,9</w:t>
            </w:r>
            <w:r w:rsidRPr="00295F74">
              <w:rPr>
                <w:rFonts w:cstheme="minorHAnsi"/>
                <w:sz w:val="20"/>
                <w:szCs w:val="20"/>
              </w:rPr>
              <w:t>%</w:t>
            </w:r>
          </w:p>
        </w:tc>
        <w:tc>
          <w:tcPr>
            <w:tcW w:w="949" w:type="pct"/>
            <w:vAlign w:val="center"/>
          </w:tcPr>
          <w:p w14:paraId="4879B692"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67.148</w:t>
            </w:r>
          </w:p>
        </w:tc>
      </w:tr>
      <w:tr w:rsidR="000561ED" w:rsidRPr="00295F74" w14:paraId="0E2597D6" w14:textId="77777777" w:rsidTr="000561ED">
        <w:trPr>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29C95342"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Sardegna</w:t>
            </w:r>
          </w:p>
        </w:tc>
        <w:tc>
          <w:tcPr>
            <w:tcW w:w="1036" w:type="pct"/>
            <w:noWrap/>
          </w:tcPr>
          <w:p w14:paraId="2B8BDDA0"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1.819</w:t>
            </w:r>
          </w:p>
        </w:tc>
        <w:tc>
          <w:tcPr>
            <w:tcW w:w="862" w:type="pct"/>
            <w:noWrap/>
          </w:tcPr>
          <w:p w14:paraId="2FC21267"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1.786</w:t>
            </w:r>
          </w:p>
        </w:tc>
        <w:tc>
          <w:tcPr>
            <w:tcW w:w="1122" w:type="pct"/>
            <w:noWrap/>
          </w:tcPr>
          <w:p w14:paraId="4348B3A3"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101,8</w:t>
            </w:r>
            <w:r w:rsidRPr="00295F74">
              <w:rPr>
                <w:rFonts w:cstheme="minorHAnsi"/>
                <w:sz w:val="20"/>
                <w:szCs w:val="20"/>
              </w:rPr>
              <w:t>%</w:t>
            </w:r>
          </w:p>
        </w:tc>
        <w:tc>
          <w:tcPr>
            <w:tcW w:w="949" w:type="pct"/>
            <w:vAlign w:val="center"/>
          </w:tcPr>
          <w:p w14:paraId="57205339"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60.812</w:t>
            </w:r>
          </w:p>
        </w:tc>
      </w:tr>
      <w:tr w:rsidR="000561ED" w:rsidRPr="00295F74" w14:paraId="77E6823F" w14:textId="77777777" w:rsidTr="000561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533EB652"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Toscana</w:t>
            </w:r>
          </w:p>
        </w:tc>
        <w:tc>
          <w:tcPr>
            <w:tcW w:w="1036" w:type="pct"/>
            <w:noWrap/>
          </w:tcPr>
          <w:p w14:paraId="27E54FDE"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1530</w:t>
            </w:r>
          </w:p>
        </w:tc>
        <w:tc>
          <w:tcPr>
            <w:tcW w:w="862" w:type="pct"/>
            <w:noWrap/>
          </w:tcPr>
          <w:p w14:paraId="2335B697"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1875</w:t>
            </w:r>
          </w:p>
        </w:tc>
        <w:tc>
          <w:tcPr>
            <w:tcW w:w="1122" w:type="pct"/>
            <w:noWrap/>
          </w:tcPr>
          <w:p w14:paraId="5EAA8882"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81,6</w:t>
            </w:r>
            <w:r w:rsidRPr="00295F74">
              <w:rPr>
                <w:rFonts w:cstheme="minorHAnsi"/>
                <w:sz w:val="20"/>
                <w:szCs w:val="20"/>
              </w:rPr>
              <w:t>%</w:t>
            </w:r>
          </w:p>
        </w:tc>
        <w:tc>
          <w:tcPr>
            <w:tcW w:w="949" w:type="pct"/>
            <w:vAlign w:val="center"/>
          </w:tcPr>
          <w:p w14:paraId="4F43D245"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72.686</w:t>
            </w:r>
          </w:p>
        </w:tc>
      </w:tr>
      <w:tr w:rsidR="000561ED" w:rsidRPr="00295F74" w14:paraId="7DAB1809" w14:textId="77777777" w:rsidTr="000561ED">
        <w:trPr>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611F9B47"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Trento</w:t>
            </w:r>
          </w:p>
        </w:tc>
        <w:tc>
          <w:tcPr>
            <w:tcW w:w="1036" w:type="pct"/>
            <w:noWrap/>
          </w:tcPr>
          <w:p w14:paraId="1494DE51"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260</w:t>
            </w:r>
          </w:p>
        </w:tc>
        <w:tc>
          <w:tcPr>
            <w:tcW w:w="862" w:type="pct"/>
            <w:noWrap/>
          </w:tcPr>
          <w:p w14:paraId="2E219601"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113</w:t>
            </w:r>
          </w:p>
        </w:tc>
        <w:tc>
          <w:tcPr>
            <w:tcW w:w="1122" w:type="pct"/>
            <w:noWrap/>
          </w:tcPr>
          <w:p w14:paraId="59847044"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230,1</w:t>
            </w:r>
            <w:r w:rsidRPr="00295F74">
              <w:rPr>
                <w:rFonts w:cstheme="minorHAnsi"/>
                <w:sz w:val="20"/>
                <w:szCs w:val="20"/>
              </w:rPr>
              <w:t>%</w:t>
            </w:r>
          </w:p>
        </w:tc>
        <w:tc>
          <w:tcPr>
            <w:tcW w:w="949" w:type="pct"/>
            <w:vAlign w:val="center"/>
          </w:tcPr>
          <w:p w14:paraId="48D3BA9E"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16.446</w:t>
            </w:r>
          </w:p>
        </w:tc>
      </w:tr>
      <w:tr w:rsidR="000561ED" w:rsidRPr="00295F74" w14:paraId="67406F1F" w14:textId="77777777" w:rsidTr="000561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27C60CE7"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Umbria</w:t>
            </w:r>
          </w:p>
        </w:tc>
        <w:tc>
          <w:tcPr>
            <w:tcW w:w="1036" w:type="pct"/>
            <w:noWrap/>
          </w:tcPr>
          <w:p w14:paraId="73E9C8AA"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491</w:t>
            </w:r>
          </w:p>
        </w:tc>
        <w:tc>
          <w:tcPr>
            <w:tcW w:w="862" w:type="pct"/>
            <w:noWrap/>
          </w:tcPr>
          <w:p w14:paraId="6AC41E49"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440</w:t>
            </w:r>
          </w:p>
        </w:tc>
        <w:tc>
          <w:tcPr>
            <w:tcW w:w="1122" w:type="pct"/>
            <w:noWrap/>
          </w:tcPr>
          <w:p w14:paraId="00CAD288"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111,6</w:t>
            </w:r>
            <w:r w:rsidRPr="00295F74">
              <w:rPr>
                <w:rFonts w:cstheme="minorHAnsi"/>
                <w:sz w:val="20"/>
                <w:szCs w:val="20"/>
              </w:rPr>
              <w:t>%</w:t>
            </w:r>
          </w:p>
        </w:tc>
        <w:tc>
          <w:tcPr>
            <w:tcW w:w="949" w:type="pct"/>
            <w:vAlign w:val="center"/>
          </w:tcPr>
          <w:p w14:paraId="7FFB5031"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36.244</w:t>
            </w:r>
          </w:p>
        </w:tc>
      </w:tr>
      <w:tr w:rsidR="000561ED" w:rsidRPr="00295F74" w14:paraId="12A106E3" w14:textId="77777777" w:rsidTr="000561ED">
        <w:trPr>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2DF3DF4A"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Valle D’Aosta</w:t>
            </w:r>
          </w:p>
        </w:tc>
        <w:tc>
          <w:tcPr>
            <w:tcW w:w="1036" w:type="pct"/>
            <w:noWrap/>
          </w:tcPr>
          <w:p w14:paraId="7FC9EA5A"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154</w:t>
            </w:r>
          </w:p>
        </w:tc>
        <w:tc>
          <w:tcPr>
            <w:tcW w:w="862" w:type="pct"/>
            <w:noWrap/>
          </w:tcPr>
          <w:p w14:paraId="0030820D"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203</w:t>
            </w:r>
          </w:p>
        </w:tc>
        <w:tc>
          <w:tcPr>
            <w:tcW w:w="1122" w:type="pct"/>
            <w:noWrap/>
          </w:tcPr>
          <w:p w14:paraId="5FF9C9DE"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75,9</w:t>
            </w:r>
            <w:r w:rsidRPr="00295F74">
              <w:rPr>
                <w:rFonts w:cstheme="minorHAnsi"/>
                <w:sz w:val="20"/>
                <w:szCs w:val="20"/>
              </w:rPr>
              <w:t>%</w:t>
            </w:r>
          </w:p>
        </w:tc>
        <w:tc>
          <w:tcPr>
            <w:tcW w:w="949" w:type="pct"/>
            <w:vAlign w:val="center"/>
          </w:tcPr>
          <w:p w14:paraId="0CC23CBE"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3.554</w:t>
            </w:r>
          </w:p>
        </w:tc>
      </w:tr>
      <w:tr w:rsidR="000561ED" w:rsidRPr="00295F74" w14:paraId="31836A67" w14:textId="77777777" w:rsidTr="000561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4691FF57"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 xml:space="preserve">Veneto </w:t>
            </w:r>
          </w:p>
        </w:tc>
        <w:tc>
          <w:tcPr>
            <w:tcW w:w="1036" w:type="pct"/>
            <w:noWrap/>
          </w:tcPr>
          <w:p w14:paraId="69FD9461"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1934</w:t>
            </w:r>
          </w:p>
        </w:tc>
        <w:tc>
          <w:tcPr>
            <w:tcW w:w="862" w:type="pct"/>
            <w:noWrap/>
          </w:tcPr>
          <w:p w14:paraId="40323D08"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2000</w:t>
            </w:r>
          </w:p>
        </w:tc>
        <w:tc>
          <w:tcPr>
            <w:tcW w:w="1122" w:type="pct"/>
            <w:noWrap/>
          </w:tcPr>
          <w:p w14:paraId="625C360B"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96,7</w:t>
            </w:r>
            <w:r w:rsidRPr="00295F74">
              <w:rPr>
                <w:rFonts w:cstheme="minorHAnsi"/>
                <w:sz w:val="20"/>
                <w:szCs w:val="20"/>
              </w:rPr>
              <w:t>%</w:t>
            </w:r>
          </w:p>
        </w:tc>
        <w:tc>
          <w:tcPr>
            <w:tcW w:w="949" w:type="pct"/>
            <w:vAlign w:val="center"/>
          </w:tcPr>
          <w:p w14:paraId="0692318C"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119.384</w:t>
            </w:r>
          </w:p>
        </w:tc>
      </w:tr>
      <w:tr w:rsidR="000561ED" w:rsidRPr="00295F74" w14:paraId="493C50BD" w14:textId="77777777" w:rsidTr="000561ED">
        <w:trPr>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1995C125" w14:textId="77777777" w:rsidR="000561ED" w:rsidRPr="00043A09" w:rsidRDefault="000561ED" w:rsidP="000561ED">
            <w:pPr>
              <w:rPr>
                <w:rFonts w:cstheme="minorHAnsi"/>
                <w:sz w:val="20"/>
                <w:szCs w:val="20"/>
                <w:lang w:eastAsia="it-IT"/>
              </w:rPr>
            </w:pPr>
            <w:r w:rsidRPr="00043A09">
              <w:rPr>
                <w:rFonts w:cstheme="minorHAnsi"/>
                <w:sz w:val="20"/>
                <w:szCs w:val="20"/>
                <w:lang w:eastAsia="it-IT"/>
              </w:rPr>
              <w:t>Convergenza</w:t>
            </w:r>
          </w:p>
        </w:tc>
        <w:tc>
          <w:tcPr>
            <w:tcW w:w="1036" w:type="pct"/>
            <w:noWrap/>
          </w:tcPr>
          <w:p w14:paraId="211F661C"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iCs/>
                <w:sz w:val="20"/>
                <w:szCs w:val="20"/>
              </w:rPr>
            </w:pPr>
            <w:r w:rsidRPr="00295F74">
              <w:rPr>
                <w:rFonts w:cstheme="minorHAnsi"/>
                <w:b/>
                <w:iCs/>
                <w:sz w:val="20"/>
                <w:szCs w:val="20"/>
              </w:rPr>
              <w:t>7.437</w:t>
            </w:r>
          </w:p>
        </w:tc>
        <w:tc>
          <w:tcPr>
            <w:tcW w:w="862" w:type="pct"/>
            <w:noWrap/>
          </w:tcPr>
          <w:p w14:paraId="4C9D0674"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iCs/>
                <w:sz w:val="20"/>
                <w:szCs w:val="20"/>
              </w:rPr>
            </w:pPr>
            <w:r w:rsidRPr="00295F74">
              <w:rPr>
                <w:rFonts w:cstheme="minorHAnsi"/>
                <w:b/>
                <w:iCs/>
                <w:sz w:val="20"/>
                <w:szCs w:val="20"/>
              </w:rPr>
              <w:t>7.450</w:t>
            </w:r>
          </w:p>
        </w:tc>
        <w:tc>
          <w:tcPr>
            <w:tcW w:w="1122" w:type="pct"/>
            <w:noWrap/>
          </w:tcPr>
          <w:p w14:paraId="3F0D7884"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iCs/>
                <w:sz w:val="20"/>
                <w:szCs w:val="20"/>
              </w:rPr>
            </w:pPr>
            <w:r>
              <w:rPr>
                <w:rFonts w:cstheme="minorHAnsi"/>
                <w:b/>
                <w:iCs/>
                <w:sz w:val="20"/>
                <w:szCs w:val="20"/>
              </w:rPr>
              <w:t>99,8</w:t>
            </w:r>
            <w:r w:rsidRPr="00295F74">
              <w:rPr>
                <w:rFonts w:cstheme="minorHAnsi"/>
                <w:b/>
                <w:iCs/>
                <w:sz w:val="20"/>
                <w:szCs w:val="20"/>
              </w:rPr>
              <w:t>%</w:t>
            </w:r>
          </w:p>
        </w:tc>
        <w:tc>
          <w:tcPr>
            <w:tcW w:w="949" w:type="pct"/>
            <w:vAlign w:val="center"/>
          </w:tcPr>
          <w:p w14:paraId="02D53AC5"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iCs/>
                <w:sz w:val="20"/>
                <w:szCs w:val="20"/>
              </w:rPr>
            </w:pPr>
            <w:r>
              <w:rPr>
                <w:rFonts w:ascii="Calibri" w:hAnsi="Calibri" w:cs="Calibri"/>
                <w:b/>
                <w:bCs/>
                <w:color w:val="000000"/>
                <w:sz w:val="20"/>
                <w:szCs w:val="20"/>
              </w:rPr>
              <w:t>817.849</w:t>
            </w:r>
          </w:p>
        </w:tc>
      </w:tr>
      <w:tr w:rsidR="000561ED" w:rsidRPr="00295F74" w14:paraId="0D719E58" w14:textId="77777777" w:rsidTr="000561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29F22CD8"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 xml:space="preserve">Basilicata </w:t>
            </w:r>
          </w:p>
        </w:tc>
        <w:tc>
          <w:tcPr>
            <w:tcW w:w="1036" w:type="pct"/>
            <w:noWrap/>
          </w:tcPr>
          <w:p w14:paraId="4AAF1E34"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752</w:t>
            </w:r>
          </w:p>
        </w:tc>
        <w:tc>
          <w:tcPr>
            <w:tcW w:w="862" w:type="pct"/>
            <w:noWrap/>
          </w:tcPr>
          <w:p w14:paraId="3B269286"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749</w:t>
            </w:r>
          </w:p>
        </w:tc>
        <w:tc>
          <w:tcPr>
            <w:tcW w:w="1122" w:type="pct"/>
            <w:noWrap/>
          </w:tcPr>
          <w:p w14:paraId="51CFEC28"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100,4</w:t>
            </w:r>
            <w:r w:rsidRPr="00295F74">
              <w:rPr>
                <w:rFonts w:cstheme="minorHAnsi"/>
                <w:sz w:val="20"/>
                <w:szCs w:val="20"/>
              </w:rPr>
              <w:t>%</w:t>
            </w:r>
          </w:p>
        </w:tc>
        <w:tc>
          <w:tcPr>
            <w:tcW w:w="949" w:type="pct"/>
            <w:vAlign w:val="center"/>
          </w:tcPr>
          <w:p w14:paraId="30A38D54"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51.756</w:t>
            </w:r>
          </w:p>
        </w:tc>
      </w:tr>
      <w:tr w:rsidR="000561ED" w:rsidRPr="00295F74" w14:paraId="28E32B6E" w14:textId="77777777" w:rsidTr="000561ED">
        <w:trPr>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5AD44CBD"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 xml:space="preserve">Calabria </w:t>
            </w:r>
          </w:p>
        </w:tc>
        <w:tc>
          <w:tcPr>
            <w:tcW w:w="1036" w:type="pct"/>
            <w:noWrap/>
          </w:tcPr>
          <w:p w14:paraId="1D90E666"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1.212</w:t>
            </w:r>
          </w:p>
        </w:tc>
        <w:tc>
          <w:tcPr>
            <w:tcW w:w="862" w:type="pct"/>
            <w:noWrap/>
          </w:tcPr>
          <w:p w14:paraId="5AE39492"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1.322</w:t>
            </w:r>
          </w:p>
        </w:tc>
        <w:tc>
          <w:tcPr>
            <w:tcW w:w="1122" w:type="pct"/>
            <w:noWrap/>
          </w:tcPr>
          <w:p w14:paraId="67C783BF"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91,7</w:t>
            </w:r>
            <w:r w:rsidRPr="00295F74">
              <w:rPr>
                <w:rFonts w:cstheme="minorHAnsi"/>
                <w:sz w:val="20"/>
                <w:szCs w:val="20"/>
              </w:rPr>
              <w:t>%</w:t>
            </w:r>
          </w:p>
        </w:tc>
        <w:tc>
          <w:tcPr>
            <w:tcW w:w="949" w:type="pct"/>
            <w:vAlign w:val="center"/>
          </w:tcPr>
          <w:p w14:paraId="6C162700"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137.790</w:t>
            </w:r>
          </w:p>
        </w:tc>
      </w:tr>
      <w:tr w:rsidR="000561ED" w:rsidRPr="00295F74" w14:paraId="212B469A" w14:textId="77777777" w:rsidTr="000561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2E05DB53"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Campania</w:t>
            </w:r>
          </w:p>
        </w:tc>
        <w:tc>
          <w:tcPr>
            <w:tcW w:w="1036" w:type="pct"/>
            <w:noWrap/>
          </w:tcPr>
          <w:p w14:paraId="31BBDA1E"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1.012</w:t>
            </w:r>
          </w:p>
        </w:tc>
        <w:tc>
          <w:tcPr>
            <w:tcW w:w="862" w:type="pct"/>
            <w:noWrap/>
          </w:tcPr>
          <w:p w14:paraId="0EAB7802"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866</w:t>
            </w:r>
          </w:p>
        </w:tc>
        <w:tc>
          <w:tcPr>
            <w:tcW w:w="1122" w:type="pct"/>
            <w:noWrap/>
          </w:tcPr>
          <w:p w14:paraId="6327A6A9"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116,9</w:t>
            </w:r>
            <w:r w:rsidRPr="00295F74">
              <w:rPr>
                <w:rFonts w:cstheme="minorHAnsi"/>
                <w:sz w:val="20"/>
                <w:szCs w:val="20"/>
              </w:rPr>
              <w:t>%</w:t>
            </w:r>
          </w:p>
        </w:tc>
        <w:tc>
          <w:tcPr>
            <w:tcW w:w="949" w:type="pct"/>
            <w:vAlign w:val="center"/>
          </w:tcPr>
          <w:p w14:paraId="03319B9B"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136.872</w:t>
            </w:r>
          </w:p>
        </w:tc>
      </w:tr>
      <w:tr w:rsidR="000561ED" w:rsidRPr="00295F74" w14:paraId="3B1A6E58" w14:textId="77777777" w:rsidTr="000561ED">
        <w:trPr>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14404BC1"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Puglia</w:t>
            </w:r>
          </w:p>
        </w:tc>
        <w:tc>
          <w:tcPr>
            <w:tcW w:w="1036" w:type="pct"/>
            <w:noWrap/>
          </w:tcPr>
          <w:p w14:paraId="01A6F260"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2.495</w:t>
            </w:r>
          </w:p>
        </w:tc>
        <w:tc>
          <w:tcPr>
            <w:tcW w:w="862" w:type="pct"/>
            <w:noWrap/>
          </w:tcPr>
          <w:p w14:paraId="7CACF662"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95F74">
              <w:rPr>
                <w:rFonts w:cstheme="minorHAnsi"/>
                <w:sz w:val="20"/>
                <w:szCs w:val="20"/>
              </w:rPr>
              <w:t>2.586</w:t>
            </w:r>
          </w:p>
        </w:tc>
        <w:tc>
          <w:tcPr>
            <w:tcW w:w="1122" w:type="pct"/>
            <w:noWrap/>
          </w:tcPr>
          <w:p w14:paraId="1274FF92"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96,5</w:t>
            </w:r>
            <w:r w:rsidRPr="00295F74">
              <w:rPr>
                <w:rFonts w:cstheme="minorHAnsi"/>
                <w:sz w:val="20"/>
                <w:szCs w:val="20"/>
              </w:rPr>
              <w:t>%</w:t>
            </w:r>
          </w:p>
        </w:tc>
        <w:tc>
          <w:tcPr>
            <w:tcW w:w="949" w:type="pct"/>
            <w:vAlign w:val="center"/>
          </w:tcPr>
          <w:p w14:paraId="2D7D4DB2"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ascii="Calibri" w:hAnsi="Calibri" w:cs="Calibri"/>
                <w:color w:val="000000"/>
                <w:sz w:val="20"/>
                <w:szCs w:val="20"/>
              </w:rPr>
              <w:t>271.754</w:t>
            </w:r>
          </w:p>
        </w:tc>
      </w:tr>
      <w:tr w:rsidR="000561ED" w:rsidRPr="00295F74" w14:paraId="4F86B093" w14:textId="77777777" w:rsidTr="000561E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00080728" w14:textId="77777777" w:rsidR="000561ED" w:rsidRPr="00043A09" w:rsidRDefault="000561ED" w:rsidP="000561ED">
            <w:pPr>
              <w:rPr>
                <w:rFonts w:cstheme="minorHAnsi"/>
                <w:b w:val="0"/>
                <w:sz w:val="20"/>
                <w:szCs w:val="20"/>
                <w:lang w:eastAsia="it-IT"/>
              </w:rPr>
            </w:pPr>
            <w:r w:rsidRPr="00043A09">
              <w:rPr>
                <w:rFonts w:cstheme="minorHAnsi"/>
                <w:b w:val="0"/>
                <w:sz w:val="20"/>
                <w:szCs w:val="20"/>
                <w:lang w:eastAsia="it-IT"/>
              </w:rPr>
              <w:t>Sicilia</w:t>
            </w:r>
          </w:p>
        </w:tc>
        <w:tc>
          <w:tcPr>
            <w:tcW w:w="1036" w:type="pct"/>
            <w:noWrap/>
          </w:tcPr>
          <w:p w14:paraId="4F072D32"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1.966</w:t>
            </w:r>
          </w:p>
        </w:tc>
        <w:tc>
          <w:tcPr>
            <w:tcW w:w="862" w:type="pct"/>
            <w:noWrap/>
          </w:tcPr>
          <w:p w14:paraId="615DC2B0"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95F74">
              <w:rPr>
                <w:rFonts w:cstheme="minorHAnsi"/>
                <w:sz w:val="20"/>
                <w:szCs w:val="20"/>
              </w:rPr>
              <w:t>1.927</w:t>
            </w:r>
          </w:p>
        </w:tc>
        <w:tc>
          <w:tcPr>
            <w:tcW w:w="1122" w:type="pct"/>
            <w:noWrap/>
          </w:tcPr>
          <w:p w14:paraId="6502B426"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102,0</w:t>
            </w:r>
            <w:r w:rsidRPr="00295F74">
              <w:rPr>
                <w:rFonts w:cstheme="minorHAnsi"/>
                <w:sz w:val="20"/>
                <w:szCs w:val="20"/>
              </w:rPr>
              <w:t>%</w:t>
            </w:r>
          </w:p>
        </w:tc>
        <w:tc>
          <w:tcPr>
            <w:tcW w:w="949" w:type="pct"/>
            <w:vAlign w:val="center"/>
          </w:tcPr>
          <w:p w14:paraId="33C60A52" w14:textId="77777777" w:rsidR="000561ED" w:rsidRPr="00295F74" w:rsidRDefault="000561ED" w:rsidP="000561ED">
            <w:pPr>
              <w:jc w:val="right"/>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ascii="Calibri" w:hAnsi="Calibri" w:cs="Calibri"/>
                <w:color w:val="000000"/>
                <w:sz w:val="20"/>
                <w:szCs w:val="20"/>
              </w:rPr>
              <w:t>219.677</w:t>
            </w:r>
          </w:p>
        </w:tc>
      </w:tr>
      <w:tr w:rsidR="000561ED" w:rsidRPr="00295F74" w14:paraId="4F72F94E" w14:textId="77777777" w:rsidTr="000561ED">
        <w:trPr>
          <w:trHeight w:val="300"/>
          <w:jc w:val="center"/>
        </w:trPr>
        <w:tc>
          <w:tcPr>
            <w:cnfStyle w:val="001000000000" w:firstRow="0" w:lastRow="0" w:firstColumn="1" w:lastColumn="0" w:oddVBand="0" w:evenVBand="0" w:oddHBand="0" w:evenHBand="0" w:firstRowFirstColumn="0" w:firstRowLastColumn="0" w:lastRowFirstColumn="0" w:lastRowLastColumn="0"/>
            <w:tcW w:w="1030" w:type="pct"/>
            <w:noWrap/>
          </w:tcPr>
          <w:p w14:paraId="7D30C77F" w14:textId="77777777" w:rsidR="000561ED" w:rsidRPr="00043A09" w:rsidRDefault="000561ED" w:rsidP="000561ED">
            <w:pPr>
              <w:rPr>
                <w:rFonts w:cstheme="minorHAnsi"/>
                <w:sz w:val="20"/>
                <w:szCs w:val="20"/>
                <w:lang w:eastAsia="it-IT"/>
              </w:rPr>
            </w:pPr>
            <w:r w:rsidRPr="00043A09">
              <w:rPr>
                <w:rFonts w:cstheme="minorHAnsi"/>
                <w:sz w:val="20"/>
                <w:szCs w:val="20"/>
                <w:lang w:eastAsia="it-IT"/>
              </w:rPr>
              <w:t>Italia</w:t>
            </w:r>
          </w:p>
        </w:tc>
        <w:tc>
          <w:tcPr>
            <w:tcW w:w="1036" w:type="pct"/>
            <w:noWrap/>
          </w:tcPr>
          <w:p w14:paraId="53625A02"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bCs/>
                <w:sz w:val="20"/>
                <w:szCs w:val="20"/>
              </w:rPr>
            </w:pPr>
            <w:r w:rsidRPr="00295F74">
              <w:rPr>
                <w:rFonts w:cstheme="minorHAnsi"/>
                <w:b/>
                <w:bCs/>
                <w:sz w:val="20"/>
                <w:szCs w:val="20"/>
              </w:rPr>
              <w:t>22.225</w:t>
            </w:r>
          </w:p>
        </w:tc>
        <w:tc>
          <w:tcPr>
            <w:tcW w:w="862" w:type="pct"/>
            <w:noWrap/>
          </w:tcPr>
          <w:p w14:paraId="7F23D6C4"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bCs/>
                <w:sz w:val="20"/>
                <w:szCs w:val="20"/>
              </w:rPr>
            </w:pPr>
            <w:r w:rsidRPr="00295F74">
              <w:rPr>
                <w:rFonts w:cstheme="minorHAnsi"/>
                <w:b/>
                <w:bCs/>
                <w:sz w:val="20"/>
                <w:szCs w:val="20"/>
              </w:rPr>
              <w:t>22.987</w:t>
            </w:r>
          </w:p>
        </w:tc>
        <w:tc>
          <w:tcPr>
            <w:tcW w:w="1122" w:type="pct"/>
            <w:noWrap/>
          </w:tcPr>
          <w:p w14:paraId="1CF30774"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bCs/>
                <w:sz w:val="20"/>
                <w:szCs w:val="20"/>
              </w:rPr>
            </w:pPr>
            <w:r>
              <w:rPr>
                <w:rFonts w:cstheme="minorHAnsi"/>
                <w:b/>
                <w:bCs/>
                <w:sz w:val="20"/>
                <w:szCs w:val="20"/>
              </w:rPr>
              <w:t>96,7</w:t>
            </w:r>
            <w:r w:rsidRPr="00295F74">
              <w:rPr>
                <w:rFonts w:cstheme="minorHAnsi"/>
                <w:b/>
                <w:bCs/>
                <w:sz w:val="20"/>
                <w:szCs w:val="20"/>
              </w:rPr>
              <w:t>%</w:t>
            </w:r>
          </w:p>
        </w:tc>
        <w:tc>
          <w:tcPr>
            <w:tcW w:w="949" w:type="pct"/>
            <w:vAlign w:val="center"/>
          </w:tcPr>
          <w:p w14:paraId="3271B67F" w14:textId="77777777" w:rsidR="000561ED" w:rsidRPr="00295F74" w:rsidRDefault="000561ED" w:rsidP="000561ED">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0"/>
                <w:szCs w:val="20"/>
              </w:rPr>
            </w:pPr>
            <w:r>
              <w:rPr>
                <w:rFonts w:ascii="Calibri" w:hAnsi="Calibri" w:cs="Calibri"/>
                <w:b/>
                <w:bCs/>
                <w:color w:val="000000"/>
                <w:sz w:val="20"/>
                <w:szCs w:val="20"/>
              </w:rPr>
              <w:t>1.620.884</w:t>
            </w:r>
          </w:p>
        </w:tc>
      </w:tr>
    </w:tbl>
    <w:p w14:paraId="08D31701" w14:textId="77777777" w:rsidR="000561ED" w:rsidRPr="005843B7" w:rsidRDefault="000561ED" w:rsidP="000561ED">
      <w:pPr>
        <w:pStyle w:val="Fontetabellagrafico"/>
        <w:rPr>
          <w:rFonts w:ascii="Century Gothic" w:hAnsi="Century Gothic"/>
          <w:color w:val="000000" w:themeColor="text1"/>
          <w:lang w:val="it-IT"/>
        </w:rPr>
      </w:pPr>
      <w:r w:rsidRPr="00797918">
        <w:rPr>
          <w:lang w:val="it-IT"/>
        </w:rPr>
        <w:t>Fonte: elaborazioni Ismea su dati RAE cumulati al 31/12/2015</w:t>
      </w:r>
    </w:p>
    <w:p w14:paraId="252649E5" w14:textId="1BBA4473" w:rsidR="000561ED" w:rsidRDefault="000561ED" w:rsidP="000561ED">
      <w:pPr>
        <w:pStyle w:val="Fontetabellagrafico"/>
        <w:numPr>
          <w:ilvl w:val="0"/>
          <w:numId w:val="15"/>
        </w:numPr>
        <w:spacing w:after="0"/>
        <w:ind w:left="714" w:hanging="357"/>
        <w:jc w:val="both"/>
        <w:rPr>
          <w:rFonts w:cstheme="minorHAnsi"/>
          <w:i w:val="0"/>
          <w:color w:val="000000" w:themeColor="text1"/>
          <w:sz w:val="22"/>
          <w:szCs w:val="22"/>
          <w:lang w:val="it-IT"/>
        </w:rPr>
      </w:pPr>
      <w:r>
        <w:rPr>
          <w:rFonts w:cstheme="minorHAnsi"/>
          <w:i w:val="0"/>
          <w:color w:val="000000" w:themeColor="text1"/>
          <w:sz w:val="22"/>
          <w:szCs w:val="22"/>
          <w:lang w:val="it-IT"/>
        </w:rPr>
        <w:t xml:space="preserve">La </w:t>
      </w:r>
      <w:r w:rsidRPr="0076109C">
        <w:rPr>
          <w:rFonts w:cstheme="minorHAnsi"/>
          <w:b/>
          <w:bCs/>
          <w:i w:val="0"/>
          <w:color w:val="000000" w:themeColor="text1"/>
          <w:sz w:val="22"/>
          <w:szCs w:val="22"/>
          <w:lang w:val="it-IT"/>
        </w:rPr>
        <w:t xml:space="preserve">figura </w:t>
      </w:r>
      <w:r w:rsidR="00325025" w:rsidRPr="0076109C">
        <w:rPr>
          <w:rFonts w:cstheme="minorHAnsi"/>
          <w:b/>
          <w:bCs/>
          <w:i w:val="0"/>
          <w:color w:val="000000" w:themeColor="text1"/>
          <w:sz w:val="22"/>
          <w:szCs w:val="22"/>
          <w:lang w:val="it-IT"/>
        </w:rPr>
        <w:t>24</w:t>
      </w:r>
      <w:r>
        <w:rPr>
          <w:rFonts w:cstheme="minorHAnsi"/>
          <w:i w:val="0"/>
          <w:color w:val="000000" w:themeColor="text1"/>
          <w:sz w:val="22"/>
          <w:szCs w:val="22"/>
          <w:lang w:val="it-IT"/>
        </w:rPr>
        <w:t xml:space="preserve"> fornisce una rappresentazione</w:t>
      </w:r>
      <w:r w:rsidRPr="00D01D09">
        <w:rPr>
          <w:rFonts w:cstheme="minorHAnsi"/>
          <w:i w:val="0"/>
          <w:color w:val="000000" w:themeColor="text1"/>
          <w:sz w:val="22"/>
          <w:szCs w:val="22"/>
          <w:lang w:val="it-IT"/>
        </w:rPr>
        <w:t xml:space="preserve"> della distribuzione territoriale del premio di insediamento</w:t>
      </w:r>
      <w:r>
        <w:rPr>
          <w:rFonts w:cstheme="minorHAnsi"/>
          <w:i w:val="0"/>
          <w:color w:val="000000" w:themeColor="text1"/>
          <w:sz w:val="22"/>
          <w:szCs w:val="22"/>
          <w:lang w:val="it-IT"/>
        </w:rPr>
        <w:t xml:space="preserve"> ed evidenzia una concentrazione di risorse nelle aree interne del Centro Nord, del Sud Est e nelle Isole, territori caratterizzati da una forte senilizzazione del settore primario.</w:t>
      </w:r>
    </w:p>
    <w:p w14:paraId="48EDA970" w14:textId="77777777" w:rsidR="000561ED" w:rsidRDefault="000561ED" w:rsidP="000561ED">
      <w:pPr>
        <w:pStyle w:val="Fontetabellagrafico"/>
        <w:numPr>
          <w:ilvl w:val="0"/>
          <w:numId w:val="15"/>
        </w:numPr>
        <w:spacing w:after="0"/>
        <w:ind w:left="714" w:hanging="357"/>
        <w:jc w:val="both"/>
        <w:rPr>
          <w:rFonts w:cstheme="minorHAnsi"/>
          <w:i w:val="0"/>
          <w:color w:val="000000" w:themeColor="text1"/>
          <w:sz w:val="22"/>
          <w:szCs w:val="22"/>
          <w:lang w:val="it-IT"/>
        </w:rPr>
      </w:pPr>
      <w:r w:rsidRPr="00D01D09">
        <w:rPr>
          <w:rFonts w:cstheme="minorHAnsi"/>
          <w:i w:val="0"/>
          <w:color w:val="000000" w:themeColor="text1"/>
          <w:sz w:val="22"/>
          <w:szCs w:val="22"/>
          <w:lang w:val="it-IT"/>
        </w:rPr>
        <w:t xml:space="preserve">Con riferimento alle zone altimetriche, il premio si è prevalentemente distribuito nelle zone di collina, mentre in pianura e in montagna sono stati pagati rispettivamente circa il 26% </w:t>
      </w:r>
      <w:r>
        <w:rPr>
          <w:rFonts w:cstheme="minorHAnsi"/>
          <w:i w:val="0"/>
          <w:color w:val="000000" w:themeColor="text1"/>
          <w:sz w:val="22"/>
          <w:szCs w:val="22"/>
          <w:lang w:val="it-IT"/>
        </w:rPr>
        <w:t xml:space="preserve">e </w:t>
      </w:r>
      <w:r w:rsidRPr="00D01D09">
        <w:rPr>
          <w:rFonts w:cstheme="minorHAnsi"/>
          <w:i w:val="0"/>
          <w:color w:val="000000" w:themeColor="text1"/>
          <w:sz w:val="22"/>
          <w:szCs w:val="22"/>
          <w:lang w:val="it-IT"/>
        </w:rPr>
        <w:t xml:space="preserve">il 24% delle risorse complessive. </w:t>
      </w:r>
    </w:p>
    <w:p w14:paraId="6089FFF5" w14:textId="77777777" w:rsidR="000561ED" w:rsidRDefault="000561ED" w:rsidP="000561ED">
      <w:pPr>
        <w:jc w:val="left"/>
        <w:rPr>
          <w:rFonts w:cstheme="minorHAnsi"/>
          <w:color w:val="000000" w:themeColor="text1"/>
        </w:rPr>
      </w:pPr>
      <w:r>
        <w:rPr>
          <w:rFonts w:cstheme="minorHAnsi"/>
          <w:i/>
          <w:color w:val="000000" w:themeColor="text1"/>
        </w:rPr>
        <w:br w:type="page"/>
      </w:r>
    </w:p>
    <w:p w14:paraId="292D44C7" w14:textId="52652C6C" w:rsidR="000561ED" w:rsidRPr="00D01D09" w:rsidRDefault="000561ED" w:rsidP="000561ED">
      <w:pPr>
        <w:pStyle w:val="Fontetabellagrafico"/>
        <w:spacing w:after="0"/>
        <w:ind w:left="426"/>
        <w:jc w:val="both"/>
        <w:rPr>
          <w:rFonts w:cstheme="minorHAnsi"/>
          <w:b/>
          <w:i w:val="0"/>
          <w:color w:val="000000" w:themeColor="text1"/>
          <w:sz w:val="22"/>
          <w:szCs w:val="22"/>
          <w:lang w:val="it-IT"/>
        </w:rPr>
      </w:pPr>
      <w:r>
        <w:rPr>
          <w:rFonts w:cstheme="minorHAnsi"/>
          <w:b/>
          <w:i w:val="0"/>
          <w:color w:val="000000" w:themeColor="text1"/>
          <w:sz w:val="22"/>
          <w:szCs w:val="22"/>
          <w:lang w:val="it-IT"/>
        </w:rPr>
        <w:lastRenderedPageBreak/>
        <w:t xml:space="preserve">Figura </w:t>
      </w:r>
      <w:r w:rsidR="00325025">
        <w:rPr>
          <w:rFonts w:cstheme="minorHAnsi"/>
          <w:b/>
          <w:i w:val="0"/>
          <w:color w:val="000000" w:themeColor="text1"/>
          <w:sz w:val="22"/>
          <w:szCs w:val="22"/>
          <w:lang w:val="it-IT"/>
        </w:rPr>
        <w:t>24</w:t>
      </w:r>
      <w:r>
        <w:rPr>
          <w:rFonts w:cstheme="minorHAnsi"/>
          <w:b/>
          <w:i w:val="0"/>
          <w:color w:val="000000" w:themeColor="text1"/>
          <w:sz w:val="22"/>
          <w:szCs w:val="22"/>
          <w:lang w:val="it-IT"/>
        </w:rPr>
        <w:t xml:space="preserve"> </w:t>
      </w:r>
      <w:r w:rsidRPr="00D01D09">
        <w:rPr>
          <w:rFonts w:cstheme="minorHAnsi"/>
          <w:b/>
          <w:i w:val="0"/>
          <w:color w:val="000000" w:themeColor="text1"/>
          <w:sz w:val="22"/>
          <w:szCs w:val="22"/>
          <w:lang w:val="it-IT"/>
        </w:rPr>
        <w:t>Misura 112: Spesa pubblica</w:t>
      </w:r>
      <w:r w:rsidR="007F5823">
        <w:rPr>
          <w:rFonts w:cstheme="minorHAnsi"/>
          <w:b/>
          <w:i w:val="0"/>
          <w:color w:val="000000" w:themeColor="text1"/>
          <w:sz w:val="22"/>
          <w:szCs w:val="22"/>
          <w:lang w:val="it-IT"/>
        </w:rPr>
        <w:t xml:space="preserve"> in </w:t>
      </w:r>
      <w:r w:rsidR="0076109C">
        <w:rPr>
          <w:rFonts w:cstheme="minorHAnsi"/>
          <w:b/>
          <w:i w:val="0"/>
          <w:color w:val="000000" w:themeColor="text1"/>
          <w:sz w:val="22"/>
          <w:szCs w:val="22"/>
          <w:lang w:val="it-IT"/>
        </w:rPr>
        <w:t>euro</w:t>
      </w:r>
      <w:r w:rsidRPr="00D01D09">
        <w:rPr>
          <w:rFonts w:cstheme="minorHAnsi"/>
          <w:b/>
          <w:i w:val="0"/>
          <w:color w:val="000000" w:themeColor="text1"/>
          <w:sz w:val="22"/>
          <w:szCs w:val="22"/>
          <w:lang w:val="it-IT"/>
        </w:rPr>
        <w:t xml:space="preserve"> erogata per comune</w:t>
      </w:r>
    </w:p>
    <w:p w14:paraId="48B459EA" w14:textId="77777777" w:rsidR="000561ED" w:rsidRDefault="000561ED" w:rsidP="000561ED">
      <w:pPr>
        <w:spacing w:after="0"/>
        <w:ind w:left="709"/>
      </w:pPr>
      <w:r>
        <w:rPr>
          <w:noProof/>
          <w:lang w:eastAsia="it-IT"/>
        </w:rPr>
        <w:drawing>
          <wp:inline distT="0" distB="0" distL="0" distR="0" wp14:anchorId="2D5EA4D5" wp14:editId="22E63B40">
            <wp:extent cx="3741052" cy="3800724"/>
            <wp:effectExtent l="0" t="0" r="0" b="0"/>
            <wp:docPr id="3" name="Immagine 11">
              <a:extLst xmlns:a="http://schemas.openxmlformats.org/drawingml/2006/main">
                <a:ext uri="{FF2B5EF4-FFF2-40B4-BE49-F238E27FC236}">
                  <a16:creationId xmlns:a16="http://schemas.microsoft.com/office/drawing/2014/main" id="{DBC3C5A6-3F57-4549-BF50-83D11AAA76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1">
                      <a:extLst>
                        <a:ext uri="{FF2B5EF4-FFF2-40B4-BE49-F238E27FC236}">
                          <a16:creationId xmlns:a16="http://schemas.microsoft.com/office/drawing/2014/main" id="{DBC3C5A6-3F57-4549-BF50-83D11AAA7679}"/>
                        </a:ext>
                      </a:extLst>
                    </pic:cNvPr>
                    <pic:cNvPicPr>
                      <a:picLocks noChangeAspect="1"/>
                    </pic:cNvPicPr>
                  </pic:nvPicPr>
                  <pic:blipFill rotWithShape="1">
                    <a:blip r:embed="rId35" cstate="print">
                      <a:extLst>
                        <a:ext uri="{28A0092B-C50C-407E-A947-70E740481C1C}">
                          <a14:useLocalDpi xmlns:a14="http://schemas.microsoft.com/office/drawing/2010/main" val="0"/>
                        </a:ext>
                      </a:extLst>
                    </a:blip>
                    <a:srcRect l="2241" t="10918" b="11424"/>
                    <a:stretch/>
                  </pic:blipFill>
                  <pic:spPr bwMode="auto">
                    <a:xfrm>
                      <a:off x="0" y="0"/>
                      <a:ext cx="3765677" cy="3825742"/>
                    </a:xfrm>
                    <a:prstGeom prst="rect">
                      <a:avLst/>
                    </a:prstGeom>
                    <a:ln>
                      <a:noFill/>
                    </a:ln>
                    <a:extLst>
                      <a:ext uri="{53640926-AAD7-44D8-BBD7-CCE9431645EC}">
                        <a14:shadowObscured xmlns:a14="http://schemas.microsoft.com/office/drawing/2010/main"/>
                      </a:ext>
                    </a:extLst>
                  </pic:spPr>
                </pic:pic>
              </a:graphicData>
            </a:graphic>
          </wp:inline>
        </w:drawing>
      </w:r>
    </w:p>
    <w:p w14:paraId="49EA34C2" w14:textId="77777777" w:rsidR="000561ED" w:rsidRPr="00C8366E" w:rsidRDefault="000561ED" w:rsidP="000561ED">
      <w:pPr>
        <w:pStyle w:val="Fontetabellagrafico"/>
        <w:spacing w:before="0" w:after="120"/>
        <w:ind w:firstLine="709"/>
        <w:rPr>
          <w:lang w:val="it-IT"/>
        </w:rPr>
      </w:pPr>
      <w:r w:rsidRPr="00C8366E">
        <w:rPr>
          <w:lang w:val="it-IT"/>
        </w:rPr>
        <w:t>Fonte: elaborazione CREA – Centro Politiche e Bioeconomia su dati AGEA</w:t>
      </w:r>
    </w:p>
    <w:p w14:paraId="3E951E04" w14:textId="77777777" w:rsidR="000561ED" w:rsidRDefault="000561ED" w:rsidP="000561ED">
      <w:pPr>
        <w:pStyle w:val="Paragrafoelenco"/>
        <w:spacing w:after="120" w:line="240" w:lineRule="auto"/>
        <w:ind w:left="357"/>
        <w:contextualSpacing w:val="0"/>
        <w:rPr>
          <w:rFonts w:cstheme="minorHAnsi"/>
          <w:color w:val="000000" w:themeColor="text1"/>
        </w:rPr>
      </w:pPr>
    </w:p>
    <w:p w14:paraId="17F4917E" w14:textId="77777777" w:rsidR="00D01D09" w:rsidRPr="00D01D09" w:rsidRDefault="00D01D09" w:rsidP="00BE098A">
      <w:pPr>
        <w:rPr>
          <w:sz w:val="2"/>
          <w:szCs w:val="2"/>
        </w:rPr>
      </w:pPr>
    </w:p>
    <w:p w14:paraId="1C7E4E8A" w14:textId="77777777" w:rsidR="00BE098A" w:rsidRDefault="00BE098A" w:rsidP="000C7F95">
      <w:pPr>
        <w:pStyle w:val="Titolo2"/>
        <w:numPr>
          <w:ilvl w:val="1"/>
          <w:numId w:val="11"/>
        </w:numPr>
        <w:spacing w:after="80"/>
        <w:ind w:left="1276" w:hanging="567"/>
      </w:pPr>
      <w:bookmarkStart w:id="27" w:name="_Toc22736712"/>
      <w:r>
        <w:t>Il sostegno al ricambio generazionale nella Politica agricola comune 2014-2020</w:t>
      </w:r>
      <w:bookmarkEnd w:id="27"/>
    </w:p>
    <w:p w14:paraId="3497CDB7" w14:textId="69EF5156" w:rsidR="001E4D37" w:rsidRPr="00BE098A" w:rsidRDefault="001E4D37" w:rsidP="00385960">
      <w:pPr>
        <w:pStyle w:val="Titolo3"/>
        <w:spacing w:after="120"/>
      </w:pPr>
      <w:bookmarkStart w:id="28" w:name="_Toc22736713"/>
      <w:r>
        <w:t xml:space="preserve">I </w:t>
      </w:r>
      <w:r w:rsidR="002A2E8A">
        <w:t xml:space="preserve">principali aspetti </w:t>
      </w:r>
      <w:r w:rsidR="00325025">
        <w:t xml:space="preserve">del </w:t>
      </w:r>
      <w:r w:rsidR="00D67BFB">
        <w:t>II Pilastro</w:t>
      </w:r>
      <w:bookmarkEnd w:id="28"/>
    </w:p>
    <w:p w14:paraId="608C1FC8" w14:textId="567C5B17" w:rsidR="00325025" w:rsidRDefault="00325025" w:rsidP="00E347BE">
      <w:pPr>
        <w:pStyle w:val="Paragrafoelenco"/>
        <w:numPr>
          <w:ilvl w:val="0"/>
          <w:numId w:val="37"/>
        </w:numPr>
        <w:spacing w:after="120" w:line="240" w:lineRule="auto"/>
        <w:contextualSpacing w:val="0"/>
      </w:pPr>
      <w:r>
        <w:t xml:space="preserve">La sottomisura 6.1 è del tutto paragonabile, in termini di finalità, obiettivi e modalità attuative alla misura 112 del precedente periodo di programmazione.  </w:t>
      </w:r>
    </w:p>
    <w:p w14:paraId="7AAC2EAB" w14:textId="77777777" w:rsidR="00325025" w:rsidRPr="00A71ED0" w:rsidRDefault="00325025" w:rsidP="00E347BE">
      <w:pPr>
        <w:pStyle w:val="Paragrafoelenco"/>
        <w:numPr>
          <w:ilvl w:val="0"/>
          <w:numId w:val="37"/>
        </w:numPr>
        <w:spacing w:after="120" w:line="240" w:lineRule="auto"/>
        <w:contextualSpacing w:val="0"/>
      </w:pPr>
      <w:r>
        <w:t>D</w:t>
      </w:r>
      <w:r w:rsidRPr="00A71ED0">
        <w:t xml:space="preserve">al punto di vista finanziario il peso della </w:t>
      </w:r>
      <w:proofErr w:type="gramStart"/>
      <w:r>
        <w:t>sotto-misura</w:t>
      </w:r>
      <w:proofErr w:type="gramEnd"/>
      <w:r w:rsidRPr="00A71ED0">
        <w:t xml:space="preserve"> 6.1 è decisamente preponderante rispetto alla dotazione attribuita alle altre sotto</w:t>
      </w:r>
      <w:r>
        <w:t>-</w:t>
      </w:r>
      <w:r w:rsidRPr="00A71ED0">
        <w:t>misure</w:t>
      </w:r>
      <w:r>
        <w:t xml:space="preserve"> nell’ambito della misura 6</w:t>
      </w:r>
      <w:r w:rsidRPr="00A71ED0">
        <w:t>, alcune delle quali non sono state</w:t>
      </w:r>
      <w:r>
        <w:t xml:space="preserve"> nemmeno attivate da</w:t>
      </w:r>
      <w:r w:rsidRPr="00A71ED0">
        <w:t>i vari PS</w:t>
      </w:r>
      <w:r>
        <w:t>R</w:t>
      </w:r>
      <w:r w:rsidRPr="00A71ED0">
        <w:t xml:space="preserve"> </w:t>
      </w:r>
      <w:r>
        <w:t>r</w:t>
      </w:r>
      <w:r w:rsidRPr="00A71ED0">
        <w:t xml:space="preserve">egionali. </w:t>
      </w:r>
    </w:p>
    <w:p w14:paraId="5694D61B" w14:textId="32F517EC" w:rsidR="00325025" w:rsidRDefault="00325025" w:rsidP="00E347BE">
      <w:pPr>
        <w:pStyle w:val="Paragrafoelenco"/>
        <w:numPr>
          <w:ilvl w:val="0"/>
          <w:numId w:val="37"/>
        </w:numPr>
        <w:spacing w:after="120" w:line="240" w:lineRule="auto"/>
        <w:contextualSpacing w:val="0"/>
      </w:pPr>
      <w:r w:rsidRPr="00A71ED0">
        <w:t xml:space="preserve">La </w:t>
      </w:r>
      <w:proofErr w:type="gramStart"/>
      <w:r>
        <w:t>sotto-misura</w:t>
      </w:r>
      <w:proofErr w:type="gramEnd"/>
      <w:r>
        <w:t xml:space="preserve"> 6.1 è</w:t>
      </w:r>
      <w:r w:rsidRPr="00A71ED0">
        <w:t xml:space="preserve"> finalizzata a promuovere il ricambio generazionale con l</w:t>
      </w:r>
      <w:r>
        <w:t>’</w:t>
      </w:r>
      <w:r w:rsidRPr="00A71ED0">
        <w:t xml:space="preserve">obiettivo di aumentare la redditività e </w:t>
      </w:r>
      <w:r>
        <w:t>la competitività del settore</w:t>
      </w:r>
      <w:r w:rsidRPr="00A71ED0">
        <w:t xml:space="preserve"> attraverso l’insediamento di giovani agricoltori </w:t>
      </w:r>
      <w:r>
        <w:t xml:space="preserve">qualificati </w:t>
      </w:r>
      <w:r w:rsidRPr="00A71ED0">
        <w:t>disposti a introdurre innovazioni tecnologiche e gestionali.</w:t>
      </w:r>
      <w:r w:rsidRPr="00325025">
        <w:rPr>
          <w:b/>
        </w:rPr>
        <w:t xml:space="preserve"> </w:t>
      </w:r>
      <w:r w:rsidRPr="00A97C1A">
        <w:t>L’intervento</w:t>
      </w:r>
      <w:r>
        <w:t xml:space="preserve"> è</w:t>
      </w:r>
      <w:r w:rsidRPr="00A71ED0">
        <w:t xml:space="preserve"> concesso sotto forma di premio per il finanziamento delle spese sostenute per l</w:t>
      </w:r>
      <w:r>
        <w:t>’</w:t>
      </w:r>
      <w:r w:rsidRPr="00A71ED0">
        <w:t xml:space="preserve">insediamento erogato in almeno due rate decrescenti in un periodo massimo di cinque anni. Il pagamento </w:t>
      </w:r>
      <w:r>
        <w:t>dell’ultima rata è</w:t>
      </w:r>
      <w:r w:rsidRPr="00A71ED0">
        <w:t xml:space="preserve"> subordinato alla corretta attuazione del </w:t>
      </w:r>
      <w:r>
        <w:t xml:space="preserve">necessario </w:t>
      </w:r>
      <w:r w:rsidRPr="00A71ED0">
        <w:t>piano aziendale.</w:t>
      </w:r>
      <w:r>
        <w:t xml:space="preserve"> </w:t>
      </w:r>
    </w:p>
    <w:p w14:paraId="3860B25C" w14:textId="77777777" w:rsidR="00325025" w:rsidRDefault="00325025" w:rsidP="00E347BE">
      <w:pPr>
        <w:pStyle w:val="Paragrafoelenco"/>
        <w:numPr>
          <w:ilvl w:val="0"/>
          <w:numId w:val="37"/>
        </w:numPr>
        <w:spacing w:after="120" w:line="240" w:lineRule="auto"/>
        <w:ind w:left="714" w:hanging="357"/>
        <w:contextualSpacing w:val="0"/>
      </w:pPr>
      <w:r>
        <w:t xml:space="preserve">L’attuale Regolamento per lo sviluppo rurale definisce il massimale del sostegno concedibile alla cifra di </w:t>
      </w:r>
      <w:r w:rsidRPr="00A71ED0">
        <w:t>70 mila euro nella forma di contributo in conto capitale o abbattimento degli interessi</w:t>
      </w:r>
      <w:r>
        <w:t xml:space="preserve">. </w:t>
      </w:r>
      <w:r w:rsidRPr="00A71ED0">
        <w:t xml:space="preserve">L’ammontare del premio concesso è fortemente diversificato in funzione delle diverse </w:t>
      </w:r>
      <w:r>
        <w:t>Regioni</w:t>
      </w:r>
      <w:r w:rsidRPr="00A71ED0">
        <w:t>. Per il calcolo del premio concesso</w:t>
      </w:r>
      <w:r>
        <w:t>,</w:t>
      </w:r>
      <w:r w:rsidRPr="00A71ED0">
        <w:t xml:space="preserve"> alcune </w:t>
      </w:r>
      <w:r>
        <w:t>Regioni</w:t>
      </w:r>
      <w:r w:rsidRPr="00A71ED0">
        <w:t xml:space="preserve"> impiegano la modalità più semplice che consiste nel definire</w:t>
      </w:r>
      <w:r>
        <w:t xml:space="preserve"> un ammontare unico per l’intero territorio</w:t>
      </w:r>
      <w:r w:rsidRPr="00A71ED0">
        <w:t xml:space="preserve"> </w:t>
      </w:r>
      <w:r>
        <w:t>Regionale</w:t>
      </w:r>
      <w:r w:rsidRPr="00A71ED0">
        <w:t xml:space="preserve">. </w:t>
      </w:r>
      <w:r>
        <w:t>Altre</w:t>
      </w:r>
      <w:r w:rsidRPr="00A71ED0">
        <w:t xml:space="preserve"> </w:t>
      </w:r>
      <w:r>
        <w:t>introducono</w:t>
      </w:r>
      <w:r w:rsidRPr="00A71ED0">
        <w:t xml:space="preserve"> una differenziazione dell’ammontare del premio in funzione della localizzazione aziendale sulla base della classificazione </w:t>
      </w:r>
      <w:r w:rsidRPr="00A71ED0">
        <w:lastRenderedPageBreak/>
        <w:t>territoriale contenuta nel P</w:t>
      </w:r>
      <w:r>
        <w:t xml:space="preserve">iano </w:t>
      </w:r>
      <w:r w:rsidRPr="00A71ED0">
        <w:t>S</w:t>
      </w:r>
      <w:r>
        <w:t xml:space="preserve">trategico </w:t>
      </w:r>
      <w:r w:rsidRPr="00A71ED0">
        <w:t>N</w:t>
      </w:r>
      <w:r>
        <w:t>azionale</w:t>
      </w:r>
      <w:r w:rsidRPr="00A71ED0">
        <w:t xml:space="preserve">. Infine, alcune </w:t>
      </w:r>
      <w:r>
        <w:t>Regioni</w:t>
      </w:r>
      <w:r w:rsidRPr="00A71ED0">
        <w:t xml:space="preserve"> impiegano altri criteri in aggiunta alla localizzazione aziendale. </w:t>
      </w:r>
    </w:p>
    <w:p w14:paraId="4C821CFA" w14:textId="77777777" w:rsidR="00325025" w:rsidRDefault="00325025" w:rsidP="00E347BE">
      <w:pPr>
        <w:pStyle w:val="Paragrafoelenco"/>
        <w:numPr>
          <w:ilvl w:val="0"/>
          <w:numId w:val="37"/>
        </w:numPr>
        <w:spacing w:after="120" w:line="240" w:lineRule="auto"/>
        <w:ind w:left="714" w:hanging="357"/>
        <w:contextualSpacing w:val="0"/>
      </w:pPr>
      <w:r w:rsidRPr="00A71ED0">
        <w:t>L’estrema variabilità dei criteri impiegati si riflette in un</w:t>
      </w:r>
      <w:r>
        <w:t>a</w:t>
      </w:r>
      <w:r w:rsidRPr="00A71ED0">
        <w:t xml:space="preserve"> varietà altrettanto ampia </w:t>
      </w:r>
      <w:r>
        <w:t>del livello</w:t>
      </w:r>
      <w:r w:rsidRPr="00A71ED0">
        <w:t xml:space="preserve"> dei pre</w:t>
      </w:r>
      <w:r>
        <w:t xml:space="preserve">mi e </w:t>
      </w:r>
      <w:r w:rsidRPr="00A71ED0">
        <w:t>nella definizione delle soglie di dimensione economica aziendale minima e massima per poter beneficiare del premio. La soglia dimensionale minima</w:t>
      </w:r>
      <w:r>
        <w:t xml:space="preserve"> persegue lo scopo di fare in modo che il premio di insediamento venga utilizzato solo da quelle aziende che hanno una dimensione economica minima tale rendere probabile il futuro consolidamento della stessa azienda. P</w:t>
      </w:r>
      <w:r w:rsidRPr="00A71ED0">
        <w:t xml:space="preserve">er alcune </w:t>
      </w:r>
      <w:r>
        <w:t>Regioni</w:t>
      </w:r>
      <w:r w:rsidRPr="00A71ED0">
        <w:t xml:space="preserve"> è stata individuata in maniera univoca</w:t>
      </w:r>
      <w:r>
        <w:t xml:space="preserve"> </w:t>
      </w:r>
      <w:r w:rsidRPr="00A71ED0">
        <w:t xml:space="preserve">mentre altre hanno introdotto una differenziazione in funzione di parametri riferiti alla localizzazione aziendale o all’indirizzo produttivo. </w:t>
      </w:r>
      <w:r>
        <w:t>S</w:t>
      </w:r>
      <w:r w:rsidRPr="00A71ED0">
        <w:t xml:space="preserve">i va </w:t>
      </w:r>
      <w:r>
        <w:t xml:space="preserve">quindi </w:t>
      </w:r>
      <w:r w:rsidRPr="00A71ED0">
        <w:t>da val</w:t>
      </w:r>
      <w:r>
        <w:t xml:space="preserve">ori minimi pari a 8.000 euro </w:t>
      </w:r>
      <w:r w:rsidRPr="00A71ED0">
        <w:t>a</w:t>
      </w:r>
      <w:r>
        <w:t xml:space="preserve"> valori massimi pari a 25.000 euro di produzione standard (PS).</w:t>
      </w:r>
      <w:r w:rsidRPr="00A71ED0">
        <w:t xml:space="preserve"> In merito alla soglia dimensionale massima,</w:t>
      </w:r>
      <w:r>
        <w:t xml:space="preserve"> il cui scopo è quello di evitare che il premio finisca per facilitare l’insediamento in aziende che hanno una dimensione economica tale da poter fare a meno del premio stesso, </w:t>
      </w:r>
      <w:r w:rsidRPr="00A71ED0">
        <w:t xml:space="preserve">tutte le </w:t>
      </w:r>
      <w:r>
        <w:t>Regioni</w:t>
      </w:r>
      <w:r w:rsidRPr="00A71ED0">
        <w:t xml:space="preserve"> hanno individuato un unico valore senza alcuna differenziazione interna</w:t>
      </w:r>
      <w:r>
        <w:t>,</w:t>
      </w:r>
      <w:r w:rsidRPr="00A71ED0">
        <w:t xml:space="preserve"> andando da valori minimi pari a 80.000</w:t>
      </w:r>
      <w:r>
        <w:t xml:space="preserve"> euro</w:t>
      </w:r>
      <w:r w:rsidRPr="00A71ED0">
        <w:t xml:space="preserve"> fino a valori massimi pari a 300.000</w:t>
      </w:r>
      <w:r>
        <w:t xml:space="preserve"> euro</w:t>
      </w:r>
      <w:r w:rsidRPr="00A71ED0">
        <w:t xml:space="preserve">. </w:t>
      </w:r>
    </w:p>
    <w:p w14:paraId="14F8027A" w14:textId="62E3DE90" w:rsidR="00325025" w:rsidRDefault="00325025" w:rsidP="00E347BE">
      <w:pPr>
        <w:pStyle w:val="Paragrafoelenco"/>
        <w:numPr>
          <w:ilvl w:val="0"/>
          <w:numId w:val="37"/>
        </w:numPr>
        <w:spacing w:after="120" w:line="240" w:lineRule="auto"/>
        <w:ind w:left="714" w:hanging="357"/>
        <w:contextualSpacing w:val="0"/>
      </w:pPr>
      <w:r w:rsidRPr="00A71ED0">
        <w:t xml:space="preserve">I </w:t>
      </w:r>
      <w:r w:rsidRPr="002C1EB0">
        <w:t>beneficiari</w:t>
      </w:r>
      <w:r w:rsidRPr="00A71ED0">
        <w:t xml:space="preserve"> sono i giovani agricoltori con un’età compresa tra i 18 anni e i 4</w:t>
      </w:r>
      <w:r>
        <w:t>1</w:t>
      </w:r>
      <w:r w:rsidRPr="00A71ED0">
        <w:t xml:space="preserve"> anni (non compiuti) al momento della presentazione della domanda di aiuto, che possied</w:t>
      </w:r>
      <w:r>
        <w:t>ono</w:t>
      </w:r>
      <w:r w:rsidRPr="00A71ED0">
        <w:t xml:space="preserve"> adeguate qualifiche e competenze professionali e che si insedia</w:t>
      </w:r>
      <w:r>
        <w:t>no</w:t>
      </w:r>
      <w:r w:rsidRPr="00A71ED0">
        <w:t xml:space="preserve"> per la prima volta in un</w:t>
      </w:r>
      <w:r>
        <w:t>’</w:t>
      </w:r>
      <w:r w:rsidRPr="00A71ED0">
        <w:t>azienda agric</w:t>
      </w:r>
      <w:r>
        <w:t xml:space="preserve">ola in qualità di capo azienda. </w:t>
      </w:r>
      <w:r w:rsidRPr="00A71ED0">
        <w:t xml:space="preserve">Importanti novità </w:t>
      </w:r>
      <w:r>
        <w:t>sono state</w:t>
      </w:r>
      <w:r w:rsidRPr="00A71ED0">
        <w:t xml:space="preserve"> introdotte</w:t>
      </w:r>
      <w:r>
        <w:t xml:space="preserve"> di recente </w:t>
      </w:r>
      <w:r w:rsidRPr="00A71ED0">
        <w:t xml:space="preserve">con l’entrata in vigore del </w:t>
      </w:r>
      <w:r>
        <w:t xml:space="preserve">Regolamento (UE) n. 2017/2393, il </w:t>
      </w:r>
      <w:r w:rsidRPr="00A71ED0">
        <w:t xml:space="preserve">così detto </w:t>
      </w:r>
      <w:r>
        <w:t>R</w:t>
      </w:r>
      <w:r w:rsidRPr="00A71ED0">
        <w:t>egolamento Omnibus</w:t>
      </w:r>
      <w:r>
        <w:t>,</w:t>
      </w:r>
      <w:r w:rsidRPr="00A71ED0">
        <w:t xml:space="preserve"> che chiarisce e modifica </w:t>
      </w:r>
      <w:r>
        <w:t xml:space="preserve">alcuni </w:t>
      </w:r>
      <w:r w:rsidRPr="00A71ED0">
        <w:t>aspetti dell’insediamento dei giovani agricoltori contenuti nel Reg.</w:t>
      </w:r>
      <w:r>
        <w:t xml:space="preserve"> </w:t>
      </w:r>
      <w:r w:rsidRPr="00A71ED0">
        <w:t>(</w:t>
      </w:r>
      <w:r>
        <w:t>U</w:t>
      </w:r>
      <w:r w:rsidRPr="00A71ED0">
        <w:t xml:space="preserve">E) </w:t>
      </w:r>
      <w:r>
        <w:t xml:space="preserve">n. 1305/2013. </w:t>
      </w:r>
      <w:r w:rsidRPr="00A71ED0">
        <w:t xml:space="preserve">In dettaglio, </w:t>
      </w:r>
      <w:r w:rsidR="00CB6849">
        <w:t>è</w:t>
      </w:r>
      <w:r w:rsidRPr="00A71ED0">
        <w:t xml:space="preserve"> definitivamente ammessa la possibilità per i giovani agricoltori di insediarsi a capo dell’azienda anche congiuntamente con altri agricoltori indipendentemente dalla forma giuridica scelta. Inoltre, il sostegno potrà essere concesso sia in forma di contributo</w:t>
      </w:r>
      <w:r>
        <w:t xml:space="preserve"> che di strumento finanziario. </w:t>
      </w:r>
      <w:r w:rsidR="00CB6849">
        <w:t>Sono</w:t>
      </w:r>
      <w:r w:rsidRPr="00A71ED0">
        <w:t xml:space="preserve"> anche meglio precisati alcuni aspetti importanti la cui interpretazione ha causato una serie di complicazioni in passato. È </w:t>
      </w:r>
      <w:r>
        <w:t xml:space="preserve">definitivamente </w:t>
      </w:r>
      <w:r w:rsidRPr="00A71ED0">
        <w:t>considerato giovane agricoltore chi ha fino a quarant’anni compiuti e s</w:t>
      </w:r>
      <w:r>
        <w:t>’</w:t>
      </w:r>
      <w:r w:rsidRPr="00A71ED0">
        <w:t>insedia per la prima volta come capo azienda. Il concetto di insediamento viene svincolato da atti formali come l’apertura della partita IVA</w:t>
      </w:r>
      <w:r>
        <w:t>,</w:t>
      </w:r>
      <w:r w:rsidRPr="00A71ED0">
        <w:t xml:space="preserve"> ma riportato ad azioni concrete legate allo stesso processo di insediamento. Infine, </w:t>
      </w:r>
      <w:r w:rsidR="00CB6849">
        <w:t>è</w:t>
      </w:r>
      <w:r w:rsidRPr="00A71ED0">
        <w:t xml:space="preserve"> ribadita la necessità da parte del giovane di presentare un piano aziendale la cui durata è, però, fissata univocamente in </w:t>
      </w:r>
      <w:proofErr w:type="gramStart"/>
      <w:r w:rsidRPr="00A71ED0">
        <w:t>5</w:t>
      </w:r>
      <w:proofErr w:type="gramEnd"/>
      <w:r w:rsidRPr="00A71ED0">
        <w:t xml:space="preserve"> anni. </w:t>
      </w:r>
    </w:p>
    <w:p w14:paraId="52E84266" w14:textId="77777777" w:rsidR="00325025" w:rsidRDefault="00325025" w:rsidP="00E347BE">
      <w:pPr>
        <w:pStyle w:val="Paragrafoelenco"/>
        <w:numPr>
          <w:ilvl w:val="0"/>
          <w:numId w:val="37"/>
        </w:numPr>
        <w:spacing w:after="120" w:line="240" w:lineRule="auto"/>
        <w:ind w:left="714" w:hanging="357"/>
        <w:contextualSpacing w:val="0"/>
      </w:pPr>
      <w:r w:rsidRPr="0046376C">
        <w:t>Uno degli aspetti relativamente più significativi contenuti nell’attuale rego</w:t>
      </w:r>
      <w:r>
        <w:t>lamento per lo sviluppo rurale</w:t>
      </w:r>
      <w:r w:rsidRPr="0046376C">
        <w:t xml:space="preserve"> consiste nella possibilità di prevedere, all’interno dei singoli </w:t>
      </w:r>
      <w:r>
        <w:t>PSR</w:t>
      </w:r>
      <w:r w:rsidRPr="0046376C">
        <w:t xml:space="preserve">, appositi sottoprogrammi o </w:t>
      </w:r>
      <w:r w:rsidRPr="00FF34AF">
        <w:t>pacchetti</w:t>
      </w:r>
      <w:r w:rsidRPr="0046376C">
        <w:t xml:space="preserve"> finalizzati al sostegno dei giovani agricoltori. In sostanza</w:t>
      </w:r>
      <w:r>
        <w:t>,</w:t>
      </w:r>
      <w:r w:rsidRPr="0046376C">
        <w:t xml:space="preserve"> il sostegno per il primo insediamento può essere concesso singolarmente e indipendentemente dalla partecipazione ad altri interventi oppure come elemento di un più ampi</w:t>
      </w:r>
      <w:r>
        <w:t xml:space="preserve">o pacchetto di misure. </w:t>
      </w:r>
    </w:p>
    <w:p w14:paraId="4C1E0810" w14:textId="449E3FEC" w:rsidR="00325025" w:rsidRDefault="00325025" w:rsidP="00E347BE">
      <w:pPr>
        <w:pStyle w:val="Paragrafoelenco"/>
        <w:numPr>
          <w:ilvl w:val="0"/>
          <w:numId w:val="37"/>
        </w:numPr>
        <w:spacing w:after="120" w:line="240" w:lineRule="auto"/>
        <w:ind w:left="714" w:hanging="357"/>
        <w:contextualSpacing w:val="0"/>
      </w:pPr>
      <w:r w:rsidRPr="0046376C">
        <w:t xml:space="preserve">La dotazione finanziaria attribuita alla </w:t>
      </w:r>
      <w:proofErr w:type="gramStart"/>
      <w:r w:rsidRPr="0046376C">
        <w:t>sotto-</w:t>
      </w:r>
      <w:r>
        <w:t>misura</w:t>
      </w:r>
      <w:proofErr w:type="gramEnd"/>
      <w:r w:rsidRPr="0046376C">
        <w:t xml:space="preserve"> 6.1 a livello nazionale è importante e corrisponde al 4,9% del totale della spesa pubblica nazionale prev</w:t>
      </w:r>
      <w:r>
        <w:t>entivata nei PSR pari a poco meno</w:t>
      </w:r>
      <w:r w:rsidRPr="0046376C">
        <w:t xml:space="preserve"> di 900 milioni di euro</w:t>
      </w:r>
      <w:r>
        <w:t xml:space="preserve">. Quest’importo rappresenta circa </w:t>
      </w:r>
      <w:r w:rsidRPr="0046376C">
        <w:t xml:space="preserve">lo 0,8% in più rispetto al peso della </w:t>
      </w:r>
      <w:r>
        <w:t>Misura</w:t>
      </w:r>
      <w:r w:rsidRPr="0046376C">
        <w:t xml:space="preserve"> 112 nella scorsa programmazione </w:t>
      </w:r>
      <w:r>
        <w:t xml:space="preserve">che era pari al 4%. </w:t>
      </w:r>
    </w:p>
    <w:p w14:paraId="06070E97" w14:textId="16B1C2CA" w:rsidR="00CB6849" w:rsidRDefault="00CB6849" w:rsidP="00CB6849">
      <w:pPr>
        <w:pStyle w:val="Paragrafoelenco"/>
        <w:spacing w:after="120" w:line="240" w:lineRule="auto"/>
        <w:ind w:left="714"/>
        <w:contextualSpacing w:val="0"/>
      </w:pPr>
      <w:r>
        <w:br w:type="page"/>
      </w:r>
    </w:p>
    <w:p w14:paraId="37283E35" w14:textId="5360D37D" w:rsidR="00325025" w:rsidRDefault="00CB6849" w:rsidP="00325025">
      <w:pPr>
        <w:pStyle w:val="Titolotab"/>
        <w:numPr>
          <w:ilvl w:val="0"/>
          <w:numId w:val="0"/>
        </w:numPr>
        <w:ind w:left="360" w:hanging="360"/>
      </w:pPr>
      <w:r>
        <w:lastRenderedPageBreak/>
        <w:t xml:space="preserve">Tabella </w:t>
      </w:r>
      <w:r w:rsidR="00325025">
        <w:t xml:space="preserve">25- </w:t>
      </w:r>
      <w:r>
        <w:t>A</w:t>
      </w:r>
      <w:r w:rsidR="00325025" w:rsidRPr="001C4243">
        <w:t xml:space="preserve">ttuazione misura giovani agricoltori </w:t>
      </w:r>
      <w:r w:rsidR="00325025">
        <w:t xml:space="preserve">6.1 al 31 dicembre 2019. </w:t>
      </w:r>
      <w:r w:rsidR="00325025" w:rsidRPr="009E04B1">
        <w:t>Indicatore finanziario (O.1) per regione e stato di avanzamento</w:t>
      </w:r>
      <w:r w:rsidR="00325025">
        <w:t xml:space="preserve"> </w:t>
      </w:r>
    </w:p>
    <w:tbl>
      <w:tblPr>
        <w:tblStyle w:val="Tabellaelenco3-colore1"/>
        <w:tblW w:w="4781" w:type="pct"/>
        <w:tblInd w:w="421" w:type="dxa"/>
        <w:tblLook w:val="04A0" w:firstRow="1" w:lastRow="0" w:firstColumn="1" w:lastColumn="0" w:noHBand="0" w:noVBand="1"/>
      </w:tblPr>
      <w:tblGrid>
        <w:gridCol w:w="1702"/>
        <w:gridCol w:w="992"/>
        <w:gridCol w:w="1132"/>
        <w:gridCol w:w="1843"/>
        <w:gridCol w:w="1983"/>
        <w:gridCol w:w="1554"/>
      </w:tblGrid>
      <w:tr w:rsidR="00325025" w:rsidRPr="00254EB9" w14:paraId="186648F6" w14:textId="77777777" w:rsidTr="00CB6849">
        <w:trPr>
          <w:cnfStyle w:val="100000000000" w:firstRow="1" w:lastRow="0" w:firstColumn="0" w:lastColumn="0" w:oddVBand="0" w:evenVBand="0" w:oddHBand="0" w:evenHBand="0" w:firstRowFirstColumn="0" w:firstRowLastColumn="0" w:lastRowFirstColumn="0" w:lastRowLastColumn="0"/>
          <w:trHeight w:val="687"/>
        </w:trPr>
        <w:tc>
          <w:tcPr>
            <w:cnfStyle w:val="001000000100" w:firstRow="0" w:lastRow="0" w:firstColumn="1" w:lastColumn="0" w:oddVBand="0" w:evenVBand="0" w:oddHBand="0" w:evenHBand="0" w:firstRowFirstColumn="1" w:firstRowLastColumn="0" w:lastRowFirstColumn="0" w:lastRowLastColumn="0"/>
            <w:tcW w:w="924" w:type="pct"/>
            <w:hideMark/>
          </w:tcPr>
          <w:p w14:paraId="1DE73C6A" w14:textId="77777777" w:rsidR="00325025" w:rsidRPr="00254EB9" w:rsidRDefault="00325025" w:rsidP="002A2C67">
            <w:pPr>
              <w:jc w:val="center"/>
              <w:rPr>
                <w:rFonts w:ascii="Calibri" w:eastAsia="Times New Roman" w:hAnsi="Calibri" w:cs="Calibri"/>
                <w:b w:val="0"/>
                <w:bCs w:val="0"/>
                <w:color w:val="FFFFFF"/>
                <w:sz w:val="20"/>
                <w:szCs w:val="20"/>
                <w:lang w:eastAsia="it-IT"/>
              </w:rPr>
            </w:pPr>
            <w:r w:rsidRPr="00254EB9">
              <w:rPr>
                <w:rFonts w:ascii="Calibri" w:eastAsia="Times New Roman" w:hAnsi="Calibri" w:cs="Calibri"/>
                <w:color w:val="FFFFFF"/>
                <w:sz w:val="20"/>
                <w:szCs w:val="20"/>
                <w:lang w:eastAsia="it-IT"/>
              </w:rPr>
              <w:t>Regione</w:t>
            </w:r>
          </w:p>
        </w:tc>
        <w:tc>
          <w:tcPr>
            <w:tcW w:w="539" w:type="pct"/>
            <w:hideMark/>
          </w:tcPr>
          <w:p w14:paraId="4B057B16" w14:textId="77777777" w:rsidR="00325025" w:rsidRPr="00254EB9" w:rsidRDefault="00325025" w:rsidP="002A2C6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it-IT"/>
              </w:rPr>
            </w:pPr>
            <w:r w:rsidRPr="00254EB9">
              <w:rPr>
                <w:rFonts w:ascii="Calibri" w:eastAsia="Times New Roman" w:hAnsi="Calibri" w:cs="Calibri"/>
                <w:color w:val="FFFFFF"/>
                <w:sz w:val="20"/>
                <w:szCs w:val="20"/>
                <w:lang w:eastAsia="it-IT"/>
              </w:rPr>
              <w:t>Misura</w:t>
            </w:r>
          </w:p>
        </w:tc>
        <w:tc>
          <w:tcPr>
            <w:tcW w:w="615" w:type="pct"/>
            <w:hideMark/>
          </w:tcPr>
          <w:p w14:paraId="2C4FC6E5" w14:textId="77777777" w:rsidR="00325025" w:rsidRPr="00254EB9" w:rsidRDefault="00325025" w:rsidP="002A2C6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it-IT"/>
              </w:rPr>
            </w:pPr>
            <w:r w:rsidRPr="00254EB9">
              <w:rPr>
                <w:rFonts w:ascii="Calibri" w:eastAsia="Times New Roman" w:hAnsi="Calibri" w:cs="Calibri"/>
                <w:color w:val="FFFFFF"/>
                <w:sz w:val="20"/>
                <w:szCs w:val="20"/>
                <w:lang w:eastAsia="it-IT"/>
              </w:rPr>
              <w:t>Focus Area</w:t>
            </w:r>
          </w:p>
        </w:tc>
        <w:tc>
          <w:tcPr>
            <w:tcW w:w="1001" w:type="pct"/>
            <w:hideMark/>
          </w:tcPr>
          <w:p w14:paraId="0B8E191C" w14:textId="77777777" w:rsidR="00325025" w:rsidRPr="00254EB9" w:rsidRDefault="00325025" w:rsidP="002A2C6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it-IT"/>
              </w:rPr>
            </w:pPr>
            <w:r w:rsidRPr="00254EB9">
              <w:rPr>
                <w:rFonts w:ascii="Calibri" w:eastAsia="Times New Roman" w:hAnsi="Calibri" w:cs="Calibri"/>
                <w:color w:val="FFFFFF"/>
                <w:sz w:val="20"/>
                <w:szCs w:val="20"/>
                <w:lang w:eastAsia="it-IT"/>
              </w:rPr>
              <w:t>Programmato Spesa Pubblica</w:t>
            </w:r>
          </w:p>
        </w:tc>
        <w:tc>
          <w:tcPr>
            <w:tcW w:w="1077" w:type="pct"/>
            <w:hideMark/>
          </w:tcPr>
          <w:p w14:paraId="6565F972" w14:textId="77777777" w:rsidR="00325025" w:rsidRPr="00254EB9" w:rsidRDefault="00325025" w:rsidP="002A2C6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it-IT"/>
              </w:rPr>
            </w:pPr>
            <w:r w:rsidRPr="00254EB9">
              <w:rPr>
                <w:rFonts w:ascii="Calibri" w:eastAsia="Times New Roman" w:hAnsi="Calibri" w:cs="Calibri"/>
                <w:color w:val="FFFFFF"/>
                <w:sz w:val="20"/>
                <w:szCs w:val="20"/>
                <w:lang w:eastAsia="it-IT"/>
              </w:rPr>
              <w:t>Pagato Spesa Pubblica</w:t>
            </w:r>
          </w:p>
        </w:tc>
        <w:tc>
          <w:tcPr>
            <w:tcW w:w="844" w:type="pct"/>
            <w:hideMark/>
          </w:tcPr>
          <w:p w14:paraId="483204A3" w14:textId="77777777" w:rsidR="00CB6849" w:rsidRDefault="00325025" w:rsidP="002A2C6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it-IT"/>
              </w:rPr>
            </w:pPr>
            <w:r w:rsidRPr="00254EB9">
              <w:rPr>
                <w:rFonts w:ascii="Calibri" w:eastAsia="Times New Roman" w:hAnsi="Calibri" w:cs="Calibri"/>
                <w:color w:val="FFFFFF"/>
                <w:sz w:val="20"/>
                <w:szCs w:val="20"/>
                <w:lang w:eastAsia="it-IT"/>
              </w:rPr>
              <w:t>Avanzamento</w:t>
            </w:r>
          </w:p>
          <w:p w14:paraId="141F860C" w14:textId="1877D4F9" w:rsidR="00325025" w:rsidRPr="00254EB9" w:rsidRDefault="00CB6849" w:rsidP="002A2C6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FFFFFF"/>
                <w:sz w:val="20"/>
                <w:szCs w:val="20"/>
                <w:lang w:eastAsia="it-IT"/>
              </w:rPr>
            </w:pPr>
            <w:r w:rsidRPr="00254EB9">
              <w:rPr>
                <w:rFonts w:ascii="Calibri" w:eastAsia="Times New Roman" w:hAnsi="Calibri" w:cs="Calibri"/>
                <w:color w:val="FFFFFF"/>
                <w:sz w:val="20"/>
                <w:szCs w:val="20"/>
                <w:lang w:eastAsia="it-IT"/>
              </w:rPr>
              <w:t>%</w:t>
            </w:r>
          </w:p>
        </w:tc>
      </w:tr>
      <w:tr w:rsidR="00325025" w:rsidRPr="00254EB9" w14:paraId="37A18020" w14:textId="77777777" w:rsidTr="00CB6849">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2709CD9A"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Abruzzo</w:t>
            </w:r>
          </w:p>
        </w:tc>
        <w:tc>
          <w:tcPr>
            <w:tcW w:w="539" w:type="pct"/>
            <w:hideMark/>
          </w:tcPr>
          <w:p w14:paraId="3E214451"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1D46BA2F"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3D615FFC"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33.000.000,00   </w:t>
            </w:r>
          </w:p>
        </w:tc>
        <w:tc>
          <w:tcPr>
            <w:tcW w:w="1077" w:type="pct"/>
            <w:hideMark/>
          </w:tcPr>
          <w:p w14:paraId="5BAC2841"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7.750.000,00   </w:t>
            </w:r>
          </w:p>
        </w:tc>
        <w:tc>
          <w:tcPr>
            <w:tcW w:w="844" w:type="pct"/>
            <w:hideMark/>
          </w:tcPr>
          <w:p w14:paraId="76911A0E"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23,48%</w:t>
            </w:r>
          </w:p>
        </w:tc>
      </w:tr>
      <w:tr w:rsidR="00325025" w:rsidRPr="00254EB9" w14:paraId="0C829B73" w14:textId="77777777" w:rsidTr="00CB6849">
        <w:trPr>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49BD1AF9"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Molise</w:t>
            </w:r>
          </w:p>
        </w:tc>
        <w:tc>
          <w:tcPr>
            <w:tcW w:w="539" w:type="pct"/>
            <w:hideMark/>
          </w:tcPr>
          <w:p w14:paraId="76C0AA01"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5846E99D"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337D129D"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6.000.000,00   </w:t>
            </w:r>
          </w:p>
        </w:tc>
        <w:tc>
          <w:tcPr>
            <w:tcW w:w="1077" w:type="pct"/>
            <w:hideMark/>
          </w:tcPr>
          <w:p w14:paraId="603FDE0F"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5.867.000,00   </w:t>
            </w:r>
          </w:p>
        </w:tc>
        <w:tc>
          <w:tcPr>
            <w:tcW w:w="844" w:type="pct"/>
            <w:hideMark/>
          </w:tcPr>
          <w:p w14:paraId="0D36DB2A"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97,78%</w:t>
            </w:r>
          </w:p>
        </w:tc>
      </w:tr>
      <w:tr w:rsidR="00325025" w:rsidRPr="00254EB9" w14:paraId="4C976EC1" w14:textId="77777777" w:rsidTr="00CB6849">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09923F4E"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Sardegna</w:t>
            </w:r>
          </w:p>
        </w:tc>
        <w:tc>
          <w:tcPr>
            <w:tcW w:w="539" w:type="pct"/>
            <w:hideMark/>
          </w:tcPr>
          <w:p w14:paraId="4A935379"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10F63562"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506A9DB5"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50.000.000,00   </w:t>
            </w:r>
          </w:p>
        </w:tc>
        <w:tc>
          <w:tcPr>
            <w:tcW w:w="1077" w:type="pct"/>
            <w:hideMark/>
          </w:tcPr>
          <w:p w14:paraId="25310FEF"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21.591.500,00   </w:t>
            </w:r>
          </w:p>
        </w:tc>
        <w:tc>
          <w:tcPr>
            <w:tcW w:w="844" w:type="pct"/>
            <w:hideMark/>
          </w:tcPr>
          <w:p w14:paraId="663CFBDE"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43,18%</w:t>
            </w:r>
          </w:p>
        </w:tc>
      </w:tr>
      <w:tr w:rsidR="00325025" w:rsidRPr="00254EB9" w14:paraId="34396F69" w14:textId="77777777" w:rsidTr="00CB6849">
        <w:trPr>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6880CCA9"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Basilicata</w:t>
            </w:r>
          </w:p>
        </w:tc>
        <w:tc>
          <w:tcPr>
            <w:tcW w:w="539" w:type="pct"/>
            <w:hideMark/>
          </w:tcPr>
          <w:p w14:paraId="30385479"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7C0D8111"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2D1D6496"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38.341.363,85   </w:t>
            </w:r>
          </w:p>
        </w:tc>
        <w:tc>
          <w:tcPr>
            <w:tcW w:w="1077" w:type="pct"/>
            <w:hideMark/>
          </w:tcPr>
          <w:p w14:paraId="5BA88843"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27.227.358,67   </w:t>
            </w:r>
          </w:p>
        </w:tc>
        <w:tc>
          <w:tcPr>
            <w:tcW w:w="844" w:type="pct"/>
            <w:hideMark/>
          </w:tcPr>
          <w:p w14:paraId="6B804DE6"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71,01%</w:t>
            </w:r>
          </w:p>
        </w:tc>
      </w:tr>
      <w:tr w:rsidR="00325025" w:rsidRPr="00254EB9" w14:paraId="5FF9B6A3" w14:textId="77777777" w:rsidTr="00CB6849">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1A73D68E"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Calabria</w:t>
            </w:r>
          </w:p>
        </w:tc>
        <w:tc>
          <w:tcPr>
            <w:tcW w:w="539" w:type="pct"/>
            <w:hideMark/>
          </w:tcPr>
          <w:p w14:paraId="68FABD08"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7632C5A1"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14D496A5"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39.432.380,00   </w:t>
            </w:r>
          </w:p>
        </w:tc>
        <w:tc>
          <w:tcPr>
            <w:tcW w:w="1077" w:type="pct"/>
            <w:hideMark/>
          </w:tcPr>
          <w:p w14:paraId="3AA3F3CF"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1.916.364,38   </w:t>
            </w:r>
          </w:p>
        </w:tc>
        <w:tc>
          <w:tcPr>
            <w:tcW w:w="844" w:type="pct"/>
            <w:hideMark/>
          </w:tcPr>
          <w:p w14:paraId="3ECD2B0F"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4,86%</w:t>
            </w:r>
          </w:p>
        </w:tc>
      </w:tr>
      <w:tr w:rsidR="00325025" w:rsidRPr="00254EB9" w14:paraId="54F250C8" w14:textId="77777777" w:rsidTr="00CB6849">
        <w:trPr>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09E08367"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Campania</w:t>
            </w:r>
          </w:p>
        </w:tc>
        <w:tc>
          <w:tcPr>
            <w:tcW w:w="539" w:type="pct"/>
            <w:hideMark/>
          </w:tcPr>
          <w:p w14:paraId="051DC762"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6276C095"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00C70700"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75.000.000,00   </w:t>
            </w:r>
          </w:p>
        </w:tc>
        <w:tc>
          <w:tcPr>
            <w:tcW w:w="1077" w:type="pct"/>
            <w:hideMark/>
          </w:tcPr>
          <w:p w14:paraId="6E642991"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16.016.000,00   </w:t>
            </w:r>
          </w:p>
        </w:tc>
        <w:tc>
          <w:tcPr>
            <w:tcW w:w="844" w:type="pct"/>
            <w:hideMark/>
          </w:tcPr>
          <w:p w14:paraId="139BA414"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21,35%</w:t>
            </w:r>
          </w:p>
        </w:tc>
      </w:tr>
      <w:tr w:rsidR="00325025" w:rsidRPr="00254EB9" w14:paraId="337CD7EE" w14:textId="77777777" w:rsidTr="00CB6849">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6F11E75D"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Puglia</w:t>
            </w:r>
          </w:p>
        </w:tc>
        <w:tc>
          <w:tcPr>
            <w:tcW w:w="539" w:type="pct"/>
            <w:hideMark/>
          </w:tcPr>
          <w:p w14:paraId="1CE5CB68"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36B9088F"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738A1D21"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46.275.000,00   </w:t>
            </w:r>
          </w:p>
        </w:tc>
        <w:tc>
          <w:tcPr>
            <w:tcW w:w="1077" w:type="pct"/>
            <w:hideMark/>
          </w:tcPr>
          <w:p w14:paraId="148C6A43"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125.000,00   </w:t>
            </w:r>
          </w:p>
        </w:tc>
        <w:tc>
          <w:tcPr>
            <w:tcW w:w="844" w:type="pct"/>
            <w:hideMark/>
          </w:tcPr>
          <w:p w14:paraId="69D535C6"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0,27%</w:t>
            </w:r>
          </w:p>
        </w:tc>
      </w:tr>
      <w:tr w:rsidR="00325025" w:rsidRPr="00254EB9" w14:paraId="290BD5D4" w14:textId="77777777" w:rsidTr="00CB6849">
        <w:trPr>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5774879F"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Sicilia</w:t>
            </w:r>
          </w:p>
        </w:tc>
        <w:tc>
          <w:tcPr>
            <w:tcW w:w="539" w:type="pct"/>
            <w:hideMark/>
          </w:tcPr>
          <w:p w14:paraId="2C83C783"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5689C3E1"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7E2C8007"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65.000.000,00   </w:t>
            </w:r>
          </w:p>
        </w:tc>
        <w:tc>
          <w:tcPr>
            <w:tcW w:w="1077" w:type="pct"/>
            <w:hideMark/>
          </w:tcPr>
          <w:p w14:paraId="0C387EF6"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22.028.798,25   </w:t>
            </w:r>
          </w:p>
        </w:tc>
        <w:tc>
          <w:tcPr>
            <w:tcW w:w="844" w:type="pct"/>
            <w:hideMark/>
          </w:tcPr>
          <w:p w14:paraId="6E6B64ED"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33,89%</w:t>
            </w:r>
          </w:p>
        </w:tc>
      </w:tr>
      <w:tr w:rsidR="00325025" w:rsidRPr="00254EB9" w14:paraId="279934C6" w14:textId="77777777" w:rsidTr="00CB6849">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4616F810"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Bolzano</w:t>
            </w:r>
          </w:p>
        </w:tc>
        <w:tc>
          <w:tcPr>
            <w:tcW w:w="539" w:type="pct"/>
            <w:hideMark/>
          </w:tcPr>
          <w:p w14:paraId="7A3753AD"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37921A32"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7B03BDDD"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25.720.896,00   </w:t>
            </w:r>
          </w:p>
        </w:tc>
        <w:tc>
          <w:tcPr>
            <w:tcW w:w="1077" w:type="pct"/>
            <w:hideMark/>
          </w:tcPr>
          <w:p w14:paraId="5997AEFC"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15.248.220,35   </w:t>
            </w:r>
          </w:p>
        </w:tc>
        <w:tc>
          <w:tcPr>
            <w:tcW w:w="844" w:type="pct"/>
            <w:hideMark/>
          </w:tcPr>
          <w:p w14:paraId="2B20E260"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59,28%</w:t>
            </w:r>
          </w:p>
        </w:tc>
      </w:tr>
      <w:tr w:rsidR="00325025" w:rsidRPr="00254EB9" w14:paraId="4309C540" w14:textId="77777777" w:rsidTr="00CB6849">
        <w:trPr>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3B8A56BD" w14:textId="4C73B210" w:rsidR="00325025" w:rsidRPr="00CB6849" w:rsidRDefault="00CB6849"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Emilia-Romagna</w:t>
            </w:r>
          </w:p>
        </w:tc>
        <w:tc>
          <w:tcPr>
            <w:tcW w:w="539" w:type="pct"/>
            <w:hideMark/>
          </w:tcPr>
          <w:p w14:paraId="452E5D16"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1EB5F953"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462AA0F2"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63.524.426,00   </w:t>
            </w:r>
          </w:p>
        </w:tc>
        <w:tc>
          <w:tcPr>
            <w:tcW w:w="1077" w:type="pct"/>
            <w:hideMark/>
          </w:tcPr>
          <w:p w14:paraId="6C6D3BCD"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27.667.900,00   </w:t>
            </w:r>
          </w:p>
        </w:tc>
        <w:tc>
          <w:tcPr>
            <w:tcW w:w="844" w:type="pct"/>
            <w:hideMark/>
          </w:tcPr>
          <w:p w14:paraId="359C2A26"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43,55%</w:t>
            </w:r>
          </w:p>
        </w:tc>
      </w:tr>
      <w:tr w:rsidR="00325025" w:rsidRPr="00254EB9" w14:paraId="48D84F8E" w14:textId="77777777" w:rsidTr="00CB6849">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68E11318" w14:textId="06F9E33A" w:rsidR="00325025" w:rsidRPr="00CB6849" w:rsidRDefault="00CB6849"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Friuli-Venezia Giulia</w:t>
            </w:r>
          </w:p>
        </w:tc>
        <w:tc>
          <w:tcPr>
            <w:tcW w:w="539" w:type="pct"/>
            <w:hideMark/>
          </w:tcPr>
          <w:p w14:paraId="1DA680AC"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17A3111E"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65D45C13"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12.500.000,00   </w:t>
            </w:r>
          </w:p>
        </w:tc>
        <w:tc>
          <w:tcPr>
            <w:tcW w:w="1077" w:type="pct"/>
            <w:hideMark/>
          </w:tcPr>
          <w:p w14:paraId="1EDD3D3D"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5.399.000,00   </w:t>
            </w:r>
          </w:p>
        </w:tc>
        <w:tc>
          <w:tcPr>
            <w:tcW w:w="844" w:type="pct"/>
            <w:hideMark/>
          </w:tcPr>
          <w:p w14:paraId="28831C10"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43,19%</w:t>
            </w:r>
          </w:p>
        </w:tc>
      </w:tr>
      <w:tr w:rsidR="00325025" w:rsidRPr="00254EB9" w14:paraId="3B733CF1" w14:textId="77777777" w:rsidTr="00CB6849">
        <w:trPr>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2D70C7D7"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Lazio</w:t>
            </w:r>
          </w:p>
        </w:tc>
        <w:tc>
          <w:tcPr>
            <w:tcW w:w="539" w:type="pct"/>
            <w:hideMark/>
          </w:tcPr>
          <w:p w14:paraId="5AAF40FF"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105D51D4"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6718E7AA"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115.124.835,34   </w:t>
            </w:r>
          </w:p>
        </w:tc>
        <w:tc>
          <w:tcPr>
            <w:tcW w:w="1077" w:type="pct"/>
            <w:hideMark/>
          </w:tcPr>
          <w:p w14:paraId="417C40B2"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62.070.854,48   </w:t>
            </w:r>
          </w:p>
        </w:tc>
        <w:tc>
          <w:tcPr>
            <w:tcW w:w="844" w:type="pct"/>
            <w:hideMark/>
          </w:tcPr>
          <w:p w14:paraId="56CAC1A2"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53,92%</w:t>
            </w:r>
          </w:p>
        </w:tc>
      </w:tr>
      <w:tr w:rsidR="00325025" w:rsidRPr="00254EB9" w14:paraId="0D511AB3" w14:textId="77777777" w:rsidTr="00CB6849">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4EF5C244"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Liguria</w:t>
            </w:r>
          </w:p>
        </w:tc>
        <w:tc>
          <w:tcPr>
            <w:tcW w:w="539" w:type="pct"/>
            <w:hideMark/>
          </w:tcPr>
          <w:p w14:paraId="452A86F1"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0B879608"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6B937982"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13.950.000,00   </w:t>
            </w:r>
          </w:p>
        </w:tc>
        <w:tc>
          <w:tcPr>
            <w:tcW w:w="1077" w:type="pct"/>
            <w:hideMark/>
          </w:tcPr>
          <w:p w14:paraId="13A970CE"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7.006.164,47   </w:t>
            </w:r>
          </w:p>
        </w:tc>
        <w:tc>
          <w:tcPr>
            <w:tcW w:w="844" w:type="pct"/>
            <w:hideMark/>
          </w:tcPr>
          <w:p w14:paraId="66595CFC"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50,22%</w:t>
            </w:r>
          </w:p>
        </w:tc>
      </w:tr>
      <w:tr w:rsidR="00325025" w:rsidRPr="00254EB9" w14:paraId="3B2088C4" w14:textId="77777777" w:rsidTr="00CB6849">
        <w:trPr>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7B79EEC2"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Lombardia</w:t>
            </w:r>
          </w:p>
        </w:tc>
        <w:tc>
          <w:tcPr>
            <w:tcW w:w="539" w:type="pct"/>
            <w:hideMark/>
          </w:tcPr>
          <w:p w14:paraId="0FC98F5A"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428D215F"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3B4623C3"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30.000.000,00   </w:t>
            </w:r>
          </w:p>
        </w:tc>
        <w:tc>
          <w:tcPr>
            <w:tcW w:w="1077" w:type="pct"/>
            <w:hideMark/>
          </w:tcPr>
          <w:p w14:paraId="0CD6B90C"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15.837.780,17   </w:t>
            </w:r>
          </w:p>
        </w:tc>
        <w:tc>
          <w:tcPr>
            <w:tcW w:w="844" w:type="pct"/>
            <w:hideMark/>
          </w:tcPr>
          <w:p w14:paraId="2485C698"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52,79%</w:t>
            </w:r>
          </w:p>
        </w:tc>
      </w:tr>
      <w:tr w:rsidR="00325025" w:rsidRPr="00254EB9" w14:paraId="7B6336FC" w14:textId="77777777" w:rsidTr="00CB6849">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6A2B8EFB"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Marche</w:t>
            </w:r>
          </w:p>
        </w:tc>
        <w:tc>
          <w:tcPr>
            <w:tcW w:w="539" w:type="pct"/>
            <w:hideMark/>
          </w:tcPr>
          <w:p w14:paraId="241933D6"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75E66DDC"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241177F3"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22.000.000,00   </w:t>
            </w:r>
          </w:p>
        </w:tc>
        <w:tc>
          <w:tcPr>
            <w:tcW w:w="1077" w:type="pct"/>
            <w:hideMark/>
          </w:tcPr>
          <w:p w14:paraId="4D3375D3"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9.680.300,00   </w:t>
            </w:r>
          </w:p>
        </w:tc>
        <w:tc>
          <w:tcPr>
            <w:tcW w:w="844" w:type="pct"/>
            <w:hideMark/>
          </w:tcPr>
          <w:p w14:paraId="4A3C039B"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44,00%</w:t>
            </w:r>
          </w:p>
        </w:tc>
      </w:tr>
      <w:tr w:rsidR="00325025" w:rsidRPr="00254EB9" w14:paraId="16A8CBC8" w14:textId="77777777" w:rsidTr="00CB6849">
        <w:trPr>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28414E0B"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Piemonte</w:t>
            </w:r>
          </w:p>
        </w:tc>
        <w:tc>
          <w:tcPr>
            <w:tcW w:w="539" w:type="pct"/>
            <w:hideMark/>
          </w:tcPr>
          <w:p w14:paraId="6C5BD66F"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1A3E4362"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61ABBF2C"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56.050.000,00   </w:t>
            </w:r>
          </w:p>
        </w:tc>
        <w:tc>
          <w:tcPr>
            <w:tcW w:w="1077" w:type="pct"/>
            <w:hideMark/>
          </w:tcPr>
          <w:p w14:paraId="14D1DA25"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34.017.871,00   </w:t>
            </w:r>
          </w:p>
        </w:tc>
        <w:tc>
          <w:tcPr>
            <w:tcW w:w="844" w:type="pct"/>
            <w:hideMark/>
          </w:tcPr>
          <w:p w14:paraId="51AA8B24"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60,69%</w:t>
            </w:r>
          </w:p>
        </w:tc>
      </w:tr>
      <w:tr w:rsidR="00325025" w:rsidRPr="00254EB9" w14:paraId="1F373D76" w14:textId="77777777" w:rsidTr="00CB6849">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649E7A1E"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Toscana</w:t>
            </w:r>
          </w:p>
        </w:tc>
        <w:tc>
          <w:tcPr>
            <w:tcW w:w="539" w:type="pct"/>
            <w:hideMark/>
          </w:tcPr>
          <w:p w14:paraId="2EBFAF29"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0AAF7EB5"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099C8BD2"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48.246.570,00   </w:t>
            </w:r>
          </w:p>
        </w:tc>
        <w:tc>
          <w:tcPr>
            <w:tcW w:w="1077" w:type="pct"/>
            <w:hideMark/>
          </w:tcPr>
          <w:p w14:paraId="55ACB541"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24.682.979,00   </w:t>
            </w:r>
          </w:p>
        </w:tc>
        <w:tc>
          <w:tcPr>
            <w:tcW w:w="844" w:type="pct"/>
            <w:hideMark/>
          </w:tcPr>
          <w:p w14:paraId="5DB260C5"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51,16%</w:t>
            </w:r>
          </w:p>
        </w:tc>
      </w:tr>
      <w:tr w:rsidR="00325025" w:rsidRPr="00254EB9" w14:paraId="3271E903" w14:textId="77777777" w:rsidTr="00CB6849">
        <w:trPr>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253D8DD1"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Trento</w:t>
            </w:r>
          </w:p>
        </w:tc>
        <w:tc>
          <w:tcPr>
            <w:tcW w:w="539" w:type="pct"/>
            <w:hideMark/>
          </w:tcPr>
          <w:p w14:paraId="45765C5F"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68C2935B"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0B9C0B04"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17.000.000,00   </w:t>
            </w:r>
          </w:p>
        </w:tc>
        <w:tc>
          <w:tcPr>
            <w:tcW w:w="1077" w:type="pct"/>
            <w:hideMark/>
          </w:tcPr>
          <w:p w14:paraId="7C5F3CB7"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8.710.000,00   </w:t>
            </w:r>
          </w:p>
        </w:tc>
        <w:tc>
          <w:tcPr>
            <w:tcW w:w="844" w:type="pct"/>
            <w:hideMark/>
          </w:tcPr>
          <w:p w14:paraId="6CA93562"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51,24%</w:t>
            </w:r>
          </w:p>
        </w:tc>
      </w:tr>
      <w:tr w:rsidR="00325025" w:rsidRPr="00254EB9" w14:paraId="0B9B50AA" w14:textId="77777777" w:rsidTr="00CB6849">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5704EE08"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Umbria</w:t>
            </w:r>
          </w:p>
        </w:tc>
        <w:tc>
          <w:tcPr>
            <w:tcW w:w="539" w:type="pct"/>
            <w:hideMark/>
          </w:tcPr>
          <w:p w14:paraId="732C8FDB"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0F97B46E"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49F19AC8"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22.000.000,00   </w:t>
            </w:r>
          </w:p>
        </w:tc>
        <w:tc>
          <w:tcPr>
            <w:tcW w:w="1077" w:type="pct"/>
            <w:hideMark/>
          </w:tcPr>
          <w:p w14:paraId="54CBB4AF"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7.219.699,07   </w:t>
            </w:r>
          </w:p>
        </w:tc>
        <w:tc>
          <w:tcPr>
            <w:tcW w:w="844" w:type="pct"/>
            <w:hideMark/>
          </w:tcPr>
          <w:p w14:paraId="25DF8919"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32,82%</w:t>
            </w:r>
          </w:p>
        </w:tc>
      </w:tr>
      <w:tr w:rsidR="00325025" w:rsidRPr="00254EB9" w14:paraId="1BD42661" w14:textId="77777777" w:rsidTr="00CB6849">
        <w:trPr>
          <w:trHeight w:val="298"/>
        </w:trPr>
        <w:tc>
          <w:tcPr>
            <w:cnfStyle w:val="001000000000" w:firstRow="0" w:lastRow="0" w:firstColumn="1" w:lastColumn="0" w:oddVBand="0" w:evenVBand="0" w:oddHBand="0" w:evenHBand="0" w:firstRowFirstColumn="0" w:firstRowLastColumn="0" w:lastRowFirstColumn="0" w:lastRowLastColumn="0"/>
            <w:tcW w:w="924" w:type="pct"/>
            <w:hideMark/>
          </w:tcPr>
          <w:p w14:paraId="60722F4C"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Valle d'Aosta</w:t>
            </w:r>
          </w:p>
        </w:tc>
        <w:tc>
          <w:tcPr>
            <w:tcW w:w="539" w:type="pct"/>
            <w:hideMark/>
          </w:tcPr>
          <w:p w14:paraId="178D5087"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2356FD52" w14:textId="77777777" w:rsidR="00325025" w:rsidRPr="00254EB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5B41080E"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2.824.000,45   </w:t>
            </w:r>
          </w:p>
        </w:tc>
        <w:tc>
          <w:tcPr>
            <w:tcW w:w="1077" w:type="pct"/>
            <w:hideMark/>
          </w:tcPr>
          <w:p w14:paraId="68DEF60C"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1.209.000,00   </w:t>
            </w:r>
          </w:p>
        </w:tc>
        <w:tc>
          <w:tcPr>
            <w:tcW w:w="844" w:type="pct"/>
            <w:hideMark/>
          </w:tcPr>
          <w:p w14:paraId="4C9218F4" w14:textId="77777777" w:rsidR="00325025" w:rsidRPr="00254EB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42,81%</w:t>
            </w:r>
          </w:p>
        </w:tc>
      </w:tr>
      <w:tr w:rsidR="00325025" w:rsidRPr="00254EB9" w14:paraId="36F08063" w14:textId="77777777" w:rsidTr="00CB6849">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924" w:type="pct"/>
            <w:hideMark/>
          </w:tcPr>
          <w:p w14:paraId="34D113A2" w14:textId="77777777" w:rsidR="00325025" w:rsidRPr="00CB6849" w:rsidRDefault="00325025" w:rsidP="002A2C67">
            <w:pPr>
              <w:jc w:val="left"/>
              <w:rPr>
                <w:rFonts w:ascii="Calibri" w:eastAsia="Times New Roman" w:hAnsi="Calibri" w:cs="Calibri"/>
                <w:b w:val="0"/>
                <w:bCs w:val="0"/>
                <w:color w:val="000000"/>
                <w:sz w:val="20"/>
                <w:szCs w:val="20"/>
                <w:lang w:eastAsia="it-IT"/>
              </w:rPr>
            </w:pPr>
            <w:r w:rsidRPr="00CB6849">
              <w:rPr>
                <w:rFonts w:ascii="Calibri" w:eastAsia="Times New Roman" w:hAnsi="Calibri" w:cs="Calibri"/>
                <w:b w:val="0"/>
                <w:bCs w:val="0"/>
                <w:color w:val="000000"/>
                <w:sz w:val="20"/>
                <w:szCs w:val="20"/>
                <w:lang w:eastAsia="it-IT"/>
              </w:rPr>
              <w:t>Veneto</w:t>
            </w:r>
          </w:p>
        </w:tc>
        <w:tc>
          <w:tcPr>
            <w:tcW w:w="539" w:type="pct"/>
            <w:hideMark/>
          </w:tcPr>
          <w:p w14:paraId="53EAF0C3"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M6</w:t>
            </w:r>
          </w:p>
        </w:tc>
        <w:tc>
          <w:tcPr>
            <w:tcW w:w="615" w:type="pct"/>
            <w:hideMark/>
          </w:tcPr>
          <w:p w14:paraId="77234A8B" w14:textId="77777777" w:rsidR="00325025" w:rsidRPr="00254EB9" w:rsidRDefault="00325025" w:rsidP="002A2C67">
            <w:pPr>
              <w:jc w:val="lef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sidRPr="00254EB9">
              <w:rPr>
                <w:rFonts w:ascii="Calibri" w:eastAsia="Times New Roman" w:hAnsi="Calibri" w:cs="Calibri"/>
                <w:color w:val="000000"/>
                <w:sz w:val="20"/>
                <w:szCs w:val="20"/>
                <w:lang w:eastAsia="it-IT"/>
              </w:rPr>
              <w:t>2b</w:t>
            </w:r>
          </w:p>
        </w:tc>
        <w:tc>
          <w:tcPr>
            <w:tcW w:w="1001" w:type="pct"/>
            <w:hideMark/>
          </w:tcPr>
          <w:p w14:paraId="1FEFB14E"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84.009.276,00   </w:t>
            </w:r>
          </w:p>
        </w:tc>
        <w:tc>
          <w:tcPr>
            <w:tcW w:w="1077" w:type="pct"/>
            <w:hideMark/>
          </w:tcPr>
          <w:p w14:paraId="4971CC16"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 xml:space="preserve">        24.644.843,62   </w:t>
            </w:r>
          </w:p>
        </w:tc>
        <w:tc>
          <w:tcPr>
            <w:tcW w:w="844" w:type="pct"/>
            <w:hideMark/>
          </w:tcPr>
          <w:p w14:paraId="2DAF3E29" w14:textId="77777777" w:rsidR="00325025" w:rsidRPr="00254EB9" w:rsidRDefault="00325025" w:rsidP="00CB6849">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lang w:eastAsia="it-IT"/>
              </w:rPr>
            </w:pPr>
            <w:r>
              <w:rPr>
                <w:rFonts w:ascii="Calibri" w:hAnsi="Calibri" w:cs="Calibri"/>
                <w:color w:val="000000"/>
                <w:sz w:val="20"/>
                <w:szCs w:val="20"/>
              </w:rPr>
              <w:t>29,34%</w:t>
            </w:r>
          </w:p>
        </w:tc>
      </w:tr>
      <w:tr w:rsidR="00CB6849" w:rsidRPr="00254EB9" w14:paraId="0D13E74B" w14:textId="77777777" w:rsidTr="00CB6849">
        <w:trPr>
          <w:trHeight w:val="336"/>
        </w:trPr>
        <w:tc>
          <w:tcPr>
            <w:cnfStyle w:val="001000000000" w:firstRow="0" w:lastRow="0" w:firstColumn="1" w:lastColumn="0" w:oddVBand="0" w:evenVBand="0" w:oddHBand="0" w:evenHBand="0" w:firstRowFirstColumn="0" w:firstRowLastColumn="0" w:lastRowFirstColumn="0" w:lastRowLastColumn="0"/>
            <w:tcW w:w="924" w:type="pct"/>
            <w:shd w:val="clear" w:color="auto" w:fill="4F81BD" w:themeFill="accent1"/>
            <w:hideMark/>
          </w:tcPr>
          <w:p w14:paraId="437A3978" w14:textId="77777777" w:rsidR="00325025" w:rsidRPr="00CB6849" w:rsidRDefault="00325025" w:rsidP="002A2C67">
            <w:pPr>
              <w:jc w:val="left"/>
              <w:rPr>
                <w:rFonts w:ascii="Calibri" w:eastAsia="Times New Roman" w:hAnsi="Calibri" w:cs="Calibri"/>
                <w:color w:val="FFFFFF" w:themeColor="background1"/>
                <w:sz w:val="20"/>
                <w:szCs w:val="20"/>
                <w:lang w:eastAsia="it-IT"/>
              </w:rPr>
            </w:pPr>
            <w:r w:rsidRPr="00CB6849">
              <w:rPr>
                <w:rFonts w:ascii="Calibri" w:eastAsia="Times New Roman" w:hAnsi="Calibri" w:cs="Calibri"/>
                <w:color w:val="FFFFFF" w:themeColor="background1"/>
                <w:sz w:val="20"/>
                <w:szCs w:val="20"/>
                <w:lang w:eastAsia="it-IT"/>
              </w:rPr>
              <w:t>ITALIA</w:t>
            </w:r>
          </w:p>
        </w:tc>
        <w:tc>
          <w:tcPr>
            <w:tcW w:w="539" w:type="pct"/>
            <w:shd w:val="clear" w:color="auto" w:fill="4F81BD" w:themeFill="accent1"/>
            <w:hideMark/>
          </w:tcPr>
          <w:p w14:paraId="42FB92D3" w14:textId="77777777" w:rsidR="00325025" w:rsidRPr="00CB684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themeColor="background1"/>
                <w:sz w:val="20"/>
                <w:szCs w:val="20"/>
                <w:lang w:eastAsia="it-IT"/>
              </w:rPr>
            </w:pPr>
            <w:r w:rsidRPr="00CB6849">
              <w:rPr>
                <w:rFonts w:ascii="Calibri" w:eastAsia="Times New Roman" w:hAnsi="Calibri" w:cs="Calibri"/>
                <w:b/>
                <w:bCs/>
                <w:color w:val="FFFFFF" w:themeColor="background1"/>
                <w:sz w:val="20"/>
                <w:szCs w:val="20"/>
                <w:lang w:eastAsia="it-IT"/>
              </w:rPr>
              <w:t>M6</w:t>
            </w:r>
          </w:p>
        </w:tc>
        <w:tc>
          <w:tcPr>
            <w:tcW w:w="615" w:type="pct"/>
            <w:shd w:val="clear" w:color="auto" w:fill="4F81BD" w:themeFill="accent1"/>
            <w:hideMark/>
          </w:tcPr>
          <w:p w14:paraId="483C8783" w14:textId="77777777" w:rsidR="00325025" w:rsidRPr="00CB6849" w:rsidRDefault="00325025" w:rsidP="002A2C67">
            <w:pPr>
              <w:jc w:val="lef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themeColor="background1"/>
                <w:sz w:val="20"/>
                <w:szCs w:val="20"/>
                <w:lang w:eastAsia="it-IT"/>
              </w:rPr>
            </w:pPr>
            <w:r w:rsidRPr="00CB6849">
              <w:rPr>
                <w:rFonts w:ascii="Calibri" w:eastAsia="Times New Roman" w:hAnsi="Calibri" w:cs="Calibri"/>
                <w:b/>
                <w:bCs/>
                <w:color w:val="FFFFFF" w:themeColor="background1"/>
                <w:sz w:val="20"/>
                <w:szCs w:val="20"/>
                <w:lang w:eastAsia="it-IT"/>
              </w:rPr>
              <w:t>2b</w:t>
            </w:r>
          </w:p>
        </w:tc>
        <w:tc>
          <w:tcPr>
            <w:tcW w:w="1001" w:type="pct"/>
            <w:shd w:val="clear" w:color="auto" w:fill="4F81BD" w:themeFill="accent1"/>
            <w:hideMark/>
          </w:tcPr>
          <w:p w14:paraId="552784C8" w14:textId="77777777" w:rsidR="00325025" w:rsidRPr="00CB684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themeColor="background1"/>
                <w:sz w:val="20"/>
                <w:szCs w:val="20"/>
                <w:lang w:eastAsia="it-IT"/>
              </w:rPr>
            </w:pPr>
            <w:r w:rsidRPr="00CB6849">
              <w:rPr>
                <w:rFonts w:ascii="Calibri" w:hAnsi="Calibri" w:cs="Calibri"/>
                <w:b/>
                <w:bCs/>
                <w:color w:val="FFFFFF" w:themeColor="background1"/>
                <w:sz w:val="20"/>
                <w:szCs w:val="20"/>
              </w:rPr>
              <w:t xml:space="preserve">865.998.747,64   </w:t>
            </w:r>
          </w:p>
        </w:tc>
        <w:tc>
          <w:tcPr>
            <w:tcW w:w="1077" w:type="pct"/>
            <w:shd w:val="clear" w:color="auto" w:fill="4F81BD" w:themeFill="accent1"/>
            <w:hideMark/>
          </w:tcPr>
          <w:p w14:paraId="681DBE7A" w14:textId="77777777" w:rsidR="00325025" w:rsidRPr="00CB684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themeColor="background1"/>
                <w:sz w:val="20"/>
                <w:szCs w:val="20"/>
                <w:lang w:eastAsia="it-IT"/>
              </w:rPr>
            </w:pPr>
            <w:r w:rsidRPr="00CB6849">
              <w:rPr>
                <w:rFonts w:ascii="Calibri" w:hAnsi="Calibri" w:cs="Calibri"/>
                <w:b/>
                <w:bCs/>
                <w:color w:val="FFFFFF" w:themeColor="background1"/>
                <w:sz w:val="20"/>
                <w:szCs w:val="20"/>
              </w:rPr>
              <w:t xml:space="preserve">      345.916.633,46   </w:t>
            </w:r>
          </w:p>
        </w:tc>
        <w:tc>
          <w:tcPr>
            <w:tcW w:w="844" w:type="pct"/>
            <w:shd w:val="clear" w:color="auto" w:fill="4F81BD" w:themeFill="accent1"/>
            <w:hideMark/>
          </w:tcPr>
          <w:p w14:paraId="582135A5" w14:textId="77777777" w:rsidR="00325025" w:rsidRPr="00CB6849" w:rsidRDefault="00325025" w:rsidP="00CB6849">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themeColor="background1"/>
                <w:sz w:val="20"/>
                <w:szCs w:val="20"/>
                <w:lang w:eastAsia="it-IT"/>
              </w:rPr>
            </w:pPr>
            <w:r w:rsidRPr="00CB6849">
              <w:rPr>
                <w:rFonts w:ascii="Calibri" w:hAnsi="Calibri" w:cs="Calibri"/>
                <w:b/>
                <w:bCs/>
                <w:color w:val="FFFFFF" w:themeColor="background1"/>
                <w:sz w:val="20"/>
                <w:szCs w:val="20"/>
              </w:rPr>
              <w:t>39,94%</w:t>
            </w:r>
          </w:p>
        </w:tc>
      </w:tr>
    </w:tbl>
    <w:p w14:paraId="4F9CCE62" w14:textId="77777777" w:rsidR="00325025" w:rsidRPr="00CD1830" w:rsidRDefault="00325025" w:rsidP="00325025">
      <w:pPr>
        <w:pStyle w:val="Fontetabellagrafico"/>
        <w:rPr>
          <w:shd w:val="clear" w:color="auto" w:fill="FFFFFF"/>
          <w:lang w:val="it-IT"/>
        </w:rPr>
      </w:pPr>
      <w:r w:rsidRPr="00CD1830">
        <w:rPr>
          <w:shd w:val="clear" w:color="auto" w:fill="FFFFFF"/>
          <w:lang w:val="it-IT"/>
        </w:rPr>
        <w:t xml:space="preserve">Fonte: Elaborazioni RRN su dati </w:t>
      </w:r>
      <w:r>
        <w:rPr>
          <w:shd w:val="clear" w:color="auto" w:fill="FFFFFF"/>
          <w:lang w:val="it-IT"/>
        </w:rPr>
        <w:t>RAA 2019</w:t>
      </w:r>
    </w:p>
    <w:p w14:paraId="05460598" w14:textId="50B370AF" w:rsidR="00325025" w:rsidRPr="001C4243" w:rsidRDefault="00325025" w:rsidP="00E347BE">
      <w:pPr>
        <w:pStyle w:val="Paragrafoelenco"/>
        <w:numPr>
          <w:ilvl w:val="0"/>
          <w:numId w:val="38"/>
        </w:numPr>
        <w:spacing w:after="120" w:line="240" w:lineRule="auto"/>
        <w:ind w:left="714" w:hanging="357"/>
        <w:contextualSpacing w:val="0"/>
      </w:pPr>
      <w:r w:rsidRPr="000929ED">
        <w:t xml:space="preserve">Le Autorità di Gestione hanno dovuto definire a priori, all’interno dei PSR, anche i concreti obiettivi (target), osservabili e misurabili, da raggiungere a fine programmazione per ciascuna Focus area. Nel caso della FA 2B, l’indicatore (T5) è rappresentato dal numero di aziende agricole che si prevede accederanno agli aiuti della </w:t>
      </w:r>
      <w:r w:rsidR="00E347BE" w:rsidRPr="000929ED">
        <w:t>sottomisura</w:t>
      </w:r>
      <w:r w:rsidRPr="000929ED">
        <w:t xml:space="preserve"> 6.1. L’indicatore si normalizza rapportandolo al totale delle aziende agricole della Regione</w:t>
      </w:r>
      <w:r>
        <w:t xml:space="preserve"> secondo i dati Istat</w:t>
      </w:r>
      <w:r w:rsidRPr="000929ED">
        <w:t xml:space="preserve">.  </w:t>
      </w:r>
      <w:r w:rsidRPr="00325025">
        <w:rPr>
          <w:i/>
        </w:rPr>
        <w:t xml:space="preserve"> </w:t>
      </w:r>
    </w:p>
    <w:p w14:paraId="6A514A1E" w14:textId="77777777" w:rsidR="00325025" w:rsidRDefault="00325025" w:rsidP="00E347BE">
      <w:pPr>
        <w:pStyle w:val="Paragrafoelenco"/>
        <w:numPr>
          <w:ilvl w:val="0"/>
          <w:numId w:val="38"/>
        </w:numPr>
        <w:spacing w:after="120" w:line="240" w:lineRule="auto"/>
        <w:ind w:left="714" w:hanging="357"/>
        <w:contextualSpacing w:val="0"/>
      </w:pPr>
      <w:r w:rsidRPr="000929ED">
        <w:t>Nel complesso, dalle dichi</w:t>
      </w:r>
      <w:r>
        <w:t>arazioni delle Autorità di G</w:t>
      </w:r>
      <w:r w:rsidRPr="000929ED">
        <w:t xml:space="preserve">estione dei singoli PSR </w:t>
      </w:r>
      <w:r>
        <w:t xml:space="preserve">contenute nella RAE 2019, si deduce che lo stato di attuazione della misura rispetto all’obiettivo è fortemente eterogeneo </w:t>
      </w:r>
    </w:p>
    <w:p w14:paraId="01E4DBC5" w14:textId="77777777" w:rsidR="00CB6849" w:rsidRDefault="00CB6849" w:rsidP="00CB6849">
      <w:pPr>
        <w:ind w:left="426"/>
        <w:rPr>
          <w:b/>
        </w:rPr>
      </w:pPr>
      <w:r>
        <w:rPr>
          <w:b/>
        </w:rPr>
        <w:br w:type="page"/>
      </w:r>
    </w:p>
    <w:p w14:paraId="4B95600D" w14:textId="0914E6BF" w:rsidR="00325025" w:rsidRPr="00325025" w:rsidRDefault="00CB6849" w:rsidP="00CB6849">
      <w:pPr>
        <w:spacing w:after="60"/>
        <w:ind w:left="425"/>
        <w:rPr>
          <w:b/>
        </w:rPr>
      </w:pPr>
      <w:r>
        <w:rPr>
          <w:b/>
        </w:rPr>
        <w:lastRenderedPageBreak/>
        <w:t xml:space="preserve">Tabella </w:t>
      </w:r>
      <w:r w:rsidR="00325025" w:rsidRPr="00325025">
        <w:rPr>
          <w:b/>
        </w:rPr>
        <w:t>26</w:t>
      </w:r>
      <w:r>
        <w:rPr>
          <w:b/>
        </w:rPr>
        <w:t xml:space="preserve"> -</w:t>
      </w:r>
      <w:r w:rsidR="00325025" w:rsidRPr="00325025">
        <w:rPr>
          <w:b/>
        </w:rPr>
        <w:t xml:space="preserve"> Indicatore T5 e stato di avanzamento in termini di obiettivo</w:t>
      </w:r>
    </w:p>
    <w:tbl>
      <w:tblPr>
        <w:tblStyle w:val="Tabellaelenco3-colore1"/>
        <w:tblW w:w="4781" w:type="pct"/>
        <w:tblInd w:w="421" w:type="dxa"/>
        <w:tblLook w:val="04A0" w:firstRow="1" w:lastRow="0" w:firstColumn="1" w:lastColumn="0" w:noHBand="0" w:noVBand="1"/>
      </w:tblPr>
      <w:tblGrid>
        <w:gridCol w:w="2415"/>
        <w:gridCol w:w="2244"/>
        <w:gridCol w:w="2244"/>
        <w:gridCol w:w="2303"/>
      </w:tblGrid>
      <w:tr w:rsidR="00325025" w:rsidRPr="003C0F2A" w14:paraId="2E0A4963" w14:textId="77777777" w:rsidTr="00CB6849">
        <w:trPr>
          <w:cnfStyle w:val="100000000000" w:firstRow="1" w:lastRow="0" w:firstColumn="0" w:lastColumn="0" w:oddVBand="0" w:evenVBand="0" w:oddHBand="0" w:evenHBand="0" w:firstRowFirstColumn="0" w:firstRowLastColumn="0" w:lastRowFirstColumn="0" w:lastRowLastColumn="0"/>
          <w:trHeight w:val="580"/>
        </w:trPr>
        <w:tc>
          <w:tcPr>
            <w:cnfStyle w:val="001000000100" w:firstRow="0" w:lastRow="0" w:firstColumn="1" w:lastColumn="0" w:oddVBand="0" w:evenVBand="0" w:oddHBand="0" w:evenHBand="0" w:firstRowFirstColumn="1" w:firstRowLastColumn="0" w:lastRowFirstColumn="0" w:lastRowLastColumn="0"/>
            <w:tcW w:w="1311" w:type="pct"/>
            <w:noWrap/>
            <w:hideMark/>
          </w:tcPr>
          <w:p w14:paraId="3C92B5EE" w14:textId="77777777" w:rsidR="00325025" w:rsidRPr="00CB6849" w:rsidRDefault="00325025" w:rsidP="002A2C67">
            <w:pPr>
              <w:jc w:val="center"/>
              <w:rPr>
                <w:rFonts w:ascii="Calibri" w:eastAsia="Times New Roman" w:hAnsi="Calibri" w:cs="Calibri"/>
                <w:b w:val="0"/>
                <w:bCs w:val="0"/>
                <w:lang w:eastAsia="it-IT"/>
              </w:rPr>
            </w:pPr>
            <w:r w:rsidRPr="00CB6849">
              <w:rPr>
                <w:rFonts w:ascii="Calibri" w:eastAsia="Times New Roman" w:hAnsi="Calibri" w:cs="Calibri"/>
                <w:lang w:eastAsia="it-IT"/>
              </w:rPr>
              <w:t>Regione</w:t>
            </w:r>
          </w:p>
        </w:tc>
        <w:tc>
          <w:tcPr>
            <w:tcW w:w="1219" w:type="pct"/>
            <w:hideMark/>
          </w:tcPr>
          <w:p w14:paraId="635A31D1" w14:textId="77777777" w:rsidR="00325025" w:rsidRPr="00CB6849" w:rsidRDefault="00325025" w:rsidP="002A2C6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lang w:eastAsia="it-IT"/>
              </w:rPr>
            </w:pPr>
            <w:r w:rsidRPr="00CB6849">
              <w:rPr>
                <w:rFonts w:ascii="Calibri" w:eastAsia="Times New Roman" w:hAnsi="Calibri" w:cs="Calibri"/>
                <w:lang w:eastAsia="it-IT"/>
              </w:rPr>
              <w:t>Obiettivo al 2023</w:t>
            </w:r>
          </w:p>
        </w:tc>
        <w:tc>
          <w:tcPr>
            <w:tcW w:w="1219" w:type="pct"/>
            <w:noWrap/>
            <w:hideMark/>
          </w:tcPr>
          <w:p w14:paraId="16360E46" w14:textId="77777777" w:rsidR="00325025" w:rsidRPr="00CB6849" w:rsidRDefault="00325025" w:rsidP="002A2C6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lang w:eastAsia="it-IT"/>
              </w:rPr>
            </w:pPr>
            <w:r w:rsidRPr="00CB6849">
              <w:rPr>
                <w:rFonts w:ascii="Calibri" w:eastAsia="Times New Roman" w:hAnsi="Calibri" w:cs="Calibri"/>
                <w:lang w:eastAsia="it-IT"/>
              </w:rPr>
              <w:t>Attuato</w:t>
            </w:r>
          </w:p>
        </w:tc>
        <w:tc>
          <w:tcPr>
            <w:tcW w:w="1251" w:type="pct"/>
            <w:noWrap/>
            <w:hideMark/>
          </w:tcPr>
          <w:p w14:paraId="4ED4FA6A" w14:textId="605F3C73" w:rsidR="00CB6849" w:rsidRDefault="00CB6849" w:rsidP="002A2C6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lang w:eastAsia="it-IT"/>
              </w:rPr>
            </w:pPr>
            <w:r w:rsidRPr="00CB6849">
              <w:rPr>
                <w:rFonts w:ascii="Calibri" w:eastAsia="Times New Roman" w:hAnsi="Calibri" w:cs="Calibri"/>
                <w:lang w:eastAsia="it-IT"/>
              </w:rPr>
              <w:t>A</w:t>
            </w:r>
            <w:r w:rsidR="00325025" w:rsidRPr="00CB6849">
              <w:rPr>
                <w:rFonts w:ascii="Calibri" w:eastAsia="Times New Roman" w:hAnsi="Calibri" w:cs="Calibri"/>
                <w:lang w:eastAsia="it-IT"/>
              </w:rPr>
              <w:t>vanzamento</w:t>
            </w:r>
          </w:p>
          <w:p w14:paraId="32CE43C2" w14:textId="3BABF4A4" w:rsidR="00325025" w:rsidRPr="00CB6849" w:rsidRDefault="00CB6849" w:rsidP="002A2C67">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lang w:eastAsia="it-IT"/>
              </w:rPr>
            </w:pPr>
            <w:r w:rsidRPr="00CB6849">
              <w:rPr>
                <w:rFonts w:ascii="Calibri" w:eastAsia="Times New Roman" w:hAnsi="Calibri" w:cs="Calibri"/>
                <w:lang w:eastAsia="it-IT"/>
              </w:rPr>
              <w:t>%</w:t>
            </w:r>
          </w:p>
        </w:tc>
      </w:tr>
      <w:tr w:rsidR="00325025" w:rsidRPr="003C0F2A" w14:paraId="40B4EE6A" w14:textId="77777777" w:rsidTr="00CB684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5BAE219F"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Abruzzo</w:t>
            </w:r>
          </w:p>
        </w:tc>
        <w:tc>
          <w:tcPr>
            <w:tcW w:w="1219" w:type="pct"/>
            <w:hideMark/>
          </w:tcPr>
          <w:p w14:paraId="424CB59E"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0,90 </w:t>
            </w:r>
          </w:p>
        </w:tc>
        <w:tc>
          <w:tcPr>
            <w:tcW w:w="1219" w:type="pct"/>
            <w:hideMark/>
          </w:tcPr>
          <w:p w14:paraId="13E0349C"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0,40 </w:t>
            </w:r>
          </w:p>
        </w:tc>
        <w:tc>
          <w:tcPr>
            <w:tcW w:w="1251" w:type="pct"/>
            <w:noWrap/>
            <w:hideMark/>
          </w:tcPr>
          <w:p w14:paraId="1B4EFFB8"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44,4%</w:t>
            </w:r>
          </w:p>
        </w:tc>
      </w:tr>
      <w:tr w:rsidR="00325025" w:rsidRPr="003C0F2A" w14:paraId="315C5D73" w14:textId="77777777" w:rsidTr="00CB6849">
        <w:trPr>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782B37AA"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Basilicata</w:t>
            </w:r>
          </w:p>
        </w:tc>
        <w:tc>
          <w:tcPr>
            <w:tcW w:w="1219" w:type="pct"/>
            <w:hideMark/>
          </w:tcPr>
          <w:p w14:paraId="2D0368D3"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1,23 </w:t>
            </w:r>
          </w:p>
        </w:tc>
        <w:tc>
          <w:tcPr>
            <w:tcW w:w="1219" w:type="pct"/>
            <w:hideMark/>
          </w:tcPr>
          <w:p w14:paraId="76D92810"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0,94 </w:t>
            </w:r>
          </w:p>
        </w:tc>
        <w:tc>
          <w:tcPr>
            <w:tcW w:w="1251" w:type="pct"/>
            <w:noWrap/>
            <w:hideMark/>
          </w:tcPr>
          <w:p w14:paraId="03E2DD9C"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76,4%</w:t>
            </w:r>
          </w:p>
        </w:tc>
      </w:tr>
      <w:tr w:rsidR="00325025" w:rsidRPr="003C0F2A" w14:paraId="7BB324CF" w14:textId="77777777" w:rsidTr="00CB684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3F79CBF6"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Bolzano</w:t>
            </w:r>
          </w:p>
        </w:tc>
        <w:tc>
          <w:tcPr>
            <w:tcW w:w="1219" w:type="pct"/>
            <w:hideMark/>
          </w:tcPr>
          <w:p w14:paraId="3E926546"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5,93 </w:t>
            </w:r>
          </w:p>
        </w:tc>
        <w:tc>
          <w:tcPr>
            <w:tcW w:w="1219" w:type="pct"/>
            <w:hideMark/>
          </w:tcPr>
          <w:p w14:paraId="1143FE28"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4,78 </w:t>
            </w:r>
          </w:p>
        </w:tc>
        <w:tc>
          <w:tcPr>
            <w:tcW w:w="1251" w:type="pct"/>
            <w:noWrap/>
            <w:hideMark/>
          </w:tcPr>
          <w:p w14:paraId="787A0232"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80,6%</w:t>
            </w:r>
          </w:p>
        </w:tc>
      </w:tr>
      <w:tr w:rsidR="00325025" w:rsidRPr="003C0F2A" w14:paraId="6DDBF463" w14:textId="77777777" w:rsidTr="00CB6849">
        <w:trPr>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229801BA"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Calabria</w:t>
            </w:r>
          </w:p>
        </w:tc>
        <w:tc>
          <w:tcPr>
            <w:tcW w:w="1219" w:type="pct"/>
            <w:hideMark/>
          </w:tcPr>
          <w:p w14:paraId="3C86FF08"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0,69 </w:t>
            </w:r>
          </w:p>
        </w:tc>
        <w:tc>
          <w:tcPr>
            <w:tcW w:w="1219" w:type="pct"/>
            <w:hideMark/>
          </w:tcPr>
          <w:p w14:paraId="21F2B42B"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0,05 </w:t>
            </w:r>
          </w:p>
        </w:tc>
        <w:tc>
          <w:tcPr>
            <w:tcW w:w="1251" w:type="pct"/>
            <w:noWrap/>
            <w:hideMark/>
          </w:tcPr>
          <w:p w14:paraId="76F69C6D"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7,2%</w:t>
            </w:r>
          </w:p>
        </w:tc>
      </w:tr>
      <w:tr w:rsidR="00325025" w:rsidRPr="003C0F2A" w14:paraId="4D7DB3BD" w14:textId="77777777" w:rsidTr="00CB684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2A3B5E4C"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Campania</w:t>
            </w:r>
          </w:p>
        </w:tc>
        <w:tc>
          <w:tcPr>
            <w:tcW w:w="1219" w:type="pct"/>
            <w:hideMark/>
          </w:tcPr>
          <w:p w14:paraId="429D457A"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1,10 </w:t>
            </w:r>
          </w:p>
        </w:tc>
        <w:tc>
          <w:tcPr>
            <w:tcW w:w="1219" w:type="pct"/>
            <w:hideMark/>
          </w:tcPr>
          <w:p w14:paraId="267F382E"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0,34 </w:t>
            </w:r>
          </w:p>
        </w:tc>
        <w:tc>
          <w:tcPr>
            <w:tcW w:w="1251" w:type="pct"/>
            <w:noWrap/>
            <w:hideMark/>
          </w:tcPr>
          <w:p w14:paraId="799B14E6"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30,9%</w:t>
            </w:r>
          </w:p>
        </w:tc>
      </w:tr>
      <w:tr w:rsidR="00325025" w:rsidRPr="003C0F2A" w14:paraId="0DC3489F" w14:textId="77777777" w:rsidTr="00CB6849">
        <w:trPr>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6A6540FC" w14:textId="03B2BD0B" w:rsidR="00325025" w:rsidRPr="003C0F2A" w:rsidRDefault="00CB6849"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Emilia-Romagna</w:t>
            </w:r>
          </w:p>
        </w:tc>
        <w:tc>
          <w:tcPr>
            <w:tcW w:w="1219" w:type="pct"/>
            <w:hideMark/>
          </w:tcPr>
          <w:p w14:paraId="497AEFE5"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2,16 </w:t>
            </w:r>
          </w:p>
        </w:tc>
        <w:tc>
          <w:tcPr>
            <w:tcW w:w="1219" w:type="pct"/>
            <w:hideMark/>
          </w:tcPr>
          <w:p w14:paraId="0C51F0B2"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1,54 </w:t>
            </w:r>
          </w:p>
        </w:tc>
        <w:tc>
          <w:tcPr>
            <w:tcW w:w="1251" w:type="pct"/>
            <w:noWrap/>
            <w:hideMark/>
          </w:tcPr>
          <w:p w14:paraId="3E8BA199"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71,3%</w:t>
            </w:r>
          </w:p>
        </w:tc>
      </w:tr>
      <w:tr w:rsidR="00325025" w:rsidRPr="003C0F2A" w14:paraId="45283FC0" w14:textId="77777777" w:rsidTr="00CB684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17C5ADAB" w14:textId="10BE66C7" w:rsidR="00325025" w:rsidRPr="003C0F2A" w:rsidRDefault="00CB6849"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Friuli-Venezia Giulia</w:t>
            </w:r>
          </w:p>
        </w:tc>
        <w:tc>
          <w:tcPr>
            <w:tcW w:w="1219" w:type="pct"/>
            <w:hideMark/>
          </w:tcPr>
          <w:p w14:paraId="15A42B8D"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1,12 </w:t>
            </w:r>
          </w:p>
        </w:tc>
        <w:tc>
          <w:tcPr>
            <w:tcW w:w="1219" w:type="pct"/>
            <w:hideMark/>
          </w:tcPr>
          <w:p w14:paraId="56277D10"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0,50 </w:t>
            </w:r>
          </w:p>
        </w:tc>
        <w:tc>
          <w:tcPr>
            <w:tcW w:w="1251" w:type="pct"/>
            <w:noWrap/>
            <w:hideMark/>
          </w:tcPr>
          <w:p w14:paraId="43F5BB89"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44,6%</w:t>
            </w:r>
          </w:p>
        </w:tc>
      </w:tr>
      <w:tr w:rsidR="00325025" w:rsidRPr="003C0F2A" w14:paraId="4308577A" w14:textId="77777777" w:rsidTr="00CB6849">
        <w:trPr>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34227F71"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Lazio</w:t>
            </w:r>
          </w:p>
        </w:tc>
        <w:tc>
          <w:tcPr>
            <w:tcW w:w="1219" w:type="pct"/>
            <w:hideMark/>
          </w:tcPr>
          <w:p w14:paraId="2A7FF1F6"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1,67 </w:t>
            </w:r>
          </w:p>
        </w:tc>
        <w:tc>
          <w:tcPr>
            <w:tcW w:w="1219" w:type="pct"/>
            <w:hideMark/>
          </w:tcPr>
          <w:p w14:paraId="09723107"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1,18 </w:t>
            </w:r>
          </w:p>
        </w:tc>
        <w:tc>
          <w:tcPr>
            <w:tcW w:w="1251" w:type="pct"/>
            <w:noWrap/>
            <w:hideMark/>
          </w:tcPr>
          <w:p w14:paraId="7CCF9808"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70,7%</w:t>
            </w:r>
          </w:p>
        </w:tc>
      </w:tr>
      <w:tr w:rsidR="00325025" w:rsidRPr="003C0F2A" w14:paraId="71D00BCE" w14:textId="77777777" w:rsidTr="00CB684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3210C4CE"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Liguria</w:t>
            </w:r>
          </w:p>
        </w:tc>
        <w:tc>
          <w:tcPr>
            <w:tcW w:w="1219" w:type="pct"/>
            <w:hideMark/>
          </w:tcPr>
          <w:p w14:paraId="485AD260"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2,76 </w:t>
            </w:r>
          </w:p>
        </w:tc>
        <w:tc>
          <w:tcPr>
            <w:tcW w:w="1219" w:type="pct"/>
            <w:hideMark/>
          </w:tcPr>
          <w:p w14:paraId="5F4587E9"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1,97 </w:t>
            </w:r>
          </w:p>
        </w:tc>
        <w:tc>
          <w:tcPr>
            <w:tcW w:w="1251" w:type="pct"/>
            <w:noWrap/>
            <w:hideMark/>
          </w:tcPr>
          <w:p w14:paraId="097BEA16"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71,4%</w:t>
            </w:r>
          </w:p>
        </w:tc>
      </w:tr>
      <w:tr w:rsidR="00325025" w:rsidRPr="003C0F2A" w14:paraId="7AB1822F" w14:textId="77777777" w:rsidTr="00CB6849">
        <w:trPr>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5561D86B"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Lombardia</w:t>
            </w:r>
          </w:p>
        </w:tc>
        <w:tc>
          <w:tcPr>
            <w:tcW w:w="1219" w:type="pct"/>
            <w:hideMark/>
          </w:tcPr>
          <w:p w14:paraId="25B86102"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2,13 </w:t>
            </w:r>
          </w:p>
        </w:tc>
        <w:tc>
          <w:tcPr>
            <w:tcW w:w="1219" w:type="pct"/>
            <w:hideMark/>
          </w:tcPr>
          <w:p w14:paraId="2D6E3EED"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1,46 </w:t>
            </w:r>
          </w:p>
        </w:tc>
        <w:tc>
          <w:tcPr>
            <w:tcW w:w="1251" w:type="pct"/>
            <w:noWrap/>
            <w:hideMark/>
          </w:tcPr>
          <w:p w14:paraId="7970E296"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68,5%</w:t>
            </w:r>
          </w:p>
        </w:tc>
      </w:tr>
      <w:tr w:rsidR="00325025" w:rsidRPr="003C0F2A" w14:paraId="4893181B" w14:textId="77777777" w:rsidTr="00CB684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06DC4249"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Marche</w:t>
            </w:r>
          </w:p>
        </w:tc>
        <w:tc>
          <w:tcPr>
            <w:tcW w:w="1219" w:type="pct"/>
            <w:hideMark/>
          </w:tcPr>
          <w:p w14:paraId="4AE78BB6"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0,67 </w:t>
            </w:r>
          </w:p>
        </w:tc>
        <w:tc>
          <w:tcPr>
            <w:tcW w:w="1219" w:type="pct"/>
            <w:hideMark/>
          </w:tcPr>
          <w:p w14:paraId="2FE7B0DE"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0,51 </w:t>
            </w:r>
          </w:p>
        </w:tc>
        <w:tc>
          <w:tcPr>
            <w:tcW w:w="1251" w:type="pct"/>
            <w:noWrap/>
            <w:hideMark/>
          </w:tcPr>
          <w:p w14:paraId="6678EFC4"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76,1%</w:t>
            </w:r>
          </w:p>
        </w:tc>
      </w:tr>
      <w:tr w:rsidR="00325025" w:rsidRPr="003C0F2A" w14:paraId="0D232300" w14:textId="77777777" w:rsidTr="00CB6849">
        <w:trPr>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4E109ED9"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Molise</w:t>
            </w:r>
          </w:p>
        </w:tc>
        <w:tc>
          <w:tcPr>
            <w:tcW w:w="1219" w:type="pct"/>
            <w:hideMark/>
          </w:tcPr>
          <w:p w14:paraId="6EAAB8E8"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1,83 </w:t>
            </w:r>
          </w:p>
        </w:tc>
        <w:tc>
          <w:tcPr>
            <w:tcW w:w="1219" w:type="pct"/>
            <w:hideMark/>
          </w:tcPr>
          <w:p w14:paraId="26848076"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2,69 </w:t>
            </w:r>
          </w:p>
        </w:tc>
        <w:tc>
          <w:tcPr>
            <w:tcW w:w="1251" w:type="pct"/>
            <w:noWrap/>
            <w:hideMark/>
          </w:tcPr>
          <w:p w14:paraId="44410329"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147,0%</w:t>
            </w:r>
          </w:p>
        </w:tc>
      </w:tr>
      <w:tr w:rsidR="00325025" w:rsidRPr="003C0F2A" w14:paraId="5B49667E" w14:textId="77777777" w:rsidTr="00CB684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18026815"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Piemonte</w:t>
            </w:r>
          </w:p>
        </w:tc>
        <w:tc>
          <w:tcPr>
            <w:tcW w:w="1219" w:type="pct"/>
            <w:hideMark/>
          </w:tcPr>
          <w:p w14:paraId="2F5FA022"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1,79 </w:t>
            </w:r>
          </w:p>
        </w:tc>
        <w:tc>
          <w:tcPr>
            <w:tcW w:w="1219" w:type="pct"/>
            <w:hideMark/>
          </w:tcPr>
          <w:p w14:paraId="028EFC2A"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1,71 </w:t>
            </w:r>
          </w:p>
        </w:tc>
        <w:tc>
          <w:tcPr>
            <w:tcW w:w="1251" w:type="pct"/>
            <w:noWrap/>
            <w:hideMark/>
          </w:tcPr>
          <w:p w14:paraId="426C997F"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95,5%</w:t>
            </w:r>
          </w:p>
        </w:tc>
      </w:tr>
      <w:tr w:rsidR="00325025" w:rsidRPr="003C0F2A" w14:paraId="66AB7950" w14:textId="77777777" w:rsidTr="00CB6849">
        <w:trPr>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29EDD9F3"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Puglia</w:t>
            </w:r>
          </w:p>
        </w:tc>
        <w:tc>
          <w:tcPr>
            <w:tcW w:w="1219" w:type="pct"/>
            <w:hideMark/>
          </w:tcPr>
          <w:p w14:paraId="24CF0184"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0,74 </w:t>
            </w:r>
          </w:p>
        </w:tc>
        <w:tc>
          <w:tcPr>
            <w:tcW w:w="1219" w:type="pct"/>
            <w:hideMark/>
          </w:tcPr>
          <w:p w14:paraId="3479EE4F"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0,00 </w:t>
            </w:r>
          </w:p>
        </w:tc>
        <w:tc>
          <w:tcPr>
            <w:tcW w:w="1251" w:type="pct"/>
            <w:noWrap/>
            <w:hideMark/>
          </w:tcPr>
          <w:p w14:paraId="44B81FDF"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0,0%</w:t>
            </w:r>
          </w:p>
        </w:tc>
      </w:tr>
      <w:tr w:rsidR="00325025" w:rsidRPr="003C0F2A" w14:paraId="349A1DFA" w14:textId="77777777" w:rsidTr="00CB684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5B59E0F4"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Sardegna</w:t>
            </w:r>
          </w:p>
        </w:tc>
        <w:tc>
          <w:tcPr>
            <w:tcW w:w="1219" w:type="pct"/>
            <w:hideMark/>
          </w:tcPr>
          <w:p w14:paraId="2217EA40"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1,84 </w:t>
            </w:r>
          </w:p>
        </w:tc>
        <w:tc>
          <w:tcPr>
            <w:tcW w:w="1219" w:type="pct"/>
            <w:hideMark/>
          </w:tcPr>
          <w:p w14:paraId="0A826B86"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1,26 </w:t>
            </w:r>
          </w:p>
        </w:tc>
        <w:tc>
          <w:tcPr>
            <w:tcW w:w="1251" w:type="pct"/>
            <w:noWrap/>
            <w:hideMark/>
          </w:tcPr>
          <w:p w14:paraId="4863B817"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68,5%</w:t>
            </w:r>
          </w:p>
        </w:tc>
      </w:tr>
      <w:tr w:rsidR="00325025" w:rsidRPr="003C0F2A" w14:paraId="15787E10" w14:textId="77777777" w:rsidTr="00CB6849">
        <w:trPr>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177CCE93"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Sicilia</w:t>
            </w:r>
          </w:p>
        </w:tc>
        <w:tc>
          <w:tcPr>
            <w:tcW w:w="1219" w:type="pct"/>
            <w:hideMark/>
          </w:tcPr>
          <w:p w14:paraId="2A0D8D35"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0,74 </w:t>
            </w:r>
          </w:p>
        </w:tc>
        <w:tc>
          <w:tcPr>
            <w:tcW w:w="1219" w:type="pct"/>
            <w:hideMark/>
          </w:tcPr>
          <w:p w14:paraId="64EEFFBF"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0,42 </w:t>
            </w:r>
          </w:p>
        </w:tc>
        <w:tc>
          <w:tcPr>
            <w:tcW w:w="1251" w:type="pct"/>
            <w:noWrap/>
            <w:hideMark/>
          </w:tcPr>
          <w:p w14:paraId="3FD625E4"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56,8%</w:t>
            </w:r>
          </w:p>
        </w:tc>
      </w:tr>
      <w:tr w:rsidR="00325025" w:rsidRPr="003C0F2A" w14:paraId="4641C94C" w14:textId="77777777" w:rsidTr="00CB684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4A88E44F"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Toscana</w:t>
            </w:r>
          </w:p>
        </w:tc>
        <w:tc>
          <w:tcPr>
            <w:tcW w:w="1219" w:type="pct"/>
            <w:hideMark/>
          </w:tcPr>
          <w:p w14:paraId="00AB82E5"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1,38 </w:t>
            </w:r>
          </w:p>
        </w:tc>
        <w:tc>
          <w:tcPr>
            <w:tcW w:w="1219" w:type="pct"/>
            <w:hideMark/>
          </w:tcPr>
          <w:p w14:paraId="4EC936A6"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1,03 </w:t>
            </w:r>
          </w:p>
        </w:tc>
        <w:tc>
          <w:tcPr>
            <w:tcW w:w="1251" w:type="pct"/>
            <w:noWrap/>
            <w:hideMark/>
          </w:tcPr>
          <w:p w14:paraId="184265A2"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74,6%</w:t>
            </w:r>
          </w:p>
        </w:tc>
      </w:tr>
      <w:tr w:rsidR="00325025" w:rsidRPr="003C0F2A" w14:paraId="08D9CC5A" w14:textId="77777777" w:rsidTr="00CB6849">
        <w:trPr>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64D45375"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Trento</w:t>
            </w:r>
          </w:p>
        </w:tc>
        <w:tc>
          <w:tcPr>
            <w:tcW w:w="1219" w:type="pct"/>
            <w:hideMark/>
          </w:tcPr>
          <w:p w14:paraId="40928A18"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1,82 </w:t>
            </w:r>
          </w:p>
        </w:tc>
        <w:tc>
          <w:tcPr>
            <w:tcW w:w="1219" w:type="pct"/>
            <w:hideMark/>
          </w:tcPr>
          <w:p w14:paraId="50C88559"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1,50 </w:t>
            </w:r>
          </w:p>
        </w:tc>
        <w:tc>
          <w:tcPr>
            <w:tcW w:w="1251" w:type="pct"/>
            <w:noWrap/>
            <w:hideMark/>
          </w:tcPr>
          <w:p w14:paraId="37B07DE0"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82,4%</w:t>
            </w:r>
          </w:p>
        </w:tc>
      </w:tr>
      <w:tr w:rsidR="00325025" w:rsidRPr="003C0F2A" w14:paraId="094E5EC0" w14:textId="77777777" w:rsidTr="00CB684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2681413C"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Umbria</w:t>
            </w:r>
          </w:p>
        </w:tc>
        <w:tc>
          <w:tcPr>
            <w:tcW w:w="1219" w:type="pct"/>
            <w:hideMark/>
          </w:tcPr>
          <w:p w14:paraId="47B0588A"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1,21 </w:t>
            </w:r>
          </w:p>
        </w:tc>
        <w:tc>
          <w:tcPr>
            <w:tcW w:w="1219" w:type="pct"/>
            <w:hideMark/>
          </w:tcPr>
          <w:p w14:paraId="53417362"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0,61 </w:t>
            </w:r>
          </w:p>
        </w:tc>
        <w:tc>
          <w:tcPr>
            <w:tcW w:w="1251" w:type="pct"/>
            <w:noWrap/>
            <w:hideMark/>
          </w:tcPr>
          <w:p w14:paraId="10F45ADC"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50,4%</w:t>
            </w:r>
          </w:p>
        </w:tc>
      </w:tr>
      <w:tr w:rsidR="00325025" w:rsidRPr="003C0F2A" w14:paraId="0009C87F" w14:textId="77777777" w:rsidTr="00CB6849">
        <w:trPr>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1E95A167"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Valle d'Aosta</w:t>
            </w:r>
          </w:p>
        </w:tc>
        <w:tc>
          <w:tcPr>
            <w:tcW w:w="1219" w:type="pct"/>
            <w:hideMark/>
          </w:tcPr>
          <w:p w14:paraId="6D5DA1FD"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2,80 </w:t>
            </w:r>
          </w:p>
        </w:tc>
        <w:tc>
          <w:tcPr>
            <w:tcW w:w="1219" w:type="pct"/>
            <w:hideMark/>
          </w:tcPr>
          <w:p w14:paraId="3C1C623E"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1,85 </w:t>
            </w:r>
          </w:p>
        </w:tc>
        <w:tc>
          <w:tcPr>
            <w:tcW w:w="1251" w:type="pct"/>
            <w:noWrap/>
            <w:hideMark/>
          </w:tcPr>
          <w:p w14:paraId="27F1BDC4" w14:textId="77777777" w:rsidR="00325025" w:rsidRPr="003C0F2A"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66,1%</w:t>
            </w:r>
          </w:p>
        </w:tc>
      </w:tr>
      <w:tr w:rsidR="00325025" w:rsidRPr="003C0F2A" w14:paraId="286558C6" w14:textId="77777777" w:rsidTr="00CB684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11" w:type="pct"/>
            <w:noWrap/>
            <w:hideMark/>
          </w:tcPr>
          <w:p w14:paraId="125D5DC5" w14:textId="77777777" w:rsidR="00325025" w:rsidRPr="003C0F2A" w:rsidRDefault="00325025" w:rsidP="002A2C67">
            <w:pPr>
              <w:jc w:val="left"/>
              <w:rPr>
                <w:rFonts w:ascii="Calibri" w:eastAsia="Times New Roman" w:hAnsi="Calibri" w:cs="Calibri"/>
                <w:b w:val="0"/>
                <w:bCs w:val="0"/>
                <w:color w:val="000000"/>
                <w:lang w:eastAsia="it-IT"/>
              </w:rPr>
            </w:pPr>
            <w:r w:rsidRPr="003C0F2A">
              <w:rPr>
                <w:rFonts w:ascii="Calibri" w:eastAsia="Times New Roman" w:hAnsi="Calibri" w:cs="Calibri"/>
                <w:color w:val="000000"/>
                <w:lang w:eastAsia="it-IT"/>
              </w:rPr>
              <w:t>Veneto</w:t>
            </w:r>
          </w:p>
        </w:tc>
        <w:tc>
          <w:tcPr>
            <w:tcW w:w="1219" w:type="pct"/>
            <w:hideMark/>
          </w:tcPr>
          <w:p w14:paraId="22E319CC"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1,76 </w:t>
            </w:r>
          </w:p>
        </w:tc>
        <w:tc>
          <w:tcPr>
            <w:tcW w:w="1219" w:type="pct"/>
            <w:hideMark/>
          </w:tcPr>
          <w:p w14:paraId="7D617653"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 xml:space="preserve">0,92 </w:t>
            </w:r>
          </w:p>
        </w:tc>
        <w:tc>
          <w:tcPr>
            <w:tcW w:w="1251" w:type="pct"/>
            <w:noWrap/>
            <w:hideMark/>
          </w:tcPr>
          <w:p w14:paraId="1F054644" w14:textId="77777777" w:rsidR="00325025" w:rsidRPr="003C0F2A" w:rsidRDefault="00325025" w:rsidP="002A2C67">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it-IT"/>
              </w:rPr>
            </w:pPr>
            <w:r w:rsidRPr="003C0F2A">
              <w:rPr>
                <w:rFonts w:ascii="Calibri" w:eastAsia="Times New Roman" w:hAnsi="Calibri" w:cs="Calibri"/>
                <w:color w:val="000000"/>
                <w:lang w:eastAsia="it-IT"/>
              </w:rPr>
              <w:t>52,3%</w:t>
            </w:r>
          </w:p>
        </w:tc>
      </w:tr>
      <w:tr w:rsidR="00325025" w:rsidRPr="003C0F2A" w14:paraId="17EDD15C" w14:textId="77777777" w:rsidTr="00CB6849">
        <w:trPr>
          <w:trHeight w:val="290"/>
        </w:trPr>
        <w:tc>
          <w:tcPr>
            <w:cnfStyle w:val="001000000000" w:firstRow="0" w:lastRow="0" w:firstColumn="1" w:lastColumn="0" w:oddVBand="0" w:evenVBand="0" w:oddHBand="0" w:evenHBand="0" w:firstRowFirstColumn="0" w:firstRowLastColumn="0" w:lastRowFirstColumn="0" w:lastRowLastColumn="0"/>
            <w:tcW w:w="1311" w:type="pct"/>
            <w:shd w:val="clear" w:color="auto" w:fill="4F81BD" w:themeFill="accent1"/>
            <w:noWrap/>
            <w:hideMark/>
          </w:tcPr>
          <w:p w14:paraId="530B7500" w14:textId="77777777" w:rsidR="00325025" w:rsidRPr="00CB6849" w:rsidRDefault="00325025" w:rsidP="002A2C67">
            <w:pPr>
              <w:jc w:val="left"/>
              <w:rPr>
                <w:rFonts w:ascii="Calibri" w:eastAsia="Times New Roman" w:hAnsi="Calibri" w:cs="Calibri"/>
                <w:color w:val="FFFFFF" w:themeColor="background1"/>
                <w:lang w:eastAsia="it-IT"/>
              </w:rPr>
            </w:pPr>
            <w:r w:rsidRPr="00CB6849">
              <w:rPr>
                <w:rFonts w:ascii="Calibri" w:eastAsia="Times New Roman" w:hAnsi="Calibri" w:cs="Calibri"/>
                <w:color w:val="FFFFFF" w:themeColor="background1"/>
                <w:lang w:eastAsia="it-IT"/>
              </w:rPr>
              <w:t>Italia</w:t>
            </w:r>
          </w:p>
        </w:tc>
        <w:tc>
          <w:tcPr>
            <w:tcW w:w="1219" w:type="pct"/>
            <w:shd w:val="clear" w:color="auto" w:fill="4F81BD" w:themeFill="accent1"/>
            <w:noWrap/>
            <w:hideMark/>
          </w:tcPr>
          <w:p w14:paraId="79946F5E" w14:textId="77777777" w:rsidR="00325025" w:rsidRPr="00CB6849"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themeColor="background1"/>
                <w:lang w:eastAsia="it-IT"/>
              </w:rPr>
            </w:pPr>
            <w:r w:rsidRPr="00CB6849">
              <w:rPr>
                <w:rFonts w:ascii="Calibri" w:eastAsia="Times New Roman" w:hAnsi="Calibri" w:cs="Calibri"/>
                <w:b/>
                <w:bCs/>
                <w:color w:val="FFFFFF" w:themeColor="background1"/>
                <w:lang w:eastAsia="it-IT"/>
              </w:rPr>
              <w:t>36,27</w:t>
            </w:r>
          </w:p>
        </w:tc>
        <w:tc>
          <w:tcPr>
            <w:tcW w:w="1219" w:type="pct"/>
            <w:shd w:val="clear" w:color="auto" w:fill="4F81BD" w:themeFill="accent1"/>
            <w:noWrap/>
            <w:hideMark/>
          </w:tcPr>
          <w:p w14:paraId="4E815857" w14:textId="77777777" w:rsidR="00325025" w:rsidRPr="00CB6849"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themeColor="background1"/>
                <w:lang w:eastAsia="it-IT"/>
              </w:rPr>
            </w:pPr>
            <w:r w:rsidRPr="00CB6849">
              <w:rPr>
                <w:rFonts w:ascii="Calibri" w:eastAsia="Times New Roman" w:hAnsi="Calibri" w:cs="Calibri"/>
                <w:b/>
                <w:bCs/>
                <w:color w:val="FFFFFF" w:themeColor="background1"/>
                <w:lang w:eastAsia="it-IT"/>
              </w:rPr>
              <w:t>25,66</w:t>
            </w:r>
          </w:p>
        </w:tc>
        <w:tc>
          <w:tcPr>
            <w:tcW w:w="1251" w:type="pct"/>
            <w:shd w:val="clear" w:color="auto" w:fill="4F81BD" w:themeFill="accent1"/>
            <w:noWrap/>
            <w:hideMark/>
          </w:tcPr>
          <w:p w14:paraId="5326F0B9" w14:textId="77777777" w:rsidR="00325025" w:rsidRPr="00CB6849" w:rsidRDefault="00325025" w:rsidP="002A2C67">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color w:val="FFFFFF" w:themeColor="background1"/>
                <w:lang w:eastAsia="it-IT"/>
              </w:rPr>
            </w:pPr>
            <w:r w:rsidRPr="00CB6849">
              <w:rPr>
                <w:rFonts w:ascii="Calibri" w:eastAsia="Times New Roman" w:hAnsi="Calibri" w:cs="Calibri"/>
                <w:b/>
                <w:bCs/>
                <w:color w:val="FFFFFF" w:themeColor="background1"/>
                <w:lang w:eastAsia="it-IT"/>
              </w:rPr>
              <w:t>70,75%</w:t>
            </w:r>
          </w:p>
        </w:tc>
      </w:tr>
    </w:tbl>
    <w:p w14:paraId="30FF8E6A" w14:textId="10253254" w:rsidR="00325025" w:rsidRPr="00CB6849" w:rsidRDefault="00325025" w:rsidP="00CB6849">
      <w:pPr>
        <w:pStyle w:val="Fontetabellagrafico"/>
        <w:ind w:left="426"/>
        <w:rPr>
          <w:shd w:val="clear" w:color="auto" w:fill="FFFFFF"/>
          <w:lang w:val="it-IT"/>
        </w:rPr>
      </w:pPr>
      <w:r w:rsidRPr="00CD1830">
        <w:rPr>
          <w:shd w:val="clear" w:color="auto" w:fill="FFFFFF"/>
          <w:lang w:val="it-IT"/>
        </w:rPr>
        <w:t xml:space="preserve">Fonte: Elaborazioni RRN su dati </w:t>
      </w:r>
      <w:r>
        <w:rPr>
          <w:shd w:val="clear" w:color="auto" w:fill="FFFFFF"/>
          <w:lang w:val="it-IT"/>
        </w:rPr>
        <w:t>RAA 2019</w:t>
      </w:r>
    </w:p>
    <w:p w14:paraId="57074190" w14:textId="77777777" w:rsidR="00325025" w:rsidRPr="00325025" w:rsidRDefault="00325025" w:rsidP="00E347BE">
      <w:pPr>
        <w:pStyle w:val="Paragrafoelenco"/>
        <w:numPr>
          <w:ilvl w:val="0"/>
          <w:numId w:val="39"/>
        </w:numPr>
        <w:spacing w:after="120" w:line="240" w:lineRule="auto"/>
        <w:ind w:left="714" w:hanging="357"/>
        <w:contextualSpacing w:val="0"/>
        <w:rPr>
          <w:shd w:val="clear" w:color="auto" w:fill="FFFFFF"/>
        </w:rPr>
      </w:pPr>
      <w:r w:rsidRPr="00325025">
        <w:rPr>
          <w:shd w:val="clear" w:color="auto" w:fill="FFFFFF"/>
        </w:rPr>
        <w:t>La Corte dei conti europea (2017) esprime per il premio di primo insediamento un giudizio moderatamente positivo. Infatti, malgrado lo strumento si basi su una valutazione vaga delle esigenze, tuttavia persegue obiettivi parzialmente specifici, misurabili, realizzabili e pertinenti, rispecchiando altresì l’obiettivo generale di incoraggiare il ricambio generazionale.</w:t>
      </w:r>
    </w:p>
    <w:p w14:paraId="4C6B0EF9" w14:textId="312B27E1" w:rsidR="00325025" w:rsidRPr="00325025" w:rsidRDefault="00325025" w:rsidP="00E347BE">
      <w:pPr>
        <w:pStyle w:val="Paragrafoelenco"/>
        <w:numPr>
          <w:ilvl w:val="0"/>
          <w:numId w:val="39"/>
        </w:numPr>
        <w:spacing w:after="120" w:line="240" w:lineRule="auto"/>
        <w:ind w:left="714" w:hanging="357"/>
        <w:contextualSpacing w:val="0"/>
        <w:rPr>
          <w:shd w:val="clear" w:color="auto" w:fill="FFFFFF"/>
        </w:rPr>
      </w:pPr>
      <w:r w:rsidRPr="00325025">
        <w:rPr>
          <w:shd w:val="clear" w:color="auto" w:fill="FFFFFF"/>
        </w:rPr>
        <w:t xml:space="preserve">Nonostante questi aspetti positivi vengono evidenziate alcune criticità che limitano notevolmente l’efficacia del premio di primo insediamento. Appare evidente, sulla base delle risultanze emerse dai principali elementi di monitoraggio, come la programmazione e l’esecuzione della misura dal punto di vista fisico e finanziario sia indistintamente efficiente per tutte le regioni italiane. Per contro, è altrettanto palese come le principali analisi statistiche evidenzino un persistente fenomeno di senilizzazione del comparto agricolo e una contrazione della quota di giovani in agricoltura. </w:t>
      </w:r>
      <w:r w:rsidR="00ED7501" w:rsidRPr="00325025">
        <w:rPr>
          <w:shd w:val="clear" w:color="auto" w:fill="FFFFFF"/>
        </w:rPr>
        <w:t>Questa lettura</w:t>
      </w:r>
      <w:r w:rsidR="00ED7501">
        <w:rPr>
          <w:shd w:val="clear" w:color="auto" w:fill="FFFFFF"/>
        </w:rPr>
        <w:t xml:space="preserve"> </w:t>
      </w:r>
      <w:r w:rsidR="00ED7501" w:rsidRPr="00325025">
        <w:rPr>
          <w:shd w:val="clear" w:color="auto" w:fill="FFFFFF"/>
        </w:rPr>
        <w:t>contradditoria</w:t>
      </w:r>
      <w:r w:rsidRPr="00325025">
        <w:rPr>
          <w:shd w:val="clear" w:color="auto" w:fill="FFFFFF"/>
        </w:rPr>
        <w:t xml:space="preserve"> potrebbe testimoniare una preoccupazione prioritaria nei confronti del trasferimento delle risorse stanziate allo scopo e meno focalizzata sulle ricadute di lungo periodo come evidenziato da </w:t>
      </w:r>
      <w:proofErr w:type="spellStart"/>
      <w:r w:rsidRPr="00325025">
        <w:rPr>
          <w:shd w:val="clear" w:color="auto" w:fill="FFFFFF"/>
        </w:rPr>
        <w:t>Pulina</w:t>
      </w:r>
      <w:proofErr w:type="spellEnd"/>
      <w:r w:rsidRPr="00325025">
        <w:rPr>
          <w:shd w:val="clear" w:color="auto" w:fill="FFFFFF"/>
        </w:rPr>
        <w:t xml:space="preserve"> (2018). La lettura congiunta degli indicatori di spesa e del numero degli insediati e gli effetti di lungo periodo di tale intervento rivelano una sensibile differenza tra la componente specificatamente amministrativa, espressa in termini di spesa sostenuta e numero di insediamenti, e quella funzionale rappresentata dalle ricadute che tale intervento dovrebbe avere nell’invertire o calmierare il processo di senilizzazione del settore agricolo oltre che di mortalità delle aziende finanziate al termine dell’impegno.        </w:t>
      </w:r>
    </w:p>
    <w:p w14:paraId="422A423F" w14:textId="77777777" w:rsidR="00325025" w:rsidRPr="00325025" w:rsidRDefault="00325025" w:rsidP="00E347BE">
      <w:pPr>
        <w:pStyle w:val="Paragrafoelenco"/>
        <w:numPr>
          <w:ilvl w:val="0"/>
          <w:numId w:val="39"/>
        </w:numPr>
        <w:spacing w:after="120" w:line="240" w:lineRule="auto"/>
        <w:contextualSpacing w:val="0"/>
        <w:rPr>
          <w:shd w:val="clear" w:color="auto" w:fill="FFFFFF"/>
        </w:rPr>
      </w:pPr>
      <w:r w:rsidRPr="00325025">
        <w:rPr>
          <w:shd w:val="clear" w:color="auto" w:fill="FFFFFF"/>
        </w:rPr>
        <w:lastRenderedPageBreak/>
        <w:t xml:space="preserve">In dettaglio, sono molteplici le osservazioni che possono essere mosse in merito all’attuale implementazione della misura e sono molti i suggerimenti che possono essere avanzati per arrivare ad un miglioramento della sua efficacia. </w:t>
      </w:r>
    </w:p>
    <w:p w14:paraId="6A3C31EB" w14:textId="4B61AC9A" w:rsidR="00325025" w:rsidRPr="00325025" w:rsidRDefault="00325025" w:rsidP="00E347BE">
      <w:pPr>
        <w:pStyle w:val="Paragrafoelenco"/>
        <w:numPr>
          <w:ilvl w:val="0"/>
          <w:numId w:val="39"/>
        </w:numPr>
        <w:spacing w:after="120" w:line="240" w:lineRule="auto"/>
        <w:contextualSpacing w:val="0"/>
        <w:rPr>
          <w:shd w:val="clear" w:color="auto" w:fill="FFFFFF"/>
        </w:rPr>
      </w:pPr>
      <w:r w:rsidRPr="00325025">
        <w:rPr>
          <w:shd w:val="clear" w:color="auto" w:fill="FFFFFF"/>
        </w:rPr>
        <w:t>La qualità dei piani aziendali, per esempio, non è omogenea. Le risultanze di recenti focus group realizzati da I</w:t>
      </w:r>
      <w:r w:rsidR="00ED7501">
        <w:rPr>
          <w:shd w:val="clear" w:color="auto" w:fill="FFFFFF"/>
        </w:rPr>
        <w:t>SMEA</w:t>
      </w:r>
      <w:r w:rsidRPr="00325025">
        <w:rPr>
          <w:shd w:val="clear" w:color="auto" w:fill="FFFFFF"/>
        </w:rPr>
        <w:t xml:space="preserve"> nell’ambito delle attività previste dalla RRN (2018) con giovani imprenditori beneficiari del premio di primo insediamento hanno evidenziato che piani aziendali vengono redatti in funzione dei criteri di selezione e premialità introdotti nei bandi al fine di massimizzare il punteggio e la posizione in graduatoria piuttosto che con l’intento di valutare la vera sostenibilità economica dell’idea imprenditoriale. Allo stato attuale manca un modello comune di “pacchetto giovani”, flessibile in termini di applicazione, ma comune come strategia di approccio tra tutti i Programmi regionali di sviluppo rurale. Raramente l’ammontare dell’aiuto appare correlato all’attivazione di altre misure, anche in maniera parziale, nell’ambito del pacchetto giovani andando da un minimo di 30.000 euro fino all’importo massimo di 70.000 euro. L’estrema variabilità registrata nell’applicazione del “pacchetto aziendale” a livello nazionale ne riduce notevolmente il suo valore e la sua portata.</w:t>
      </w:r>
    </w:p>
    <w:p w14:paraId="2253E5B5" w14:textId="77777777" w:rsidR="00325025" w:rsidRPr="00325025" w:rsidRDefault="00325025" w:rsidP="00E347BE">
      <w:pPr>
        <w:pStyle w:val="Paragrafoelenco"/>
        <w:numPr>
          <w:ilvl w:val="0"/>
          <w:numId w:val="39"/>
        </w:numPr>
        <w:spacing w:after="120" w:line="240" w:lineRule="auto"/>
        <w:contextualSpacing w:val="0"/>
        <w:rPr>
          <w:shd w:val="clear" w:color="auto" w:fill="FFFFFF"/>
        </w:rPr>
      </w:pPr>
      <w:r w:rsidRPr="00325025">
        <w:rPr>
          <w:shd w:val="clear" w:color="auto" w:fill="FFFFFF"/>
        </w:rPr>
        <w:t>L’ammontare del premio concesso è fortemente diversificato in funzione delle diverse Regioni. La diversificazione registrata sembra essere eccessiva e non giustificata dalla variabilità esistente nel panorama agricolo italiano creando una notevole disparità di trattamento tra giovani agricoltori italiani.</w:t>
      </w:r>
    </w:p>
    <w:p w14:paraId="07A0025C" w14:textId="77777777" w:rsidR="00325025" w:rsidRPr="00325025" w:rsidRDefault="00325025" w:rsidP="00E347BE">
      <w:pPr>
        <w:pStyle w:val="Paragrafoelenco"/>
        <w:numPr>
          <w:ilvl w:val="0"/>
          <w:numId w:val="39"/>
        </w:numPr>
        <w:spacing w:after="120" w:line="240" w:lineRule="auto"/>
        <w:contextualSpacing w:val="0"/>
        <w:rPr>
          <w:shd w:val="clear" w:color="auto" w:fill="FFFFFF"/>
        </w:rPr>
      </w:pPr>
      <w:r w:rsidRPr="00325025">
        <w:rPr>
          <w:shd w:val="clear" w:color="auto" w:fill="FFFFFF"/>
        </w:rPr>
        <w:t>Inoltre, il bilancio settennale destinato alla misura non è uniformemente distribuito durante l’intero periodo di programmazione ma concentrato prevalentemente nei primi bandi, privando così della possibilità di ricevere finanziamenti i giovani agricoltori che si vorrebbero insediare verso la fine del periodo e i cui piani di sviluppo sono, magari, decisamente migliori rispetto ai tanti beneficiari insediati in occasione dei primi bandi.</w:t>
      </w:r>
    </w:p>
    <w:p w14:paraId="20874057" w14:textId="797272C0" w:rsidR="00325025" w:rsidRPr="00325025" w:rsidRDefault="00325025" w:rsidP="00E347BE">
      <w:pPr>
        <w:pStyle w:val="Paragrafoelenco"/>
        <w:numPr>
          <w:ilvl w:val="0"/>
          <w:numId w:val="39"/>
        </w:numPr>
        <w:spacing w:after="120" w:line="240" w:lineRule="auto"/>
        <w:contextualSpacing w:val="0"/>
        <w:rPr>
          <w:shd w:val="clear" w:color="auto" w:fill="FFFFFF"/>
        </w:rPr>
      </w:pPr>
      <w:r w:rsidRPr="00325025">
        <w:rPr>
          <w:shd w:val="clear" w:color="auto" w:fill="FFFFFF"/>
        </w:rPr>
        <w:t xml:space="preserve">Le risorse destinate all’attivazione della Misura di primo insediamento, in alcuni casi, si rivelano insufficienti in termini assoluti </w:t>
      </w:r>
      <w:r w:rsidR="00ED7501">
        <w:rPr>
          <w:shd w:val="clear" w:color="auto" w:fill="FFFFFF"/>
        </w:rPr>
        <w:t>e</w:t>
      </w:r>
      <w:r w:rsidRPr="00325025">
        <w:rPr>
          <w:shd w:val="clear" w:color="auto" w:fill="FFFFFF"/>
        </w:rPr>
        <w:t xml:space="preserve"> di quota percentuale rispetto alla complessiva dotazione </w:t>
      </w:r>
      <w:proofErr w:type="spellStart"/>
      <w:r w:rsidRPr="00325025">
        <w:rPr>
          <w:shd w:val="clear" w:color="auto" w:fill="FFFFFF"/>
        </w:rPr>
        <w:t>Feasr</w:t>
      </w:r>
      <w:proofErr w:type="spellEnd"/>
      <w:r w:rsidRPr="00325025">
        <w:rPr>
          <w:shd w:val="clear" w:color="auto" w:fill="FFFFFF"/>
        </w:rPr>
        <w:t xml:space="preserve"> destinata all’intero Psr. In Italia, in termini generali, i nuovi insediamenti finanziati tra il 2007 e il 2013 sono stati circa 22.000, pari a solo l’1,3% di tutte le aziende agricole che costituiscono il target di beneficiari dei Psr nel complesso.  </w:t>
      </w:r>
    </w:p>
    <w:p w14:paraId="7FBC16EE" w14:textId="77777777" w:rsidR="00325025" w:rsidRPr="00325025" w:rsidRDefault="00325025" w:rsidP="00E347BE">
      <w:pPr>
        <w:pStyle w:val="Paragrafoelenco"/>
        <w:numPr>
          <w:ilvl w:val="0"/>
          <w:numId w:val="39"/>
        </w:numPr>
        <w:spacing w:after="120" w:line="240" w:lineRule="auto"/>
        <w:contextualSpacing w:val="0"/>
        <w:rPr>
          <w:shd w:val="clear" w:color="auto" w:fill="FFFFFF"/>
        </w:rPr>
      </w:pPr>
      <w:r w:rsidRPr="00325025">
        <w:rPr>
          <w:shd w:val="clear" w:color="auto" w:fill="FFFFFF"/>
        </w:rPr>
        <w:t>Nei due periodi di programmazione 2007-2013 e 2014-2020 non tutte le Regioni dimostrano concretamente di aver voluto significativamente puntare sul ringiovanimento generazionale in agricoltura coerentemente ai dati demografici presentati nei paragrafi iniziali. Inoltre, nel periodo di programmazione in corso, alcune Regioni hanno addirittura ridimensionato la Misura rispetto alla programmazione precedente in termini di risorse pubbliche programmate.</w:t>
      </w:r>
    </w:p>
    <w:p w14:paraId="6DC893AE" w14:textId="77777777" w:rsidR="00325025" w:rsidRPr="00325025" w:rsidRDefault="00325025" w:rsidP="00E347BE">
      <w:pPr>
        <w:pStyle w:val="Paragrafoelenco"/>
        <w:numPr>
          <w:ilvl w:val="0"/>
          <w:numId w:val="39"/>
        </w:numPr>
        <w:spacing w:after="120" w:line="240" w:lineRule="auto"/>
        <w:contextualSpacing w:val="0"/>
        <w:rPr>
          <w:shd w:val="clear" w:color="auto" w:fill="FFFFFF"/>
        </w:rPr>
      </w:pPr>
      <w:r w:rsidRPr="00325025">
        <w:rPr>
          <w:shd w:val="clear" w:color="auto" w:fill="FFFFFF"/>
        </w:rPr>
        <w:t xml:space="preserve">L’efficacia della Misura sarebbe enormemente potenziata se si creasse un vero coordinamento o concrete forme di </w:t>
      </w:r>
      <w:proofErr w:type="gramStart"/>
      <w:r w:rsidRPr="00325025">
        <w:rPr>
          <w:shd w:val="clear" w:color="auto" w:fill="FFFFFF"/>
        </w:rPr>
        <w:t>complementarietà</w:t>
      </w:r>
      <w:proofErr w:type="gramEnd"/>
      <w:r w:rsidRPr="00325025">
        <w:rPr>
          <w:shd w:val="clear" w:color="auto" w:fill="FFFFFF"/>
        </w:rPr>
        <w:t xml:space="preserve"> tra la misura di insediamento del secondo pilastro e le diverse altre misure comunitarie e nazionali a vantaggio dei giovani agricoltori.</w:t>
      </w:r>
    </w:p>
    <w:p w14:paraId="645B9D5C" w14:textId="77777777" w:rsidR="00325025" w:rsidRDefault="00325025" w:rsidP="00E347BE">
      <w:pPr>
        <w:pStyle w:val="Paragrafoelenco"/>
        <w:numPr>
          <w:ilvl w:val="0"/>
          <w:numId w:val="39"/>
        </w:numPr>
        <w:spacing w:after="120" w:line="240" w:lineRule="auto"/>
        <w:contextualSpacing w:val="0"/>
        <w:rPr>
          <w:shd w:val="clear" w:color="auto" w:fill="FFFFFF"/>
        </w:rPr>
      </w:pPr>
      <w:r w:rsidRPr="00325025">
        <w:rPr>
          <w:shd w:val="clear" w:color="auto" w:fill="FFFFFF"/>
        </w:rPr>
        <w:t>Dal punto di vista procedurale e istruttorio, infine, esiste una notevole, forse eccessiva, variabilità nelle scelte attuative adottate da ciascuna regione che in ultima analisi si potrebbe tradurre in una disparità di trattamento per i giovani imprenditori. Sono forti le differenze esistenti in termini di, condizioni di ammissibilità, durata del piano aziendale, significato del termine “primo insediamento, soglie di dimensione economica aziendale minime necessarie per accedere al premio.</w:t>
      </w:r>
    </w:p>
    <w:p w14:paraId="42D677B7" w14:textId="1FD50B65" w:rsidR="00325025" w:rsidRPr="00325025" w:rsidRDefault="00325025" w:rsidP="00ED7501">
      <w:pPr>
        <w:pStyle w:val="Paragrafoelenco"/>
        <w:spacing w:after="120" w:line="240" w:lineRule="auto"/>
        <w:contextualSpacing w:val="0"/>
        <w:rPr>
          <w:shd w:val="clear" w:color="auto" w:fill="FFFFFF"/>
        </w:rPr>
      </w:pPr>
      <w:r>
        <w:rPr>
          <w:shd w:val="clear" w:color="auto" w:fill="FFFFFF"/>
        </w:rPr>
        <w:br w:type="page"/>
      </w:r>
    </w:p>
    <w:p w14:paraId="38BB8AE9" w14:textId="77777777" w:rsidR="00325025" w:rsidRPr="001062EC" w:rsidRDefault="00325025" w:rsidP="00325025">
      <w:pPr>
        <w:pStyle w:val="Titolo3"/>
        <w:pBdr>
          <w:top w:val="single" w:sz="12" w:space="1" w:color="0070C0"/>
          <w:left w:val="single" w:sz="12" w:space="4" w:color="0070C0"/>
          <w:bottom w:val="single" w:sz="12" w:space="1" w:color="0070C0"/>
          <w:right w:val="single" w:sz="12" w:space="4" w:color="0070C0"/>
        </w:pBdr>
        <w:spacing w:before="0"/>
      </w:pPr>
      <w:bookmarkStart w:id="29" w:name="_Toc22736714"/>
      <w:r w:rsidRPr="001062EC">
        <w:lastRenderedPageBreak/>
        <w:t>Focus pacchetto Giovani. Modalità di attuazione della sottomisura 6.1</w:t>
      </w:r>
      <w:r>
        <w:rPr>
          <w:rStyle w:val="Rimandonotaapidipagina"/>
        </w:rPr>
        <w:footnoteReference w:id="27"/>
      </w:r>
      <w:bookmarkEnd w:id="29"/>
      <w:r w:rsidRPr="001062EC">
        <w:t xml:space="preserve"> </w:t>
      </w:r>
    </w:p>
    <w:p w14:paraId="0DCCE7E9" w14:textId="4247F2E9" w:rsidR="00325025" w:rsidRDefault="00325025" w:rsidP="00325025">
      <w:pPr>
        <w:pBdr>
          <w:top w:val="single" w:sz="12" w:space="1" w:color="0070C0"/>
          <w:left w:val="single" w:sz="12" w:space="4" w:color="0070C0"/>
          <w:bottom w:val="single" w:sz="12" w:space="1" w:color="0070C0"/>
          <w:right w:val="single" w:sz="12" w:space="4" w:color="0070C0"/>
        </w:pBdr>
        <w:autoSpaceDE w:val="0"/>
        <w:autoSpaceDN w:val="0"/>
        <w:adjustRightInd w:val="0"/>
        <w:spacing w:after="60" w:line="240" w:lineRule="auto"/>
        <w:rPr>
          <w:rFonts w:ascii="Calibri" w:hAnsi="Calibri" w:cs="Calibri"/>
          <w:color w:val="000000"/>
        </w:rPr>
      </w:pPr>
      <w:r>
        <w:rPr>
          <w:rFonts w:ascii="Calibri" w:hAnsi="Calibri" w:cs="Calibri"/>
          <w:color w:val="000000"/>
        </w:rPr>
        <w:t xml:space="preserve">Uno degli aspetti più significativi contenuti nell’attuale regolamento per lo sviluppo rurale consiste nella possibilità di prevedere, all’interno dei singoli PSR, pacchetti finalizzati al sostegno dei giovani agricoltori. In sostanza, il sostegno per il primo insediamento può essere concesso singolarmente e indipendentemente dalla partecipazione ad altri interventi oppure come elemento di un più ampio pacchetto di misure. La maggior parte delle Regioni ha scelto quest’ultima opzione, tuttavia non mancano i bandi che prevedono la partecipazione alla sola misura 6.1. Molise, Sardegna Piemonte e </w:t>
      </w:r>
      <w:r w:rsidR="002D1C1F">
        <w:rPr>
          <w:rFonts w:ascii="Calibri" w:hAnsi="Calibri" w:cs="Calibri"/>
          <w:color w:val="000000"/>
        </w:rPr>
        <w:t>Friuli-Venezia Giulia</w:t>
      </w:r>
      <w:r>
        <w:rPr>
          <w:rFonts w:ascii="Calibri" w:hAnsi="Calibri" w:cs="Calibri"/>
          <w:color w:val="000000"/>
        </w:rPr>
        <w:t xml:space="preserve"> hanno pubblicato bandi distinti in funzione della modalità di attivazione della misura (con e senza pacchetto). </w:t>
      </w:r>
    </w:p>
    <w:p w14:paraId="08E99244" w14:textId="2747861B" w:rsidR="00325025" w:rsidRDefault="00325025" w:rsidP="00325025">
      <w:pPr>
        <w:pBdr>
          <w:top w:val="single" w:sz="12" w:space="1" w:color="0070C0"/>
          <w:left w:val="single" w:sz="12" w:space="4" w:color="0070C0"/>
          <w:bottom w:val="single" w:sz="12" w:space="1" w:color="0070C0"/>
          <w:right w:val="single" w:sz="12" w:space="4" w:color="0070C0"/>
        </w:pBdr>
        <w:autoSpaceDE w:val="0"/>
        <w:autoSpaceDN w:val="0"/>
        <w:adjustRightInd w:val="0"/>
        <w:spacing w:after="60" w:line="240" w:lineRule="auto"/>
        <w:rPr>
          <w:rFonts w:ascii="Calibri" w:hAnsi="Calibri" w:cs="Calibri"/>
          <w:color w:val="000000"/>
        </w:rPr>
      </w:pPr>
      <w:r>
        <w:rPr>
          <w:rFonts w:ascii="Calibri" w:hAnsi="Calibri" w:cs="Calibri"/>
          <w:color w:val="000000"/>
        </w:rPr>
        <w:t>Allo stato attuale si riscontra in Italia la mancanza di un modello comune di pacchetto giovani.</w:t>
      </w:r>
    </w:p>
    <w:p w14:paraId="039CEC29" w14:textId="77777777" w:rsidR="00325025" w:rsidRDefault="00325025" w:rsidP="00325025">
      <w:pPr>
        <w:pBdr>
          <w:top w:val="single" w:sz="12" w:space="1" w:color="0070C0"/>
          <w:left w:val="single" w:sz="12" w:space="4" w:color="0070C0"/>
          <w:bottom w:val="single" w:sz="12" w:space="1" w:color="0070C0"/>
          <w:right w:val="single" w:sz="12" w:space="4" w:color="0070C0"/>
        </w:pBdr>
        <w:autoSpaceDE w:val="0"/>
        <w:autoSpaceDN w:val="0"/>
        <w:adjustRightInd w:val="0"/>
        <w:spacing w:after="60" w:line="240" w:lineRule="auto"/>
        <w:rPr>
          <w:rFonts w:ascii="Calibri" w:hAnsi="Calibri" w:cs="Calibri"/>
          <w:color w:val="000000"/>
        </w:rPr>
      </w:pPr>
      <w:r>
        <w:rPr>
          <w:rFonts w:ascii="Calibri" w:hAnsi="Calibri" w:cs="Calibri"/>
          <w:color w:val="000000"/>
        </w:rPr>
        <w:t>In dettaglio, Basilicata, Campania, Emilia-Romagna, Marche, Valle D’Aosta e Bolzano hanno deciso di attivare il pacchetto in modo facoltativo cioè dando la possibilità al giovane di scegliere se presentare le domande di accesso alla 6.1 in modo singolo o associato ad altre misure. Nel caso in cui il beneficiario scelga l’attivazione del pacchetto diventa obbligatorio aderire ad alcune misure espressamente indicate, rappresentate prevalentemente dalla 4.1, e, in maniera opzionale, a un ventaglio di altre misure a scelta.</w:t>
      </w:r>
    </w:p>
    <w:p w14:paraId="361C8FE0" w14:textId="77777777" w:rsidR="00325025" w:rsidRDefault="00325025" w:rsidP="00325025">
      <w:pPr>
        <w:pBdr>
          <w:top w:val="single" w:sz="12" w:space="1" w:color="0070C0"/>
          <w:left w:val="single" w:sz="12" w:space="4" w:color="0070C0"/>
          <w:bottom w:val="single" w:sz="12" w:space="1" w:color="0070C0"/>
          <w:right w:val="single" w:sz="12" w:space="4" w:color="0070C0"/>
        </w:pBdr>
        <w:autoSpaceDE w:val="0"/>
        <w:autoSpaceDN w:val="0"/>
        <w:adjustRightInd w:val="0"/>
        <w:spacing w:after="60" w:line="240" w:lineRule="auto"/>
        <w:rPr>
          <w:rFonts w:ascii="Calibri" w:hAnsi="Calibri" w:cs="Calibri"/>
          <w:color w:val="000000"/>
        </w:rPr>
      </w:pPr>
      <w:r>
        <w:rPr>
          <w:rFonts w:ascii="Calibri" w:hAnsi="Calibri" w:cs="Calibri"/>
          <w:color w:val="000000"/>
        </w:rPr>
        <w:t>La Basilicata, per esempio, permette di scegliere se aderire o meno al pacchetto giovani. Nel caso in cui un beneficiario aderisca al pacchetto giovani deve obbligatoriamente dichiarare nel proprio piano di sviluppo aziendale la successiva partecipazione alla misura 4.1 a cui può, ma solo in maniera opzionale, aggiungere l’attivazione di altre misure a scelta tra la 3.1 e la 4.4.</w:t>
      </w:r>
    </w:p>
    <w:p w14:paraId="00C859F3" w14:textId="77777777" w:rsidR="00325025" w:rsidRDefault="00325025" w:rsidP="00325025">
      <w:pPr>
        <w:pBdr>
          <w:top w:val="single" w:sz="12" w:space="1" w:color="0070C0"/>
          <w:left w:val="single" w:sz="12" w:space="4" w:color="0070C0"/>
          <w:bottom w:val="single" w:sz="12" w:space="1" w:color="0070C0"/>
          <w:right w:val="single" w:sz="12" w:space="4" w:color="0070C0"/>
        </w:pBdr>
        <w:autoSpaceDE w:val="0"/>
        <w:autoSpaceDN w:val="0"/>
        <w:adjustRightInd w:val="0"/>
        <w:spacing w:after="60" w:line="240" w:lineRule="auto"/>
        <w:rPr>
          <w:rFonts w:ascii="Calibri" w:hAnsi="Calibri" w:cs="Calibri"/>
          <w:color w:val="000000"/>
        </w:rPr>
      </w:pPr>
      <w:r>
        <w:rPr>
          <w:rFonts w:ascii="Calibri" w:hAnsi="Calibri" w:cs="Calibri"/>
          <w:color w:val="000000"/>
        </w:rPr>
        <w:t>Abruzzo, Calabria, Friuli, Puglia, Toscana, Sicilia, Umbria e Veneto hanno attivato la misura 6.1 attraverso la modalità del pacchetto giovani indicando l’elenco delle altre misure da attivare obbligatoriamente e quelle la cui attivazione è invece facoltativa. Molise (secondo bando), Piemonte (terzo bando) e Sardegna prevedono all’interno del pacchetto solo misure da attivare obbligatoriamente.</w:t>
      </w:r>
    </w:p>
    <w:p w14:paraId="212F5D07" w14:textId="77777777" w:rsidR="00325025" w:rsidRDefault="00325025" w:rsidP="00325025">
      <w:pPr>
        <w:pBdr>
          <w:top w:val="single" w:sz="12" w:space="1" w:color="0070C0"/>
          <w:left w:val="single" w:sz="12" w:space="4" w:color="0070C0"/>
          <w:bottom w:val="single" w:sz="12" w:space="1" w:color="0070C0"/>
          <w:right w:val="single" w:sz="12" w:space="4" w:color="0070C0"/>
        </w:pBdr>
        <w:autoSpaceDE w:val="0"/>
        <w:autoSpaceDN w:val="0"/>
        <w:adjustRightInd w:val="0"/>
        <w:spacing w:after="60" w:line="240" w:lineRule="auto"/>
        <w:rPr>
          <w:rFonts w:ascii="Calibri" w:hAnsi="Calibri" w:cs="Calibri"/>
          <w:color w:val="000000"/>
        </w:rPr>
      </w:pPr>
      <w:r>
        <w:rPr>
          <w:rFonts w:ascii="Calibri" w:hAnsi="Calibri" w:cs="Calibri"/>
          <w:color w:val="000000"/>
        </w:rPr>
        <w:t>Il Piemonte alla data del 30/09/2017 ha emanato tre bandi per la misura 6.1 ciascuno con modalità di attivazione differenti. Il primo bando dava la possibilità di attivare il pacchetto giovani in modo facoltativo, il secondo prevedeva di presentare le domande di adesione esclusivamente per la 6.1 e il terzo e ultimo bando prevedeva di attivare la misura esclusivamente tramite il pacchetto giovani.</w:t>
      </w:r>
    </w:p>
    <w:p w14:paraId="31108D4B" w14:textId="77777777" w:rsidR="00325025" w:rsidRPr="00357E01" w:rsidRDefault="00325025" w:rsidP="00325025">
      <w:pPr>
        <w:pBdr>
          <w:top w:val="single" w:sz="12" w:space="1" w:color="0070C0"/>
          <w:left w:val="single" w:sz="12" w:space="4" w:color="0070C0"/>
          <w:bottom w:val="single" w:sz="12" w:space="1" w:color="0070C0"/>
          <w:right w:val="single" w:sz="12" w:space="4" w:color="0070C0"/>
        </w:pBdr>
        <w:autoSpaceDE w:val="0"/>
        <w:autoSpaceDN w:val="0"/>
        <w:adjustRightInd w:val="0"/>
        <w:spacing w:after="60" w:line="240" w:lineRule="auto"/>
      </w:pPr>
      <w:r>
        <w:t xml:space="preserve">La </w:t>
      </w:r>
      <w:r w:rsidRPr="00357E01">
        <w:t xml:space="preserve">Relazione Speciale </w:t>
      </w:r>
      <w:proofErr w:type="gramStart"/>
      <w:r w:rsidRPr="00357E01">
        <w:t>Corte dei Conti</w:t>
      </w:r>
      <w:proofErr w:type="gramEnd"/>
      <w:r w:rsidRPr="00357E01">
        <w:t xml:space="preserve"> Europea</w:t>
      </w:r>
      <w:r>
        <w:rPr>
          <w:rStyle w:val="Rimandonotaapidipagina"/>
        </w:rPr>
        <w:footnoteReference w:id="28"/>
      </w:r>
      <w:r>
        <w:t xml:space="preserve"> evidenzia che i</w:t>
      </w:r>
      <w:r w:rsidRPr="00357E01">
        <w:t>n Italia, dove l’aiuto ai giovani agricoltori è stato erogato sotto forma di pacchetto, la combinazione</w:t>
      </w:r>
      <w:r>
        <w:t xml:space="preserve"> </w:t>
      </w:r>
      <w:r w:rsidRPr="00357E01">
        <w:t>delle misure di insediamento e di investimento ha dato risultati positivi.</w:t>
      </w:r>
      <w:r>
        <w:t xml:space="preserve"> L’Emilia-Romagna, come e</w:t>
      </w:r>
      <w:r w:rsidRPr="00357E01">
        <w:t>sempio di sinergia positiva tra le misure di insediamento e di investimento</w:t>
      </w:r>
      <w:r>
        <w:t>. Infatti, i</w:t>
      </w:r>
      <w:r w:rsidRPr="00357E01">
        <w:t xml:space="preserve"> giovani agricoltori che presentavano domanda per la misura di insediamento venivano incoraggiati a</w:t>
      </w:r>
      <w:r>
        <w:t xml:space="preserve"> </w:t>
      </w:r>
      <w:r w:rsidRPr="00357E01">
        <w:t xml:space="preserve">presentare contemporaneamente </w:t>
      </w:r>
      <w:r>
        <w:t>anche quella</w:t>
      </w:r>
      <w:r w:rsidRPr="00357E01">
        <w:t xml:space="preserve"> di investimento, a causa del maggiore</w:t>
      </w:r>
      <w:r>
        <w:t xml:space="preserve"> </w:t>
      </w:r>
      <w:r w:rsidRPr="00357E01">
        <w:t>importo di aiuti disponibile nel quadro della misura di insediamento (2007-</w:t>
      </w:r>
      <w:r>
        <w:t xml:space="preserve">2013) e dell’assegnazione di un </w:t>
      </w:r>
      <w:r w:rsidRPr="00357E01">
        <w:t>punteggio più elevato che aumentava la possibilità di essere selezionati (2014-2020). Di conseguenza, metà dei richiedenti la misura di insediamento ha ricevuto sostegno</w:t>
      </w:r>
      <w:r>
        <w:t xml:space="preserve"> </w:t>
      </w:r>
      <w:r w:rsidRPr="00357E01">
        <w:t>anche nel quadro della misura di investimento</w:t>
      </w:r>
      <w:r>
        <w:t xml:space="preserve"> andando a costituire, i</w:t>
      </w:r>
      <w:r w:rsidRPr="00357E01">
        <w:t>n media, aziende</w:t>
      </w:r>
      <w:r>
        <w:t xml:space="preserve"> </w:t>
      </w:r>
      <w:r w:rsidRPr="00357E01">
        <w:t>agricole più grandi, più produttive</w:t>
      </w:r>
      <w:r>
        <w:t>,</w:t>
      </w:r>
      <w:r w:rsidRPr="00357E01">
        <w:t xml:space="preserve"> più redditizie e </w:t>
      </w:r>
      <w:r>
        <w:t xml:space="preserve">più </w:t>
      </w:r>
      <w:r w:rsidRPr="00357E01">
        <w:t>innovat</w:t>
      </w:r>
      <w:r>
        <w:t>ive</w:t>
      </w:r>
      <w:r w:rsidRPr="00C662D7">
        <w:rPr>
          <w:vertAlign w:val="superscript"/>
        </w:rPr>
        <w:footnoteReference w:id="29"/>
      </w:r>
      <w:r w:rsidRPr="00357E01">
        <w:t>.</w:t>
      </w:r>
    </w:p>
    <w:p w14:paraId="63093A9E" w14:textId="77777777" w:rsidR="00325025" w:rsidRDefault="00325025" w:rsidP="00325025">
      <w:pPr>
        <w:pBdr>
          <w:top w:val="single" w:sz="12" w:space="1" w:color="0070C0"/>
          <w:left w:val="single" w:sz="12" w:space="4" w:color="0070C0"/>
          <w:bottom w:val="single" w:sz="12" w:space="1" w:color="0070C0"/>
          <w:right w:val="single" w:sz="12" w:space="4" w:color="0070C0"/>
        </w:pBdr>
        <w:autoSpaceDE w:val="0"/>
        <w:autoSpaceDN w:val="0"/>
        <w:adjustRightInd w:val="0"/>
        <w:spacing w:after="0" w:line="240" w:lineRule="auto"/>
      </w:pPr>
      <w:r>
        <w:t>Nella Relazione è evidenziato che l</w:t>
      </w:r>
      <w:r w:rsidRPr="00357E01">
        <w:t>’aiuto fornito dalla misura di insediamento raddoppia la propria efficacia in termini di rapporto</w:t>
      </w:r>
      <w:r>
        <w:t xml:space="preserve"> </w:t>
      </w:r>
      <w:r w:rsidRPr="00357E01">
        <w:t>costi/benefici se erogato congiuntamente alla misura di investimento. Infatti, il rendimento</w:t>
      </w:r>
      <w:r>
        <w:t xml:space="preserve"> </w:t>
      </w:r>
      <w:r w:rsidRPr="00357E01">
        <w:t>dell’aiuto pubblico (misurato come incremento del valore aggiunto lordo annuo delle imprese</w:t>
      </w:r>
      <w:r>
        <w:t xml:space="preserve"> </w:t>
      </w:r>
      <w:r w:rsidRPr="00357E01">
        <w:t>rispetto all’importo dell’aiuto</w:t>
      </w:r>
      <w:r w:rsidRPr="00C662D7">
        <w:rPr>
          <w:vertAlign w:val="superscript"/>
        </w:rPr>
        <w:footnoteReference w:id="30"/>
      </w:r>
      <w:r w:rsidRPr="00357E01">
        <w:t>) è doppio per i beneficiari di entrambe le misure rispetto ai</w:t>
      </w:r>
      <w:r>
        <w:t xml:space="preserve"> </w:t>
      </w:r>
      <w:r w:rsidRPr="00357E01">
        <w:t>beneficiari della sola misura di insediamento.</w:t>
      </w:r>
    </w:p>
    <w:p w14:paraId="73D6B2E2" w14:textId="18A41A77" w:rsidR="00D67BFB" w:rsidRPr="00325025" w:rsidRDefault="00D67BFB" w:rsidP="00325025">
      <w:pPr>
        <w:jc w:val="left"/>
        <w:rPr>
          <w:rFonts w:asciiTheme="majorHAnsi" w:eastAsiaTheme="majorEastAsia" w:hAnsiTheme="majorHAnsi" w:cstheme="majorBidi"/>
          <w:color w:val="243F60" w:themeColor="accent1" w:themeShade="7F"/>
          <w:sz w:val="24"/>
          <w:szCs w:val="24"/>
        </w:rPr>
      </w:pPr>
      <w:bookmarkStart w:id="30" w:name="_Toc22736715"/>
      <w:r w:rsidRPr="00325025">
        <w:rPr>
          <w:rFonts w:asciiTheme="majorHAnsi" w:eastAsiaTheme="majorEastAsia" w:hAnsiTheme="majorHAnsi" w:cstheme="majorBidi"/>
          <w:color w:val="243F60" w:themeColor="accent1" w:themeShade="7F"/>
          <w:sz w:val="24"/>
          <w:szCs w:val="24"/>
        </w:rPr>
        <w:lastRenderedPageBreak/>
        <w:t xml:space="preserve">I </w:t>
      </w:r>
      <w:r w:rsidR="00CE6EE0" w:rsidRPr="00325025">
        <w:rPr>
          <w:rFonts w:asciiTheme="majorHAnsi" w:eastAsiaTheme="majorEastAsia" w:hAnsiTheme="majorHAnsi" w:cstheme="majorBidi"/>
          <w:color w:val="243F60" w:themeColor="accent1" w:themeShade="7F"/>
          <w:sz w:val="24"/>
          <w:szCs w:val="24"/>
        </w:rPr>
        <w:t>principali aspetti</w:t>
      </w:r>
      <w:r w:rsidRPr="00325025">
        <w:rPr>
          <w:rFonts w:asciiTheme="majorHAnsi" w:eastAsiaTheme="majorEastAsia" w:hAnsiTheme="majorHAnsi" w:cstheme="majorBidi"/>
          <w:color w:val="243F60" w:themeColor="accent1" w:themeShade="7F"/>
          <w:sz w:val="24"/>
          <w:szCs w:val="24"/>
        </w:rPr>
        <w:t xml:space="preserve"> I Pilastro</w:t>
      </w:r>
      <w:bookmarkEnd w:id="30"/>
    </w:p>
    <w:p w14:paraId="0CD2F005" w14:textId="5D6CA58F" w:rsidR="00830E4C" w:rsidRDefault="00830E4C" w:rsidP="00E347BE">
      <w:pPr>
        <w:pStyle w:val="Paragrafoelenco"/>
        <w:numPr>
          <w:ilvl w:val="0"/>
          <w:numId w:val="40"/>
        </w:numPr>
        <w:spacing w:after="120" w:line="240" w:lineRule="auto"/>
        <w:contextualSpacing w:val="0"/>
      </w:pPr>
      <w:r>
        <w:t>Alla misura di primo insediamento si è aggiunto a partire dal 2014 il pagamento per i giovani agricoltori nell’ambito del I Pilastro.</w:t>
      </w:r>
    </w:p>
    <w:p w14:paraId="134EB042" w14:textId="77777777" w:rsidR="00830E4C" w:rsidRDefault="00830E4C" w:rsidP="00E347BE">
      <w:pPr>
        <w:pStyle w:val="Paragrafoelenco"/>
        <w:numPr>
          <w:ilvl w:val="0"/>
          <w:numId w:val="40"/>
        </w:numPr>
        <w:spacing w:after="120" w:line="240" w:lineRule="auto"/>
        <w:contextualSpacing w:val="0"/>
      </w:pPr>
      <w:r>
        <w:t xml:space="preserve">Quest’ultimo rappresenta una vera novità. Per la prima volta la Commissione incentiva l’imprenditoria giovanile in agricoltura introducendo un pagamento disaccoppiato obbligatorio ai giovani agricoltori “attivi” con età inferiore ai 40 anni che si insediano o si sono insediati come capo azienda entro i cinque anni precedenti la domanda per il pagamento di base. </w:t>
      </w:r>
    </w:p>
    <w:p w14:paraId="4CCC8F8B" w14:textId="77777777" w:rsidR="00830E4C" w:rsidRDefault="00830E4C" w:rsidP="00E347BE">
      <w:pPr>
        <w:pStyle w:val="Paragrafoelenco"/>
        <w:numPr>
          <w:ilvl w:val="0"/>
          <w:numId w:val="40"/>
        </w:numPr>
        <w:spacing w:after="120" w:line="240" w:lineRule="auto"/>
        <w:contextualSpacing w:val="0"/>
      </w:pPr>
      <w:r>
        <w:t xml:space="preserve">Il pagamento supplementare si basa sul presupposto che i giovani agricoltori all’inizio della loro attività debbano affrontare numerosi impegni finanziari. </w:t>
      </w:r>
    </w:p>
    <w:p w14:paraId="5EABB0D8" w14:textId="77777777" w:rsidR="00830E4C" w:rsidRDefault="00830E4C" w:rsidP="00E347BE">
      <w:pPr>
        <w:pStyle w:val="Paragrafoelenco"/>
        <w:numPr>
          <w:ilvl w:val="0"/>
          <w:numId w:val="40"/>
        </w:numPr>
        <w:spacing w:after="120" w:line="240" w:lineRule="auto"/>
        <w:contextualSpacing w:val="0"/>
      </w:pPr>
      <w:r>
        <w:t xml:space="preserve">L’erogazione del pagamento è annuale e per una durata massima di cinque anni. L’ammontare del pagamento viene calcolato come percentuale (25%) del valore medio dei titoli fino ad un massimo di 90 ha. Una serie di modifiche migliorative relativamente al calcolo del premio sono state introdotte con il così detto regolamento Omnibus (regolamento (UE)2017-2393). </w:t>
      </w:r>
    </w:p>
    <w:p w14:paraId="7BAC3724" w14:textId="77777777" w:rsidR="00830E4C" w:rsidRDefault="00830E4C" w:rsidP="00E347BE">
      <w:pPr>
        <w:pStyle w:val="Paragrafoelenco"/>
        <w:numPr>
          <w:ilvl w:val="0"/>
          <w:numId w:val="40"/>
        </w:numPr>
        <w:spacing w:after="120" w:line="240" w:lineRule="auto"/>
        <w:contextualSpacing w:val="0"/>
      </w:pPr>
      <w:r>
        <w:t>Prendendo in considerazione il massimale fissato dall’art.51 del Regolamento UE 1307/2013, si registrano percentuali di utilizzazione inferiori ai massimali disponibili. Il pagamento supplementare per i giovani agricoltori abbia interessato 24.611 beneficiari nel 2015 per una spesa complessiva pari a 30.255.361 euro (circa l’80% del massimale disponibile pari a 39.020.390 euro). Il pagamento medio è stato quindi di poco superiore ai 1.200 euro per beneficiario.</w:t>
      </w:r>
    </w:p>
    <w:p w14:paraId="18CC56C4" w14:textId="77777777" w:rsidR="00830E4C" w:rsidRDefault="00830E4C" w:rsidP="00E347BE">
      <w:pPr>
        <w:pStyle w:val="Paragrafoelenco"/>
        <w:numPr>
          <w:ilvl w:val="0"/>
          <w:numId w:val="40"/>
        </w:numPr>
        <w:spacing w:after="120" w:line="240" w:lineRule="auto"/>
        <w:contextualSpacing w:val="0"/>
      </w:pPr>
      <w:r>
        <w:t xml:space="preserve">Nel 2016 e nel 2017 i massimali teorici, ossia secondo il limite del 2% di cui all’art. 51 par. 1 del Regolamento UE 1307/2013 risultavano rispettivamente di 70.016.000 e 75.991.000 euro, mentre quelli determinati dalla scelta nazionale di cui all’art. 51 par. 4 del medesimo Regolamento (1% per l’Italia) sono stati rispettivamente 38.508.000 e 37.995.000 euro. I dati della spesa relativi al 2016 e al 2017, come da dichiarazione annuale resa dopo la chiusura, riportano una spesa per tale specifico aiuto pari a 37.459.284 e 35.731.539 euro. Hanno beneficiato del pagamento 29.179 giovani agricoltori nel 2016 e 34.696 nel 2017 percependo importi medi rispettivamente pari a 1.283 e 1.029 euro.   </w:t>
      </w:r>
    </w:p>
    <w:p w14:paraId="7E59912F" w14:textId="72296C40" w:rsidR="00830E4C" w:rsidRDefault="00830E4C" w:rsidP="002D1C1F">
      <w:pPr>
        <w:pStyle w:val="Paragrafoelenco"/>
        <w:numPr>
          <w:ilvl w:val="0"/>
          <w:numId w:val="6"/>
        </w:numPr>
        <w:spacing w:after="120" w:line="240" w:lineRule="auto"/>
        <w:ind w:left="714" w:hanging="357"/>
        <w:contextualSpacing w:val="0"/>
      </w:pPr>
      <w:r w:rsidRPr="000D1ADA">
        <w:t>La relazione speciale della Corte dei conti europea (2017)</w:t>
      </w:r>
      <w:r>
        <w:t xml:space="preserve"> evidenzia che n</w:t>
      </w:r>
      <w:r w:rsidRPr="000D1ADA">
        <w:t>onostante il pagamento per i giovani agricoltori costituisca politicamente un segnale di grande attenzione nei confronti del problema dell’insediamento giovanile da un punto di vista pratico il reale beneficio per il giovane agricoltore in termini di sostegno al reddito è molto limitato e vago. Il metodo di calcolo in Italia è basato sul valore medio dei diritti detenuti dall’agricoltore che, evidentemente, genera un trattamento variabile che premia lo status di giovane agricoltore in modo differente tenendo conto del valore dei titoli storici invece che della condizione anagrafica (Frascarelli e Pupo D’Andrea, 2014). Infine, andrebbero analizzati gli effetti di tale pagamento in termini di distribuzione geografica e di comparto. È, infatti, plausibile che le risorse distribuite attraverso questo strumento finiscano per concentrarsi in territori già caratterizzati da una forte presenza giovanile e in comparti ad alto valore aggiunto e che, quindi, avrebbero sicuramente meno bisogno di un sostegno.</w:t>
      </w:r>
    </w:p>
    <w:p w14:paraId="30E4717D" w14:textId="78BF3B2B" w:rsidR="00830E4C" w:rsidRDefault="00830E4C" w:rsidP="002D1C1F">
      <w:pPr>
        <w:pStyle w:val="Paragrafoelenco"/>
        <w:spacing w:after="120" w:line="240" w:lineRule="auto"/>
        <w:contextualSpacing w:val="0"/>
      </w:pPr>
      <w:r>
        <w:br w:type="page"/>
      </w:r>
    </w:p>
    <w:p w14:paraId="5B4DD702" w14:textId="77777777" w:rsidR="006D6B0D" w:rsidRPr="006D6B0D" w:rsidRDefault="006D6B0D" w:rsidP="006D6B0D">
      <w:pPr>
        <w:pStyle w:val="Paragrafoelenco"/>
        <w:spacing w:after="120"/>
      </w:pPr>
    </w:p>
    <w:p w14:paraId="0C3492E1" w14:textId="432EB146" w:rsidR="00881311" w:rsidRDefault="005D2F94" w:rsidP="000C7F95">
      <w:pPr>
        <w:pStyle w:val="Titolo1"/>
        <w:numPr>
          <w:ilvl w:val="0"/>
          <w:numId w:val="10"/>
        </w:numPr>
      </w:pPr>
      <w:bookmarkStart w:id="31" w:name="_Toc22736716"/>
      <w:r>
        <w:t>Riepilogo degli indicatori</w:t>
      </w:r>
      <w:bookmarkEnd w:id="31"/>
      <w:r>
        <w:t xml:space="preserve"> </w:t>
      </w:r>
    </w:p>
    <w:tbl>
      <w:tblPr>
        <w:tblStyle w:val="Grigliatabella"/>
        <w:tblW w:w="0" w:type="auto"/>
        <w:tblLook w:val="04A0" w:firstRow="1" w:lastRow="0" w:firstColumn="1" w:lastColumn="0" w:noHBand="0" w:noVBand="1"/>
      </w:tblPr>
      <w:tblGrid>
        <w:gridCol w:w="3209"/>
        <w:gridCol w:w="1606"/>
        <w:gridCol w:w="1701"/>
        <w:gridCol w:w="1701"/>
      </w:tblGrid>
      <w:tr w:rsidR="003D0A7C" w14:paraId="23ACA834" w14:textId="77777777" w:rsidTr="00230572">
        <w:tc>
          <w:tcPr>
            <w:tcW w:w="3209" w:type="dxa"/>
          </w:tcPr>
          <w:p w14:paraId="57F37EE1" w14:textId="77777777" w:rsidR="003D0A7C" w:rsidRDefault="003D0A7C" w:rsidP="003D0A7C">
            <w:r>
              <w:t>Indicatore</w:t>
            </w:r>
          </w:p>
        </w:tc>
        <w:tc>
          <w:tcPr>
            <w:tcW w:w="1606" w:type="dxa"/>
          </w:tcPr>
          <w:p w14:paraId="33575FF8" w14:textId="77777777" w:rsidR="003D0A7C" w:rsidRDefault="003D0A7C" w:rsidP="003D0A7C">
            <w:r>
              <w:t>Fonte</w:t>
            </w:r>
          </w:p>
        </w:tc>
        <w:tc>
          <w:tcPr>
            <w:tcW w:w="1701" w:type="dxa"/>
          </w:tcPr>
          <w:p w14:paraId="3A098BF4" w14:textId="77777777" w:rsidR="003D0A7C" w:rsidRDefault="003D0A7C" w:rsidP="003D0A7C">
            <w:r>
              <w:t>Link DG Agri</w:t>
            </w:r>
          </w:p>
        </w:tc>
        <w:tc>
          <w:tcPr>
            <w:tcW w:w="1701" w:type="dxa"/>
          </w:tcPr>
          <w:p w14:paraId="1B4AE7D5" w14:textId="77777777" w:rsidR="003D0A7C" w:rsidRDefault="003D0A7C" w:rsidP="003D0A7C">
            <w:r>
              <w:t>Link RRN</w:t>
            </w:r>
            <w:r w:rsidR="00E66E1A">
              <w:t xml:space="preserve"> </w:t>
            </w:r>
          </w:p>
        </w:tc>
      </w:tr>
      <w:tr w:rsidR="008A1B42" w14:paraId="0F8BB231" w14:textId="77777777" w:rsidTr="00230572">
        <w:tc>
          <w:tcPr>
            <w:tcW w:w="3209" w:type="dxa"/>
          </w:tcPr>
          <w:p w14:paraId="0906294E" w14:textId="79F48D8F" w:rsidR="008A1B42" w:rsidRPr="00DA4C59" w:rsidRDefault="008A1B42" w:rsidP="008A1B42">
            <w:pPr>
              <w:rPr>
                <w:lang w:val="en-GB"/>
              </w:rPr>
            </w:pPr>
            <w:r w:rsidRPr="00DA4C59">
              <w:rPr>
                <w:lang w:val="en-GB"/>
              </w:rPr>
              <w:t>C.14 Age structure of farm managers</w:t>
            </w:r>
          </w:p>
        </w:tc>
        <w:tc>
          <w:tcPr>
            <w:tcW w:w="1606" w:type="dxa"/>
          </w:tcPr>
          <w:p w14:paraId="4C6B46CA" w14:textId="6F7F1953" w:rsidR="008A1B42" w:rsidRDefault="008A1B42" w:rsidP="0047196D">
            <w:r>
              <w:t xml:space="preserve">Eurostat, Istat </w:t>
            </w:r>
          </w:p>
        </w:tc>
        <w:tc>
          <w:tcPr>
            <w:tcW w:w="1701" w:type="dxa"/>
          </w:tcPr>
          <w:p w14:paraId="4A8788BA" w14:textId="77777777" w:rsidR="008A1B42" w:rsidRDefault="008A1B42" w:rsidP="008A1B42"/>
        </w:tc>
        <w:tc>
          <w:tcPr>
            <w:tcW w:w="1701" w:type="dxa"/>
          </w:tcPr>
          <w:p w14:paraId="4C951D23" w14:textId="77777777" w:rsidR="008A1B42" w:rsidRDefault="008A1B42" w:rsidP="008A1B42"/>
        </w:tc>
      </w:tr>
      <w:tr w:rsidR="008A1B42" w14:paraId="70F641DB" w14:textId="77777777" w:rsidTr="00230572">
        <w:tc>
          <w:tcPr>
            <w:tcW w:w="3209" w:type="dxa"/>
          </w:tcPr>
          <w:p w14:paraId="31BD93DB" w14:textId="0DE944E1" w:rsidR="008A1B42" w:rsidRPr="00DA4C59" w:rsidRDefault="008A1B42" w:rsidP="008A1B42">
            <w:pPr>
              <w:rPr>
                <w:lang w:val="en-GB"/>
              </w:rPr>
            </w:pPr>
            <w:r w:rsidRPr="00DA4C59">
              <w:rPr>
                <w:lang w:val="en-GB"/>
              </w:rPr>
              <w:t>C. 15 Agricultural training of farm managers</w:t>
            </w:r>
          </w:p>
        </w:tc>
        <w:tc>
          <w:tcPr>
            <w:tcW w:w="1606" w:type="dxa"/>
          </w:tcPr>
          <w:p w14:paraId="50DDFE8A" w14:textId="4DF15AD5" w:rsidR="008A1B42" w:rsidRDefault="008A1B42" w:rsidP="008A1B42">
            <w:r>
              <w:t>Eurostat, Istat</w:t>
            </w:r>
          </w:p>
        </w:tc>
        <w:tc>
          <w:tcPr>
            <w:tcW w:w="1701" w:type="dxa"/>
          </w:tcPr>
          <w:p w14:paraId="6F7AE6FF" w14:textId="77777777" w:rsidR="008A1B42" w:rsidRDefault="008A1B42" w:rsidP="008A1B42"/>
        </w:tc>
        <w:tc>
          <w:tcPr>
            <w:tcW w:w="1701" w:type="dxa"/>
          </w:tcPr>
          <w:p w14:paraId="58FCAFEF" w14:textId="77777777" w:rsidR="008A1B42" w:rsidRDefault="008A1B42" w:rsidP="008A1B42"/>
        </w:tc>
      </w:tr>
      <w:tr w:rsidR="008A1B42" w:rsidRPr="00A90F65" w14:paraId="371F26A1" w14:textId="77777777" w:rsidTr="00230572">
        <w:tc>
          <w:tcPr>
            <w:tcW w:w="3209" w:type="dxa"/>
          </w:tcPr>
          <w:p w14:paraId="32496D30" w14:textId="3F98C014" w:rsidR="008A1B42" w:rsidRPr="00DA4C59" w:rsidRDefault="008A1B42" w:rsidP="008A1B42">
            <w:pPr>
              <w:rPr>
                <w:lang w:val="en-GB"/>
              </w:rPr>
            </w:pPr>
            <w:r w:rsidRPr="00DA4C59">
              <w:rPr>
                <w:lang w:val="en-GB"/>
              </w:rPr>
              <w:t xml:space="preserve">C.16 - I.21 Attracting young farmers: Evaluation of number of new farmers </w:t>
            </w:r>
          </w:p>
        </w:tc>
        <w:tc>
          <w:tcPr>
            <w:tcW w:w="1606" w:type="dxa"/>
          </w:tcPr>
          <w:p w14:paraId="45EEA361" w14:textId="539C7C50" w:rsidR="008A1B42" w:rsidRPr="00DA4C59" w:rsidRDefault="008A1B42" w:rsidP="008A1B42">
            <w:pPr>
              <w:rPr>
                <w:lang w:val="en-GB"/>
              </w:rPr>
            </w:pPr>
          </w:p>
        </w:tc>
        <w:tc>
          <w:tcPr>
            <w:tcW w:w="1701" w:type="dxa"/>
          </w:tcPr>
          <w:p w14:paraId="6EFE8B04" w14:textId="77777777" w:rsidR="008A1B42" w:rsidRPr="00DA4C59" w:rsidRDefault="008A1B42" w:rsidP="008A1B42">
            <w:pPr>
              <w:rPr>
                <w:lang w:val="en-GB"/>
              </w:rPr>
            </w:pPr>
          </w:p>
        </w:tc>
        <w:tc>
          <w:tcPr>
            <w:tcW w:w="1701" w:type="dxa"/>
          </w:tcPr>
          <w:p w14:paraId="3627FCEF" w14:textId="77777777" w:rsidR="008A1B42" w:rsidRPr="00DA4C59" w:rsidRDefault="008A1B42" w:rsidP="008A1B42">
            <w:pPr>
              <w:rPr>
                <w:lang w:val="en-GB"/>
              </w:rPr>
            </w:pPr>
          </w:p>
        </w:tc>
      </w:tr>
    </w:tbl>
    <w:p w14:paraId="5AAEF7C3" w14:textId="5E98E53D" w:rsidR="003D0A7C" w:rsidRPr="00DA4C59" w:rsidRDefault="003D0A7C" w:rsidP="003D0A7C">
      <w:pPr>
        <w:rPr>
          <w:lang w:val="en-GB"/>
        </w:rPr>
      </w:pPr>
    </w:p>
    <w:p w14:paraId="2A9F306D" w14:textId="1B06CA2C" w:rsidR="00830E4C" w:rsidRDefault="00830E4C" w:rsidP="003D0A7C">
      <w:pPr>
        <w:rPr>
          <w:lang w:val="en-GB"/>
        </w:rPr>
      </w:pPr>
      <w:r>
        <w:rPr>
          <w:lang w:val="en-GB"/>
        </w:rPr>
        <w:br w:type="page"/>
      </w:r>
    </w:p>
    <w:p w14:paraId="70F03425" w14:textId="6461C846" w:rsidR="001E271D" w:rsidRDefault="001E271D" w:rsidP="001E271D">
      <w:pPr>
        <w:pStyle w:val="Titolo1"/>
      </w:pPr>
      <w:bookmarkStart w:id="32" w:name="_Toc22736717"/>
      <w:r>
        <w:lastRenderedPageBreak/>
        <w:t>Bibliografia e documentazione utile</w:t>
      </w:r>
      <w:bookmarkEnd w:id="32"/>
    </w:p>
    <w:p w14:paraId="10FC0033" w14:textId="26BFE7B2" w:rsidR="00E46C1B" w:rsidRPr="00DA4C59" w:rsidRDefault="00AA2698" w:rsidP="002D1C1F">
      <w:pPr>
        <w:spacing w:after="120" w:line="240" w:lineRule="auto"/>
        <w:rPr>
          <w:rFonts w:cstheme="minorHAnsi"/>
        </w:rPr>
      </w:pPr>
      <w:r w:rsidRPr="00DA4C59">
        <w:rPr>
          <w:rFonts w:cstheme="minorHAnsi"/>
        </w:rPr>
        <w:t>Ascione E., Zanetti B. (2018), L’insedi</w:t>
      </w:r>
      <w:r w:rsidR="00691375">
        <w:rPr>
          <w:rFonts w:cstheme="minorHAnsi"/>
        </w:rPr>
        <w:t>a</w:t>
      </w:r>
      <w:r w:rsidRPr="00DA4C59">
        <w:rPr>
          <w:rFonts w:cstheme="minorHAnsi"/>
        </w:rPr>
        <w:t xml:space="preserve">mento di nuovi giovani agricoltori in </w:t>
      </w:r>
      <w:r w:rsidRPr="00DA4C59">
        <w:rPr>
          <w:rFonts w:cstheme="minorHAnsi"/>
          <w:i/>
        </w:rPr>
        <w:t xml:space="preserve">Gli effetti della politica rurale 2007-2013.Il bilancio dell’esperienza, </w:t>
      </w:r>
      <w:r w:rsidRPr="00DA4C59">
        <w:rPr>
          <w:rFonts w:cstheme="minorHAnsi"/>
        </w:rPr>
        <w:t>RRN</w:t>
      </w:r>
    </w:p>
    <w:p w14:paraId="0670FA4F" w14:textId="5BC43397" w:rsidR="00AA2698" w:rsidRPr="00DA4C59" w:rsidRDefault="00E46C1B" w:rsidP="002D1C1F">
      <w:pPr>
        <w:spacing w:after="120" w:line="240" w:lineRule="auto"/>
        <w:rPr>
          <w:rFonts w:cstheme="minorHAnsi"/>
        </w:rPr>
      </w:pPr>
      <w:r w:rsidRPr="00E46C1B">
        <w:t xml:space="preserve"> </w:t>
      </w:r>
      <w:hyperlink r:id="rId36" w:history="1">
        <w:r w:rsidRPr="00E46C1B">
          <w:rPr>
            <w:color w:val="0000FF"/>
            <w:u w:val="single"/>
          </w:rPr>
          <w:t>https://www.reterurale.it/flex/cm/pages/ServeBLOB.php/L/IT/IDPagina/19825</w:t>
        </w:r>
      </w:hyperlink>
    </w:p>
    <w:p w14:paraId="53BEBE14" w14:textId="65EEF09D" w:rsidR="001E271D" w:rsidRPr="00DA4C59" w:rsidRDefault="001E271D" w:rsidP="002D1C1F">
      <w:pPr>
        <w:spacing w:after="120" w:line="240" w:lineRule="auto"/>
        <w:rPr>
          <w:rFonts w:cstheme="minorHAnsi"/>
          <w:i/>
          <w:lang w:val="en-GB"/>
        </w:rPr>
      </w:pPr>
      <w:proofErr w:type="spellStart"/>
      <w:r w:rsidRPr="00DA4C59">
        <w:rPr>
          <w:rFonts w:cstheme="minorHAnsi"/>
          <w:lang w:val="en-GB"/>
        </w:rPr>
        <w:t>Commissione</w:t>
      </w:r>
      <w:proofErr w:type="spellEnd"/>
      <w:r w:rsidRPr="00DA4C59">
        <w:rPr>
          <w:rFonts w:cstheme="minorHAnsi"/>
          <w:lang w:val="en-GB"/>
        </w:rPr>
        <w:t xml:space="preserve"> </w:t>
      </w:r>
      <w:proofErr w:type="spellStart"/>
      <w:r w:rsidRPr="00DA4C59">
        <w:rPr>
          <w:rFonts w:cstheme="minorHAnsi"/>
          <w:lang w:val="en-GB"/>
        </w:rPr>
        <w:t>Europea</w:t>
      </w:r>
      <w:proofErr w:type="spellEnd"/>
      <w:r w:rsidRPr="00DA4C59">
        <w:rPr>
          <w:rFonts w:cstheme="minorHAnsi"/>
          <w:lang w:val="en-GB"/>
        </w:rPr>
        <w:t xml:space="preserve"> (2015) </w:t>
      </w:r>
      <w:r w:rsidRPr="00DA4C59">
        <w:rPr>
          <w:rFonts w:cstheme="minorHAnsi"/>
          <w:i/>
          <w:lang w:val="en-GB"/>
        </w:rPr>
        <w:t xml:space="preserve">Needs of young farmers, </w:t>
      </w:r>
      <w:r w:rsidR="00691375" w:rsidRPr="00DA4C59">
        <w:rPr>
          <w:rFonts w:cstheme="minorHAnsi"/>
          <w:lang w:val="en-GB"/>
        </w:rPr>
        <w:t>November</w:t>
      </w:r>
      <w:r w:rsidRPr="00DA4C59">
        <w:rPr>
          <w:rFonts w:cstheme="minorHAnsi"/>
          <w:lang w:val="en-GB"/>
        </w:rPr>
        <w:t xml:space="preserve"> 2015</w:t>
      </w:r>
      <w:r w:rsidRPr="00DA4C59">
        <w:rPr>
          <w:rFonts w:cstheme="minorHAnsi"/>
          <w:i/>
          <w:lang w:val="en-GB"/>
        </w:rPr>
        <w:t>.</w:t>
      </w:r>
    </w:p>
    <w:p w14:paraId="578EE5B2" w14:textId="49892DCA" w:rsidR="001E271D" w:rsidRPr="00DA4C59" w:rsidRDefault="00CE0814" w:rsidP="002D1C1F">
      <w:pPr>
        <w:spacing w:after="120" w:line="240" w:lineRule="auto"/>
        <w:rPr>
          <w:rFonts w:cstheme="minorHAnsi"/>
          <w:lang w:val="en-GB"/>
        </w:rPr>
      </w:pPr>
      <w:hyperlink r:id="rId37" w:history="1">
        <w:r w:rsidR="00802692" w:rsidRPr="00DA4C59">
          <w:rPr>
            <w:rStyle w:val="Collegamentoipertestuale"/>
            <w:lang w:val="en-GB"/>
          </w:rPr>
          <w:t>https://ec.europa.eu/agriculture/sites/agriculture/files/external-studies/2015/young-farmers/final-report-1_en.pdf</w:t>
        </w:r>
      </w:hyperlink>
    </w:p>
    <w:p w14:paraId="200ED51A" w14:textId="46AA1D36" w:rsidR="001E271D" w:rsidRDefault="001E271D" w:rsidP="002D1C1F">
      <w:pPr>
        <w:spacing w:after="120" w:line="240" w:lineRule="auto"/>
        <w:rPr>
          <w:rFonts w:cstheme="minorHAnsi"/>
        </w:rPr>
      </w:pPr>
      <w:r w:rsidRPr="00BB11B6">
        <w:rPr>
          <w:rFonts w:cstheme="minorHAnsi"/>
        </w:rPr>
        <w:t xml:space="preserve">Commissione Europea (2017), </w:t>
      </w:r>
      <w:r w:rsidRPr="00BB11B6">
        <w:rPr>
          <w:rFonts w:cstheme="minorHAnsi"/>
          <w:i/>
        </w:rPr>
        <w:t>Il futuro dell’alimentazione e dell’agricoltura</w:t>
      </w:r>
      <w:r w:rsidRPr="00BB11B6">
        <w:rPr>
          <w:rFonts w:cstheme="minorHAnsi"/>
        </w:rPr>
        <w:t xml:space="preserve">, Comunicazione della Commissione al Parlamento Europeo, al Consiglio, al Comitato Economico e sociale europeo e al Comitato delle Regioni, Bruxelles, 29.11.2017 COM (2017) 713 </w:t>
      </w:r>
      <w:proofErr w:type="spellStart"/>
      <w:r w:rsidRPr="00BB11B6">
        <w:rPr>
          <w:rFonts w:cstheme="minorHAnsi"/>
        </w:rPr>
        <w:t>final</w:t>
      </w:r>
      <w:proofErr w:type="spellEnd"/>
      <w:r w:rsidRPr="00BB11B6">
        <w:rPr>
          <w:rFonts w:cstheme="minorHAnsi"/>
        </w:rPr>
        <w:t>.</w:t>
      </w:r>
    </w:p>
    <w:p w14:paraId="072F7524" w14:textId="109F539E" w:rsidR="00802692" w:rsidRPr="00BB11B6" w:rsidRDefault="00CE0814" w:rsidP="002D1C1F">
      <w:pPr>
        <w:spacing w:after="120" w:line="240" w:lineRule="auto"/>
        <w:rPr>
          <w:rFonts w:cstheme="minorHAnsi"/>
        </w:rPr>
      </w:pPr>
      <w:hyperlink r:id="rId38" w:history="1">
        <w:r w:rsidR="00393F74" w:rsidRPr="009064A2">
          <w:rPr>
            <w:rStyle w:val="Collegamentoipertestuale"/>
          </w:rPr>
          <w:t>https://ec.europa.eu/agriculture/sites/agriculture/files/future-of-cap/future_of_food_and_farming_communication_it.pdf</w:t>
        </w:r>
      </w:hyperlink>
    </w:p>
    <w:p w14:paraId="73C140F8" w14:textId="77777777" w:rsidR="001E271D" w:rsidRPr="00BB11B6" w:rsidRDefault="001E271D" w:rsidP="002D1C1F">
      <w:pPr>
        <w:pStyle w:val="Elenco"/>
        <w:numPr>
          <w:ilvl w:val="0"/>
          <w:numId w:val="0"/>
        </w:numPr>
        <w:spacing w:after="120"/>
        <w:rPr>
          <w:rFonts w:asciiTheme="minorHAnsi" w:eastAsiaTheme="minorHAnsi" w:hAnsiTheme="minorHAnsi" w:cstheme="minorHAnsi"/>
          <w:color w:val="auto"/>
          <w:sz w:val="22"/>
          <w:szCs w:val="22"/>
          <w:lang w:eastAsia="en-US"/>
        </w:rPr>
      </w:pPr>
      <w:r w:rsidRPr="00BB11B6">
        <w:rPr>
          <w:rFonts w:asciiTheme="minorHAnsi" w:eastAsiaTheme="minorHAnsi" w:hAnsiTheme="minorHAnsi" w:cstheme="minorHAnsi"/>
          <w:color w:val="auto"/>
          <w:sz w:val="22"/>
          <w:szCs w:val="22"/>
          <w:lang w:eastAsia="en-US"/>
        </w:rPr>
        <w:t>Commissione Europea (2015)</w:t>
      </w:r>
    </w:p>
    <w:p w14:paraId="57E65936" w14:textId="77777777" w:rsidR="001E271D" w:rsidRPr="00BB11B6" w:rsidRDefault="00CE0814" w:rsidP="002D1C1F">
      <w:pPr>
        <w:pStyle w:val="Elenco"/>
        <w:numPr>
          <w:ilvl w:val="0"/>
          <w:numId w:val="0"/>
        </w:numPr>
        <w:spacing w:after="120"/>
        <w:rPr>
          <w:rStyle w:val="Collegamentoipertestuale"/>
          <w:rFonts w:asciiTheme="minorHAnsi" w:hAnsiTheme="minorHAnsi" w:cstheme="minorHAnsi"/>
          <w:sz w:val="22"/>
          <w:szCs w:val="22"/>
          <w:lang w:eastAsia="en-US"/>
        </w:rPr>
      </w:pPr>
      <w:hyperlink r:id="rId39" w:history="1">
        <w:r w:rsidR="001E271D" w:rsidRPr="00BB11B6">
          <w:rPr>
            <w:rStyle w:val="Collegamentoipertestuale"/>
            <w:rFonts w:asciiTheme="minorHAnsi" w:hAnsiTheme="minorHAnsi" w:cstheme="minorHAnsi"/>
            <w:sz w:val="22"/>
            <w:szCs w:val="22"/>
            <w:lang w:eastAsia="en-US"/>
          </w:rPr>
          <w:t>http://ec.europa.eu/agriculture/50-years-ofcap/files/history/history_book_lr_it.pdf</w:t>
        </w:r>
      </w:hyperlink>
    </w:p>
    <w:p w14:paraId="0A38AF59" w14:textId="77777777" w:rsidR="001E271D" w:rsidRPr="00BB11B6" w:rsidRDefault="001E271D" w:rsidP="002D1C1F">
      <w:pPr>
        <w:spacing w:after="120" w:line="240" w:lineRule="auto"/>
        <w:rPr>
          <w:rFonts w:cstheme="minorHAnsi"/>
          <w:color w:val="0563C1"/>
          <w:u w:val="single"/>
        </w:rPr>
      </w:pPr>
      <w:proofErr w:type="gramStart"/>
      <w:r w:rsidRPr="00BB11B6">
        <w:rPr>
          <w:rFonts w:cstheme="minorHAnsi"/>
        </w:rPr>
        <w:t>Corte dei Conti</w:t>
      </w:r>
      <w:proofErr w:type="gramEnd"/>
      <w:r w:rsidRPr="00BB11B6">
        <w:rPr>
          <w:rFonts w:cstheme="minorHAnsi"/>
        </w:rPr>
        <w:t xml:space="preserve"> Europea (2017b), </w:t>
      </w:r>
      <w:r w:rsidRPr="00BB11B6">
        <w:rPr>
          <w:rFonts w:cstheme="minorHAnsi"/>
          <w:i/>
        </w:rPr>
        <w:t>Rendere più mirato il sostegno dell’UE ai giovani agricoltori per promuovere efficacemente il ricambio generazionale</w:t>
      </w:r>
      <w:r w:rsidRPr="00BB11B6">
        <w:rPr>
          <w:rFonts w:cstheme="minorHAnsi"/>
        </w:rPr>
        <w:t xml:space="preserve">, Relazione speciale n. 10/2017, Luxembourg, 2017 </w:t>
      </w:r>
      <w:hyperlink r:id="rId40" w:history="1">
        <w:r w:rsidRPr="00BB11B6">
          <w:rPr>
            <w:rStyle w:val="Collegamentoipertestuale"/>
            <w:rFonts w:cstheme="minorHAnsi"/>
          </w:rPr>
          <w:t>http://www.eca.europa.eu/it/Pages/DocItem.aspx?did=41529</w:t>
        </w:r>
      </w:hyperlink>
      <w:r>
        <w:rPr>
          <w:rStyle w:val="Collegamentoipertestuale"/>
          <w:rFonts w:cstheme="minorHAnsi"/>
        </w:rPr>
        <w:t>)</w:t>
      </w:r>
    </w:p>
    <w:p w14:paraId="43C22AD1" w14:textId="23153377" w:rsidR="001E271D" w:rsidRDefault="001E271D" w:rsidP="002D1C1F">
      <w:pPr>
        <w:autoSpaceDE w:val="0"/>
        <w:autoSpaceDN w:val="0"/>
        <w:adjustRightInd w:val="0"/>
        <w:spacing w:after="120" w:line="240" w:lineRule="auto"/>
        <w:rPr>
          <w:rStyle w:val="Collegamentoipertestuale"/>
          <w:rFonts w:cstheme="minorHAnsi"/>
          <w:color w:val="auto"/>
          <w:u w:val="none"/>
        </w:rPr>
      </w:pPr>
      <w:proofErr w:type="gramStart"/>
      <w:r w:rsidRPr="00AA2698">
        <w:rPr>
          <w:rStyle w:val="Collegamentoipertestuale"/>
          <w:rFonts w:cstheme="minorHAnsi"/>
          <w:color w:val="auto"/>
          <w:u w:val="none"/>
        </w:rPr>
        <w:t>Corte dei Conti</w:t>
      </w:r>
      <w:proofErr w:type="gramEnd"/>
      <w:r w:rsidRPr="00AA2698">
        <w:rPr>
          <w:rStyle w:val="Collegamentoipertestuale"/>
          <w:rFonts w:cstheme="minorHAnsi"/>
          <w:color w:val="auto"/>
          <w:u w:val="none"/>
        </w:rPr>
        <w:t xml:space="preserve"> – Sezione di Controllo per gli Affari Comunitari ed Internazionali. Relazione Speciale su: Il sostegno dell’UE al ricambio generazionale in agricoltura e all’imprenditoria giovanile. Deliberazione n. 13/2018 </w:t>
      </w:r>
    </w:p>
    <w:p w14:paraId="7F641EEA" w14:textId="0A0CAFAD" w:rsidR="00BB3879" w:rsidRDefault="00CE0814" w:rsidP="002D1C1F">
      <w:pPr>
        <w:autoSpaceDE w:val="0"/>
        <w:autoSpaceDN w:val="0"/>
        <w:adjustRightInd w:val="0"/>
        <w:spacing w:after="120" w:line="240" w:lineRule="auto"/>
      </w:pPr>
      <w:hyperlink r:id="rId41" w:history="1">
        <w:r w:rsidR="00802692">
          <w:rPr>
            <w:rStyle w:val="Collegamentoipertestuale"/>
          </w:rPr>
          <w:t>https://www.eca.europa.eu/Lists/ECADocuments/SR17_10/SR_YOUNG_FARMERS_IT.pdf</w:t>
        </w:r>
      </w:hyperlink>
    </w:p>
    <w:p w14:paraId="0AF16E11" w14:textId="04742B27" w:rsidR="002A2E8A" w:rsidRPr="00DA4C59" w:rsidRDefault="00BB3879" w:rsidP="002D1C1F">
      <w:pPr>
        <w:autoSpaceDE w:val="0"/>
        <w:autoSpaceDN w:val="0"/>
        <w:adjustRightInd w:val="0"/>
        <w:spacing w:after="120" w:line="240" w:lineRule="auto"/>
        <w:rPr>
          <w:rStyle w:val="Collegamentoipertestuale"/>
          <w:rFonts w:cstheme="minorHAnsi"/>
          <w:color w:val="auto"/>
          <w:u w:val="none"/>
          <w:lang w:val="en-GB"/>
        </w:rPr>
      </w:pPr>
      <w:r w:rsidRPr="00DA4C59">
        <w:rPr>
          <w:rStyle w:val="Collegamentoipertestuale"/>
          <w:rFonts w:cstheme="minorHAnsi"/>
          <w:color w:val="auto"/>
          <w:u w:val="none"/>
          <w:lang w:val="en-GB"/>
        </w:rPr>
        <w:t xml:space="preserve">Fi-Compass, Survey on financial needs and access to finance of EU agricultural enterprises. </w:t>
      </w:r>
      <w:r w:rsidRPr="00DA4C59">
        <w:rPr>
          <w:lang w:val="en-GB"/>
        </w:rPr>
        <w:t>Copyright © European Investment Bank 2014-2019</w:t>
      </w:r>
    </w:p>
    <w:p w14:paraId="3EF7F4FA" w14:textId="6FE29F8C" w:rsidR="00BB3879" w:rsidRPr="00DA4C59" w:rsidRDefault="00CE0814" w:rsidP="002D1C1F">
      <w:pPr>
        <w:autoSpaceDE w:val="0"/>
        <w:autoSpaceDN w:val="0"/>
        <w:adjustRightInd w:val="0"/>
        <w:spacing w:after="120" w:line="240" w:lineRule="auto"/>
        <w:rPr>
          <w:lang w:val="en-GB"/>
        </w:rPr>
      </w:pPr>
      <w:hyperlink r:id="rId42" w:history="1">
        <w:r w:rsidR="00BB3879" w:rsidRPr="00DA4C59">
          <w:rPr>
            <w:rStyle w:val="Collegamentoipertestuale"/>
            <w:lang w:val="en-GB"/>
          </w:rPr>
          <w:t>https://www.fi-compass.eu/publication/brochures/survey-financial-needs-and-access-finance-eu-agricultural-enterprises</w:t>
        </w:r>
      </w:hyperlink>
    </w:p>
    <w:p w14:paraId="305CE0FA" w14:textId="77777777" w:rsidR="008412E3" w:rsidRDefault="008412E3" w:rsidP="002D1C1F">
      <w:pPr>
        <w:spacing w:after="120" w:line="240" w:lineRule="auto"/>
      </w:pPr>
      <w:r w:rsidRPr="001007D8">
        <w:t xml:space="preserve">Frascarelli A., Pupo D’Andrea M.R. (2014), La </w:t>
      </w:r>
      <w:proofErr w:type="spellStart"/>
      <w:r w:rsidRPr="001007D8">
        <w:t>Pac</w:t>
      </w:r>
      <w:proofErr w:type="spellEnd"/>
      <w:r w:rsidRPr="001007D8">
        <w:t xml:space="preserve"> 2014-2020 Le decisioni dell’Ue e le scelte nazionali. A cura di F. De Filippis, Gruppo 2013, Roma 2014</w:t>
      </w:r>
    </w:p>
    <w:p w14:paraId="2597C5B2" w14:textId="0DC6A2B5" w:rsidR="00AA2698" w:rsidRDefault="00AA2698" w:rsidP="002D1C1F">
      <w:pPr>
        <w:spacing w:after="120" w:line="240" w:lineRule="auto"/>
        <w:rPr>
          <w:rFonts w:cstheme="minorHAnsi"/>
        </w:rPr>
      </w:pPr>
      <w:proofErr w:type="spellStart"/>
      <w:r w:rsidRPr="00BB11B6">
        <w:rPr>
          <w:rFonts w:cstheme="minorHAnsi"/>
        </w:rPr>
        <w:t>Giuliodori</w:t>
      </w:r>
      <w:proofErr w:type="spellEnd"/>
      <w:r w:rsidRPr="00BB11B6">
        <w:rPr>
          <w:rFonts w:cstheme="minorHAnsi"/>
        </w:rPr>
        <w:t xml:space="preserve">, A. (2009) </w:t>
      </w:r>
      <w:r w:rsidRPr="00BB11B6">
        <w:rPr>
          <w:rFonts w:cstheme="minorHAnsi"/>
          <w:i/>
        </w:rPr>
        <w:t>La Politica di sviluppo rurale 2007-2013. Un primo bilancio per l’Italia</w:t>
      </w:r>
      <w:r w:rsidRPr="00BB11B6">
        <w:rPr>
          <w:rFonts w:cstheme="minorHAnsi"/>
        </w:rPr>
        <w:t xml:space="preserve">. A cura di Franco </w:t>
      </w:r>
      <w:proofErr w:type="spellStart"/>
      <w:r w:rsidRPr="00BB11B6">
        <w:rPr>
          <w:rFonts w:cstheme="minorHAnsi"/>
        </w:rPr>
        <w:t>Sotte</w:t>
      </w:r>
      <w:proofErr w:type="spellEnd"/>
      <w:r w:rsidRPr="00BB11B6">
        <w:rPr>
          <w:rFonts w:cstheme="minorHAnsi"/>
        </w:rPr>
        <w:t>, Gruppo 2013. Roma 2009</w:t>
      </w:r>
    </w:p>
    <w:p w14:paraId="1DC31754" w14:textId="4A0CA603" w:rsidR="001E271D" w:rsidRPr="00CC59AD" w:rsidRDefault="002A2E8A" w:rsidP="002D1C1F">
      <w:pPr>
        <w:autoSpaceDE w:val="0"/>
        <w:autoSpaceDN w:val="0"/>
        <w:adjustRightInd w:val="0"/>
        <w:spacing w:after="120" w:line="240" w:lineRule="auto"/>
        <w:rPr>
          <w:rStyle w:val="Collegamentoipertestuale"/>
          <w:rFonts w:cstheme="minorHAnsi"/>
          <w:color w:val="auto"/>
          <w:u w:val="none"/>
        </w:rPr>
      </w:pPr>
      <w:r w:rsidRPr="00AA2698">
        <w:rPr>
          <w:rStyle w:val="Collegamentoipertestuale"/>
          <w:rFonts w:cstheme="minorHAnsi"/>
          <w:color w:val="auto"/>
          <w:u w:val="none"/>
        </w:rPr>
        <w:t xml:space="preserve">Longhitano D., </w:t>
      </w:r>
      <w:proofErr w:type="spellStart"/>
      <w:r w:rsidRPr="00AA2698">
        <w:rPr>
          <w:rStyle w:val="Collegamentoipertestuale"/>
          <w:rFonts w:cstheme="minorHAnsi"/>
          <w:color w:val="auto"/>
          <w:u w:val="none"/>
        </w:rPr>
        <w:t>Povellato</w:t>
      </w:r>
      <w:proofErr w:type="spellEnd"/>
      <w:r w:rsidRPr="00AA2698">
        <w:rPr>
          <w:rStyle w:val="Collegamentoipertestuale"/>
          <w:rFonts w:cstheme="minorHAnsi"/>
          <w:color w:val="auto"/>
          <w:u w:val="none"/>
        </w:rPr>
        <w:t xml:space="preserve"> A. (201</w:t>
      </w:r>
      <w:r w:rsidR="000F7688" w:rsidRPr="00AA2698">
        <w:rPr>
          <w:rStyle w:val="Collegamentoipertestuale"/>
          <w:rFonts w:cstheme="minorHAnsi"/>
          <w:color w:val="auto"/>
          <w:u w:val="none"/>
        </w:rPr>
        <w:t>7</w:t>
      </w:r>
      <w:r w:rsidRPr="00AA2698">
        <w:rPr>
          <w:rStyle w:val="Collegamentoipertestuale"/>
          <w:rFonts w:cstheme="minorHAnsi"/>
          <w:color w:val="auto"/>
          <w:u w:val="none"/>
        </w:rPr>
        <w:t xml:space="preserve">) </w:t>
      </w:r>
      <w:r w:rsidR="000F7688" w:rsidRPr="00AA2698">
        <w:rPr>
          <w:rStyle w:val="Collegamentoipertestuale"/>
          <w:rFonts w:cstheme="minorHAnsi"/>
          <w:color w:val="auto"/>
          <w:u w:val="none"/>
        </w:rPr>
        <w:t>–</w:t>
      </w:r>
      <w:r w:rsidRPr="00AA2698">
        <w:rPr>
          <w:rStyle w:val="Collegamentoipertestuale"/>
          <w:rFonts w:cstheme="minorHAnsi"/>
          <w:color w:val="auto"/>
          <w:u w:val="none"/>
        </w:rPr>
        <w:t xml:space="preserve"> </w:t>
      </w:r>
      <w:r w:rsidR="000F7688" w:rsidRPr="00AA2698">
        <w:rPr>
          <w:rStyle w:val="Collegamentoipertestuale"/>
          <w:rFonts w:cstheme="minorHAnsi"/>
          <w:color w:val="auto"/>
          <w:u w:val="none"/>
        </w:rPr>
        <w:t>L’andamento del mercato fondiario e degli affitti in Annuario dell’agricoltura italiana, CREA, Roma</w:t>
      </w:r>
    </w:p>
    <w:p w14:paraId="56128DB0" w14:textId="0DEDA545" w:rsidR="0055291F" w:rsidRPr="00CC59AD" w:rsidRDefault="00CE0814" w:rsidP="002D1C1F">
      <w:pPr>
        <w:spacing w:after="120" w:line="240" w:lineRule="auto"/>
        <w:rPr>
          <w:rFonts w:eastAsia="Times New Roman" w:cstheme="minorHAnsi"/>
          <w:lang w:eastAsia="it-IT"/>
        </w:rPr>
      </w:pPr>
      <w:hyperlink r:id="rId43" w:history="1">
        <w:r w:rsidR="0055291F" w:rsidRPr="007F36CD">
          <w:rPr>
            <w:rFonts w:eastAsia="Times New Roman" w:cstheme="minorHAnsi"/>
            <w:lang w:eastAsia="it-IT"/>
          </w:rPr>
          <w:t>Piras</w:t>
        </w:r>
      </w:hyperlink>
      <w:r w:rsidR="0055291F">
        <w:rPr>
          <w:rFonts w:eastAsia="Times New Roman" w:cstheme="minorHAnsi"/>
          <w:lang w:eastAsia="it-IT"/>
        </w:rPr>
        <w:t xml:space="preserve"> F.,</w:t>
      </w:r>
      <w:r w:rsidR="0055291F" w:rsidRPr="007F36CD">
        <w:rPr>
          <w:rFonts w:eastAsia="Times New Roman" w:cstheme="minorHAnsi"/>
          <w:lang w:eastAsia="it-IT"/>
        </w:rPr>
        <w:t xml:space="preserve"> (2018); Il sostegno ai giovani agricoltori nell’ambito della </w:t>
      </w:r>
      <w:proofErr w:type="spellStart"/>
      <w:r w:rsidR="0055291F" w:rsidRPr="007F36CD">
        <w:rPr>
          <w:rFonts w:eastAsia="Times New Roman" w:cstheme="minorHAnsi"/>
          <w:lang w:eastAsia="it-IT"/>
        </w:rPr>
        <w:t>Pac</w:t>
      </w:r>
      <w:proofErr w:type="spellEnd"/>
      <w:r w:rsidR="0055291F" w:rsidRPr="007F36CD">
        <w:rPr>
          <w:rFonts w:cstheme="minorHAnsi"/>
        </w:rPr>
        <w:t xml:space="preserve">, </w:t>
      </w:r>
      <w:hyperlink r:id="rId44" w:history="1">
        <w:proofErr w:type="spellStart"/>
        <w:r w:rsidR="0055291F" w:rsidRPr="007F36CD">
          <w:rPr>
            <w:rFonts w:eastAsia="Times New Roman" w:cstheme="minorHAnsi"/>
            <w:lang w:eastAsia="it-IT"/>
          </w:rPr>
          <w:t>Agriregionieuropa</w:t>
        </w:r>
        <w:proofErr w:type="spellEnd"/>
        <w:r w:rsidR="0055291F" w:rsidRPr="007F36CD">
          <w:rPr>
            <w:rFonts w:eastAsia="Times New Roman" w:cstheme="minorHAnsi"/>
            <w:lang w:eastAsia="it-IT"/>
          </w:rPr>
          <w:t xml:space="preserve"> anno 14 n°55, </w:t>
        </w:r>
        <w:proofErr w:type="spellStart"/>
        <w:r w:rsidR="0055291F" w:rsidRPr="007F36CD">
          <w:rPr>
            <w:rFonts w:eastAsia="Times New Roman" w:cstheme="minorHAnsi"/>
            <w:lang w:eastAsia="it-IT"/>
          </w:rPr>
          <w:t>Dic</w:t>
        </w:r>
        <w:proofErr w:type="spellEnd"/>
        <w:r w:rsidR="0055291F" w:rsidRPr="007F36CD">
          <w:rPr>
            <w:rFonts w:eastAsia="Times New Roman" w:cstheme="minorHAnsi"/>
            <w:lang w:eastAsia="it-IT"/>
          </w:rPr>
          <w:t xml:space="preserve"> 2018</w:t>
        </w:r>
      </w:hyperlink>
    </w:p>
    <w:p w14:paraId="20D284C3" w14:textId="77777777" w:rsidR="0055291F" w:rsidRDefault="00CE0814" w:rsidP="002D1C1F">
      <w:pPr>
        <w:spacing w:after="120" w:line="240" w:lineRule="auto"/>
        <w:rPr>
          <w:rFonts w:cstheme="minorHAnsi"/>
        </w:rPr>
      </w:pPr>
      <w:hyperlink r:id="rId45" w:history="1">
        <w:r w:rsidR="0055291F" w:rsidRPr="00531CC9">
          <w:rPr>
            <w:rStyle w:val="Collegamentoipertestuale"/>
            <w:rFonts w:cstheme="minorHAnsi"/>
          </w:rPr>
          <w:t>https://agriregionieuropa.univpm.it/it/content/article/31/55/il-sostegno-ai-giovani-agricoltori-nellambito-della-pac</w:t>
        </w:r>
      </w:hyperlink>
    </w:p>
    <w:p w14:paraId="0D095136" w14:textId="70C95C50" w:rsidR="001E271D" w:rsidRPr="00BB11B6" w:rsidRDefault="001E271D" w:rsidP="002D1C1F">
      <w:pPr>
        <w:spacing w:after="120" w:line="240" w:lineRule="auto"/>
        <w:rPr>
          <w:rFonts w:cstheme="minorHAnsi"/>
        </w:rPr>
      </w:pPr>
      <w:r w:rsidRPr="00BB11B6">
        <w:rPr>
          <w:rFonts w:cstheme="minorHAnsi"/>
        </w:rPr>
        <w:t>Proposte di regolamento sulla riforma della Politica Agricola Comune Post 2020 Bruxelles, 1.6.2018</w:t>
      </w:r>
    </w:p>
    <w:p w14:paraId="397D358C" w14:textId="77777777" w:rsidR="001E271D" w:rsidRPr="00BB11B6" w:rsidRDefault="001E271D" w:rsidP="002D1C1F">
      <w:pPr>
        <w:spacing w:after="120" w:line="240" w:lineRule="auto"/>
        <w:rPr>
          <w:rFonts w:cstheme="minorHAnsi"/>
          <w:lang w:val="en-GB"/>
        </w:rPr>
      </w:pPr>
      <w:proofErr w:type="gramStart"/>
      <w:r w:rsidRPr="00BB11B6">
        <w:rPr>
          <w:rFonts w:cstheme="minorHAnsi"/>
          <w:lang w:val="en-GB"/>
        </w:rPr>
        <w:t>COM(</w:t>
      </w:r>
      <w:proofErr w:type="gramEnd"/>
      <w:r w:rsidRPr="00BB11B6">
        <w:rPr>
          <w:rFonts w:cstheme="minorHAnsi"/>
          <w:lang w:val="en-GB"/>
        </w:rPr>
        <w:t>2018) 392 final 2018/0216 (COD)</w:t>
      </w:r>
    </w:p>
    <w:p w14:paraId="137C06CA" w14:textId="77777777" w:rsidR="001E271D" w:rsidRPr="00BB11B6" w:rsidRDefault="00CE0814" w:rsidP="002D1C1F">
      <w:pPr>
        <w:spacing w:after="120" w:line="240" w:lineRule="auto"/>
        <w:rPr>
          <w:rFonts w:cstheme="minorHAnsi"/>
          <w:lang w:val="en-GB"/>
        </w:rPr>
      </w:pPr>
      <w:hyperlink r:id="rId46" w:history="1">
        <w:r w:rsidR="001E271D" w:rsidRPr="00BB11B6">
          <w:rPr>
            <w:rStyle w:val="Collegamentoipertestuale"/>
            <w:rFonts w:cstheme="minorHAnsi"/>
            <w:lang w:val="en-GB"/>
          </w:rPr>
          <w:t>https://www.politicheagricole.it/flex/cm/pages/ServeBLOB.php/L/IT/IDPagina/12126</w:t>
        </w:r>
      </w:hyperlink>
    </w:p>
    <w:p w14:paraId="181D3F70" w14:textId="4CA6E544" w:rsidR="001E271D" w:rsidRDefault="001E271D" w:rsidP="002D1C1F">
      <w:pPr>
        <w:spacing w:after="120" w:line="240" w:lineRule="auto"/>
        <w:rPr>
          <w:rFonts w:cstheme="minorHAnsi"/>
          <w:lang w:val="en-US"/>
        </w:rPr>
      </w:pPr>
    </w:p>
    <w:p w14:paraId="25227F09" w14:textId="77777777" w:rsidR="0055291F" w:rsidRDefault="0055291F" w:rsidP="002D1C1F">
      <w:pPr>
        <w:spacing w:after="120" w:line="240" w:lineRule="auto"/>
        <w:rPr>
          <w:rFonts w:eastAsia="Times New Roman" w:cstheme="minorHAnsi"/>
          <w:lang w:eastAsia="it-IT"/>
        </w:rPr>
      </w:pPr>
      <w:proofErr w:type="spellStart"/>
      <w:r w:rsidRPr="001007D8">
        <w:rPr>
          <w:rFonts w:eastAsia="Times New Roman" w:cstheme="minorHAnsi"/>
          <w:lang w:eastAsia="it-IT"/>
        </w:rPr>
        <w:lastRenderedPageBreak/>
        <w:t>Pulina</w:t>
      </w:r>
      <w:proofErr w:type="spellEnd"/>
      <w:r w:rsidRPr="001007D8">
        <w:rPr>
          <w:rFonts w:eastAsia="Times New Roman" w:cstheme="minorHAnsi"/>
          <w:lang w:eastAsia="it-IT"/>
        </w:rPr>
        <w:t xml:space="preserve">, P. (2018), La valutazione delle politiche per lo sviluppo rurale nella prospettiva post 2020, </w:t>
      </w:r>
      <w:proofErr w:type="spellStart"/>
      <w:r w:rsidRPr="001007D8">
        <w:rPr>
          <w:rFonts w:eastAsia="Times New Roman" w:cstheme="minorHAnsi"/>
          <w:lang w:eastAsia="it-IT"/>
        </w:rPr>
        <w:t>Agriregionieuropa</w:t>
      </w:r>
      <w:proofErr w:type="spellEnd"/>
      <w:r w:rsidRPr="001007D8">
        <w:rPr>
          <w:rFonts w:eastAsia="Times New Roman" w:cstheme="minorHAnsi"/>
          <w:lang w:eastAsia="it-IT"/>
        </w:rPr>
        <w:t>, n. 52</w:t>
      </w:r>
    </w:p>
    <w:p w14:paraId="701B8BB0" w14:textId="5540BF76" w:rsidR="00F107BD" w:rsidRPr="00AA2698" w:rsidRDefault="00F107BD" w:rsidP="002D1C1F">
      <w:pPr>
        <w:autoSpaceDE w:val="0"/>
        <w:autoSpaceDN w:val="0"/>
        <w:adjustRightInd w:val="0"/>
        <w:spacing w:after="120" w:line="240" w:lineRule="auto"/>
        <w:rPr>
          <w:rStyle w:val="Collegamentoipertestuale"/>
          <w:rFonts w:cstheme="minorHAnsi"/>
          <w:color w:val="auto"/>
          <w:u w:val="none"/>
        </w:rPr>
      </w:pPr>
      <w:r w:rsidRPr="00AA2698">
        <w:rPr>
          <w:rStyle w:val="Collegamentoipertestuale"/>
          <w:rFonts w:cstheme="minorHAnsi"/>
          <w:color w:val="auto"/>
          <w:u w:val="none"/>
        </w:rPr>
        <w:t>RRN (2017). Analisi dell’attuazione della sottomisura 6.1 aiuti all’avviamento d’impresa per giovani agricoltori, RRN Roma dicembre 2017</w:t>
      </w:r>
    </w:p>
    <w:p w14:paraId="6BCAC882" w14:textId="77777777" w:rsidR="00F107BD" w:rsidRPr="00BB11B6" w:rsidRDefault="00CE0814" w:rsidP="002D1C1F">
      <w:pPr>
        <w:autoSpaceDE w:val="0"/>
        <w:autoSpaceDN w:val="0"/>
        <w:adjustRightInd w:val="0"/>
        <w:spacing w:after="120" w:line="240" w:lineRule="auto"/>
        <w:rPr>
          <w:rStyle w:val="Collegamentoipertestuale"/>
          <w:rFonts w:cstheme="minorHAnsi"/>
        </w:rPr>
      </w:pPr>
      <w:hyperlink r:id="rId47" w:history="1">
        <w:r w:rsidR="00F107BD" w:rsidRPr="00BB11B6">
          <w:rPr>
            <w:rStyle w:val="Collegamentoipertestuale"/>
            <w:rFonts w:cstheme="minorHAnsi"/>
          </w:rPr>
          <w:t>http://www.reterurale.it/flex/cm/pages/ServeBLOB.php/L/IT/IDPagina/17792</w:t>
        </w:r>
      </w:hyperlink>
    </w:p>
    <w:p w14:paraId="2635A068" w14:textId="72699956" w:rsidR="001E271D" w:rsidRPr="00BB11B6" w:rsidRDefault="001E271D" w:rsidP="002D1C1F">
      <w:pPr>
        <w:spacing w:after="120" w:line="240" w:lineRule="auto"/>
        <w:rPr>
          <w:rFonts w:cstheme="minorHAnsi"/>
        </w:rPr>
      </w:pPr>
      <w:r>
        <w:rPr>
          <w:rFonts w:cstheme="minorHAnsi"/>
        </w:rPr>
        <w:t>RRN</w:t>
      </w:r>
      <w:r w:rsidRPr="00BB11B6">
        <w:rPr>
          <w:rFonts w:cstheme="minorHAnsi"/>
        </w:rPr>
        <w:t xml:space="preserve"> (2018), Report di chiusura della Programmazione 2007-2013. Analisi sull’attuazione fisica e finanziaria delle Misure, RRN, Roma 2018</w:t>
      </w:r>
    </w:p>
    <w:p w14:paraId="72577D56" w14:textId="77777777" w:rsidR="001E271D" w:rsidRPr="00BB11B6" w:rsidRDefault="00CE0814" w:rsidP="002D1C1F">
      <w:pPr>
        <w:spacing w:after="120" w:line="240" w:lineRule="auto"/>
        <w:rPr>
          <w:rFonts w:cstheme="minorHAnsi"/>
        </w:rPr>
      </w:pPr>
      <w:hyperlink r:id="rId48" w:history="1">
        <w:r w:rsidR="001E271D" w:rsidRPr="00BB11B6">
          <w:rPr>
            <w:rStyle w:val="Collegamentoipertestuale"/>
            <w:rFonts w:cstheme="minorHAnsi"/>
          </w:rPr>
          <w:t>https://www.reterurale.it/flex/cm/pages/ServeBLOB.php/L/IT/IDPagina/16833</w:t>
        </w:r>
      </w:hyperlink>
    </w:p>
    <w:p w14:paraId="6920C68A" w14:textId="77777777" w:rsidR="001E271D" w:rsidRPr="00BB11B6" w:rsidRDefault="001E271D" w:rsidP="002D1C1F">
      <w:pPr>
        <w:spacing w:after="120" w:line="240" w:lineRule="auto"/>
        <w:rPr>
          <w:rFonts w:cstheme="minorHAnsi"/>
        </w:rPr>
      </w:pPr>
      <w:r w:rsidRPr="00BB11B6">
        <w:rPr>
          <w:rFonts w:cstheme="minorHAnsi"/>
        </w:rPr>
        <w:t xml:space="preserve">RRN (2018) Il ricambio generazionale in agricoltura, Roma, maggio 2018 </w:t>
      </w:r>
      <w:hyperlink r:id="rId49" w:history="1">
        <w:r w:rsidRPr="00BB11B6">
          <w:rPr>
            <w:rStyle w:val="Collegamentoipertestuale"/>
            <w:rFonts w:cstheme="minorHAnsi"/>
          </w:rPr>
          <w:t>https://www.reterurale.it/flex/cm/pages/ServeBLOB.php/L/IT/IDPagina/18267</w:t>
        </w:r>
      </w:hyperlink>
    </w:p>
    <w:p w14:paraId="6B391640" w14:textId="77777777" w:rsidR="001E271D" w:rsidRPr="00BB11B6" w:rsidRDefault="001E271D" w:rsidP="002D1C1F">
      <w:pPr>
        <w:spacing w:after="120" w:line="240" w:lineRule="auto"/>
        <w:rPr>
          <w:rFonts w:cstheme="minorHAnsi"/>
        </w:rPr>
      </w:pPr>
      <w:r w:rsidRPr="00BB11B6">
        <w:rPr>
          <w:rFonts w:cstheme="minorHAnsi"/>
        </w:rPr>
        <w:t>RRN (2018), Il sostegno alla competitività nello sviluppo rurale: vecchia e nuova programmazione a confronto, Roma, agosto 2018</w:t>
      </w:r>
    </w:p>
    <w:p w14:paraId="08178A71" w14:textId="77777777" w:rsidR="001E271D" w:rsidRPr="00BB11B6" w:rsidRDefault="00CE0814" w:rsidP="002D1C1F">
      <w:pPr>
        <w:spacing w:after="120" w:line="240" w:lineRule="auto"/>
        <w:rPr>
          <w:rStyle w:val="Collegamentoipertestuale"/>
          <w:rFonts w:cstheme="minorHAnsi"/>
        </w:rPr>
      </w:pPr>
      <w:hyperlink r:id="rId50" w:history="1">
        <w:r w:rsidR="001E271D" w:rsidRPr="00BB11B6">
          <w:rPr>
            <w:rStyle w:val="Collegamentoipertestuale"/>
            <w:rFonts w:cstheme="minorHAnsi"/>
          </w:rPr>
          <w:t>https://www.reterurale.it/flex/cm/pages/ServeBLOB.php/L/IT/IDPagina/18521</w:t>
        </w:r>
      </w:hyperlink>
    </w:p>
    <w:p w14:paraId="0CCCBB07" w14:textId="77777777" w:rsidR="001E271D" w:rsidRPr="00BB11B6" w:rsidRDefault="001E271D" w:rsidP="002D1C1F">
      <w:pPr>
        <w:spacing w:after="120" w:line="240" w:lineRule="auto"/>
        <w:rPr>
          <w:rFonts w:cstheme="minorHAnsi"/>
        </w:rPr>
      </w:pPr>
      <w:r w:rsidRPr="00BB11B6">
        <w:rPr>
          <w:rFonts w:cstheme="minorHAnsi"/>
        </w:rPr>
        <w:t xml:space="preserve">RRN (2018), Ricambio generazionale in agricoltura e interventi PAC. Riflessioni alla luce delle proposte regolamentari post 2020. </w:t>
      </w:r>
    </w:p>
    <w:p w14:paraId="252FB910" w14:textId="77777777" w:rsidR="001E271D" w:rsidRPr="00BB11B6" w:rsidRDefault="00CE0814" w:rsidP="002D1C1F">
      <w:pPr>
        <w:spacing w:after="120" w:line="240" w:lineRule="auto"/>
        <w:rPr>
          <w:rFonts w:cstheme="minorHAnsi"/>
        </w:rPr>
      </w:pPr>
      <w:hyperlink r:id="rId51" w:history="1">
        <w:r w:rsidR="001E271D" w:rsidRPr="00BB11B6">
          <w:rPr>
            <w:rStyle w:val="Collegamentoipertestuale"/>
            <w:rFonts w:cstheme="minorHAnsi"/>
          </w:rPr>
          <w:t>https://www.reterurale.it/flex/cm/pages/ServeBLOB.php/L/IT/IDPagina/18429</w:t>
        </w:r>
      </w:hyperlink>
    </w:p>
    <w:p w14:paraId="61E11C44" w14:textId="5481B81A" w:rsidR="00E6566C" w:rsidRPr="00441743" w:rsidRDefault="00E6566C" w:rsidP="002D1C1F">
      <w:pPr>
        <w:spacing w:after="120" w:line="240" w:lineRule="auto"/>
      </w:pPr>
      <w:r w:rsidRPr="00441743">
        <w:rPr>
          <w:rStyle w:val="Collegamentoipertestuale"/>
          <w:rFonts w:cstheme="minorHAnsi"/>
          <w:color w:val="auto"/>
          <w:u w:val="none"/>
        </w:rPr>
        <w:t>R</w:t>
      </w:r>
      <w:r w:rsidRPr="00441743">
        <w:t>RN (2018), Un'analisi qualitativa sull'insediamento dei giovani agricoltori nel periodo 2007-2013</w:t>
      </w:r>
      <w:r w:rsidR="00441743">
        <w:t xml:space="preserve">. </w:t>
      </w:r>
      <w:r w:rsidRPr="00441743">
        <w:t>Riflessioni e prospettive per la programmazione post 2020.</w:t>
      </w:r>
    </w:p>
    <w:p w14:paraId="14063FFC" w14:textId="77777777" w:rsidR="00E6566C" w:rsidRDefault="00CE0814" w:rsidP="002D1C1F">
      <w:pPr>
        <w:spacing w:after="120" w:line="240" w:lineRule="auto"/>
        <w:rPr>
          <w:rStyle w:val="Collegamentoipertestuale"/>
          <w:rFonts w:cstheme="minorHAnsi"/>
          <w:u w:val="none"/>
        </w:rPr>
      </w:pPr>
      <w:hyperlink r:id="rId52" w:history="1">
        <w:r w:rsidR="00E6566C" w:rsidRPr="006C6CD4">
          <w:rPr>
            <w:rStyle w:val="Collegamentoipertestuale"/>
            <w:rFonts w:cstheme="minorHAnsi"/>
          </w:rPr>
          <w:t>https://www.reterurale.it/flex/cm/pages/ServeBLOB.php/L/IT/IDPagina/19085</w:t>
        </w:r>
      </w:hyperlink>
    </w:p>
    <w:p w14:paraId="07E889DF" w14:textId="069444FC" w:rsidR="006F101C" w:rsidRDefault="006F101C" w:rsidP="002D1C1F">
      <w:pPr>
        <w:spacing w:after="120" w:line="240" w:lineRule="auto"/>
        <w:jc w:val="left"/>
      </w:pPr>
      <w:r>
        <w:br w:type="page"/>
      </w:r>
    </w:p>
    <w:p w14:paraId="4A21005B" w14:textId="77777777" w:rsidR="006F101C" w:rsidRPr="006F101C" w:rsidRDefault="006F101C" w:rsidP="006F101C">
      <w:pPr>
        <w:spacing w:after="120" w:line="259" w:lineRule="auto"/>
        <w:ind w:left="426"/>
        <w:contextualSpacing/>
        <w:rPr>
          <w:sz w:val="24"/>
        </w:rPr>
      </w:pPr>
    </w:p>
    <w:p w14:paraId="11AEB27E" w14:textId="77777777" w:rsidR="008A1B42" w:rsidRDefault="008A1B42" w:rsidP="006F101C">
      <w:pPr>
        <w:tabs>
          <w:tab w:val="center" w:pos="4819"/>
          <w:tab w:val="right" w:pos="9638"/>
        </w:tabs>
        <w:spacing w:after="0" w:line="240" w:lineRule="auto"/>
        <w:jc w:val="center"/>
        <w:rPr>
          <w:b/>
          <w:sz w:val="20"/>
          <w:szCs w:val="18"/>
        </w:rPr>
      </w:pPr>
    </w:p>
    <w:p w14:paraId="4DB1BDE6" w14:textId="77777777" w:rsidR="008A1B42" w:rsidRDefault="008A1B42" w:rsidP="006F101C">
      <w:pPr>
        <w:tabs>
          <w:tab w:val="center" w:pos="4819"/>
          <w:tab w:val="right" w:pos="9638"/>
        </w:tabs>
        <w:spacing w:after="0" w:line="240" w:lineRule="auto"/>
        <w:jc w:val="center"/>
        <w:rPr>
          <w:b/>
          <w:sz w:val="20"/>
          <w:szCs w:val="18"/>
        </w:rPr>
      </w:pPr>
    </w:p>
    <w:p w14:paraId="3CF5CB89" w14:textId="77777777" w:rsidR="008A1B42" w:rsidRDefault="008A1B42" w:rsidP="006F101C">
      <w:pPr>
        <w:tabs>
          <w:tab w:val="center" w:pos="4819"/>
          <w:tab w:val="right" w:pos="9638"/>
        </w:tabs>
        <w:spacing w:after="0" w:line="240" w:lineRule="auto"/>
        <w:jc w:val="center"/>
        <w:rPr>
          <w:b/>
          <w:sz w:val="20"/>
          <w:szCs w:val="18"/>
        </w:rPr>
      </w:pPr>
    </w:p>
    <w:p w14:paraId="35297F77" w14:textId="77777777" w:rsidR="008A1B42" w:rsidRDefault="008A1B42" w:rsidP="006F101C">
      <w:pPr>
        <w:tabs>
          <w:tab w:val="center" w:pos="4819"/>
          <w:tab w:val="right" w:pos="9638"/>
        </w:tabs>
        <w:spacing w:after="0" w:line="240" w:lineRule="auto"/>
        <w:jc w:val="center"/>
        <w:rPr>
          <w:b/>
          <w:sz w:val="20"/>
          <w:szCs w:val="18"/>
        </w:rPr>
      </w:pPr>
    </w:p>
    <w:p w14:paraId="20877C41" w14:textId="77777777" w:rsidR="008A1B42" w:rsidRDefault="008A1B42" w:rsidP="006F101C">
      <w:pPr>
        <w:tabs>
          <w:tab w:val="center" w:pos="4819"/>
          <w:tab w:val="right" w:pos="9638"/>
        </w:tabs>
        <w:spacing w:after="0" w:line="240" w:lineRule="auto"/>
        <w:jc w:val="center"/>
        <w:rPr>
          <w:b/>
          <w:sz w:val="20"/>
          <w:szCs w:val="18"/>
        </w:rPr>
      </w:pPr>
    </w:p>
    <w:p w14:paraId="5D3CDDC4" w14:textId="77777777" w:rsidR="008A1B42" w:rsidRDefault="008A1B42" w:rsidP="006F101C">
      <w:pPr>
        <w:tabs>
          <w:tab w:val="center" w:pos="4819"/>
          <w:tab w:val="right" w:pos="9638"/>
        </w:tabs>
        <w:spacing w:after="0" w:line="240" w:lineRule="auto"/>
        <w:jc w:val="center"/>
        <w:rPr>
          <w:b/>
          <w:sz w:val="20"/>
          <w:szCs w:val="18"/>
        </w:rPr>
      </w:pPr>
    </w:p>
    <w:p w14:paraId="46999CFA" w14:textId="77777777" w:rsidR="008A1B42" w:rsidRDefault="008A1B42" w:rsidP="006F101C">
      <w:pPr>
        <w:tabs>
          <w:tab w:val="center" w:pos="4819"/>
          <w:tab w:val="right" w:pos="9638"/>
        </w:tabs>
        <w:spacing w:after="0" w:line="240" w:lineRule="auto"/>
        <w:jc w:val="center"/>
        <w:rPr>
          <w:b/>
          <w:sz w:val="20"/>
          <w:szCs w:val="18"/>
        </w:rPr>
      </w:pPr>
    </w:p>
    <w:p w14:paraId="2DEF9543" w14:textId="77777777" w:rsidR="008A1B42" w:rsidRDefault="008A1B42" w:rsidP="006F101C">
      <w:pPr>
        <w:tabs>
          <w:tab w:val="center" w:pos="4819"/>
          <w:tab w:val="right" w:pos="9638"/>
        </w:tabs>
        <w:spacing w:after="0" w:line="240" w:lineRule="auto"/>
        <w:jc w:val="center"/>
        <w:rPr>
          <w:b/>
          <w:sz w:val="20"/>
          <w:szCs w:val="18"/>
        </w:rPr>
      </w:pPr>
    </w:p>
    <w:p w14:paraId="73AD3AA6" w14:textId="77777777" w:rsidR="008A1B42" w:rsidRDefault="008A1B42" w:rsidP="006F101C">
      <w:pPr>
        <w:tabs>
          <w:tab w:val="center" w:pos="4819"/>
          <w:tab w:val="right" w:pos="9638"/>
        </w:tabs>
        <w:spacing w:after="0" w:line="240" w:lineRule="auto"/>
        <w:jc w:val="center"/>
        <w:rPr>
          <w:b/>
          <w:sz w:val="20"/>
          <w:szCs w:val="18"/>
        </w:rPr>
      </w:pPr>
    </w:p>
    <w:p w14:paraId="6F17836A" w14:textId="5B3DFA03" w:rsidR="006F101C" w:rsidRPr="006F101C" w:rsidRDefault="006F101C" w:rsidP="006F101C">
      <w:pPr>
        <w:tabs>
          <w:tab w:val="center" w:pos="4819"/>
          <w:tab w:val="right" w:pos="9638"/>
        </w:tabs>
        <w:spacing w:after="0" w:line="240" w:lineRule="auto"/>
        <w:jc w:val="center"/>
        <w:rPr>
          <w:b/>
          <w:sz w:val="20"/>
          <w:szCs w:val="18"/>
        </w:rPr>
      </w:pPr>
      <w:r w:rsidRPr="006F101C">
        <w:rPr>
          <w:b/>
          <w:sz w:val="20"/>
          <w:szCs w:val="18"/>
        </w:rPr>
        <w:t xml:space="preserve">Pubblicazione realizzata con il contributo del </w:t>
      </w:r>
      <w:proofErr w:type="spellStart"/>
      <w:r w:rsidRPr="006F101C">
        <w:rPr>
          <w:b/>
          <w:sz w:val="20"/>
          <w:szCs w:val="18"/>
        </w:rPr>
        <w:t>Feasr</w:t>
      </w:r>
      <w:proofErr w:type="spellEnd"/>
      <w:r w:rsidRPr="006F101C">
        <w:rPr>
          <w:b/>
          <w:sz w:val="20"/>
          <w:szCs w:val="18"/>
        </w:rPr>
        <w:t xml:space="preserve"> (Fondo europeo agricolo per lo sviluppo rurale)</w:t>
      </w:r>
    </w:p>
    <w:p w14:paraId="741969F9" w14:textId="77777777" w:rsidR="006F101C" w:rsidRPr="006F101C" w:rsidRDefault="006F101C" w:rsidP="006F101C">
      <w:pPr>
        <w:tabs>
          <w:tab w:val="center" w:pos="4819"/>
          <w:tab w:val="right" w:pos="9638"/>
        </w:tabs>
        <w:spacing w:after="0" w:line="240" w:lineRule="auto"/>
        <w:jc w:val="center"/>
        <w:rPr>
          <w:b/>
          <w:sz w:val="20"/>
          <w:szCs w:val="18"/>
        </w:rPr>
      </w:pPr>
      <w:r w:rsidRPr="006F101C">
        <w:rPr>
          <w:b/>
          <w:sz w:val="20"/>
          <w:szCs w:val="18"/>
        </w:rPr>
        <w:t>nell’ambito delle attività previste dal Programma Rete Rurale Nazionale 2014-2020</w:t>
      </w:r>
    </w:p>
    <w:p w14:paraId="0E036807" w14:textId="77777777" w:rsidR="006F101C" w:rsidRPr="006F101C" w:rsidRDefault="006F101C" w:rsidP="006F101C">
      <w:pPr>
        <w:tabs>
          <w:tab w:val="center" w:pos="4819"/>
          <w:tab w:val="right" w:pos="9638"/>
        </w:tabs>
        <w:spacing w:after="0" w:line="240" w:lineRule="auto"/>
        <w:jc w:val="center"/>
        <w:rPr>
          <w:sz w:val="20"/>
          <w:szCs w:val="18"/>
        </w:rPr>
      </w:pPr>
    </w:p>
    <w:p w14:paraId="61146B1C" w14:textId="7E1B7248" w:rsidR="008A1B42" w:rsidRDefault="006F101C" w:rsidP="006F101C">
      <w:pPr>
        <w:spacing w:after="80" w:line="240" w:lineRule="auto"/>
        <w:ind w:left="851" w:right="1416"/>
        <w:jc w:val="center"/>
        <w:rPr>
          <w:sz w:val="20"/>
          <w:szCs w:val="18"/>
        </w:rPr>
      </w:pPr>
      <w:r w:rsidRPr="006F101C">
        <w:rPr>
          <w:sz w:val="20"/>
          <w:szCs w:val="18"/>
        </w:rPr>
        <w:t xml:space="preserve">Autori: </w:t>
      </w:r>
      <w:r>
        <w:rPr>
          <w:sz w:val="20"/>
          <w:szCs w:val="18"/>
        </w:rPr>
        <w:t>Barbara Zanetti</w:t>
      </w:r>
      <w:r w:rsidR="00E347BE">
        <w:rPr>
          <w:sz w:val="20"/>
          <w:szCs w:val="18"/>
        </w:rPr>
        <w:t xml:space="preserve"> e</w:t>
      </w:r>
      <w:r>
        <w:rPr>
          <w:sz w:val="20"/>
          <w:szCs w:val="18"/>
        </w:rPr>
        <w:t xml:space="preserve"> Francesco Piras</w:t>
      </w:r>
      <w:r w:rsidR="00E347BE">
        <w:rPr>
          <w:sz w:val="20"/>
          <w:szCs w:val="18"/>
        </w:rPr>
        <w:t xml:space="preserve"> (coordinamento)</w:t>
      </w:r>
      <w:r w:rsidR="004C14BB">
        <w:rPr>
          <w:sz w:val="20"/>
          <w:szCs w:val="18"/>
        </w:rPr>
        <w:t>, Davide Longhitano</w:t>
      </w:r>
    </w:p>
    <w:p w14:paraId="33BA7DAE" w14:textId="7F1A15B6" w:rsidR="006F101C" w:rsidRPr="006F101C" w:rsidRDefault="008A1B42" w:rsidP="006F101C">
      <w:pPr>
        <w:spacing w:after="80" w:line="240" w:lineRule="auto"/>
        <w:ind w:left="851" w:right="1416"/>
        <w:jc w:val="center"/>
        <w:rPr>
          <w:sz w:val="20"/>
          <w:szCs w:val="18"/>
        </w:rPr>
      </w:pPr>
      <w:r>
        <w:rPr>
          <w:sz w:val="20"/>
          <w:szCs w:val="18"/>
        </w:rPr>
        <w:t xml:space="preserve">Elaborazioni dati: </w:t>
      </w:r>
      <w:r w:rsidR="006F101C">
        <w:rPr>
          <w:sz w:val="20"/>
          <w:szCs w:val="18"/>
        </w:rPr>
        <w:t>Stefano Tomassini</w:t>
      </w:r>
      <w:r>
        <w:rPr>
          <w:sz w:val="20"/>
          <w:szCs w:val="18"/>
        </w:rPr>
        <w:t>, Concetta Cardillo</w:t>
      </w:r>
      <w:r w:rsidR="00691375">
        <w:rPr>
          <w:sz w:val="20"/>
          <w:szCs w:val="18"/>
        </w:rPr>
        <w:t>, Stefano Dell’Acqua</w:t>
      </w:r>
    </w:p>
    <w:p w14:paraId="14744B57" w14:textId="77777777" w:rsidR="006F101C" w:rsidRPr="006F101C" w:rsidRDefault="006F101C" w:rsidP="006F101C">
      <w:pPr>
        <w:tabs>
          <w:tab w:val="right" w:pos="9638"/>
        </w:tabs>
        <w:spacing w:after="0" w:line="240" w:lineRule="auto"/>
        <w:jc w:val="center"/>
        <w:rPr>
          <w:b/>
          <w:sz w:val="18"/>
          <w:szCs w:val="18"/>
        </w:rPr>
      </w:pPr>
      <w:r w:rsidRPr="006F101C">
        <w:rPr>
          <w:b/>
          <w:sz w:val="18"/>
          <w:szCs w:val="18"/>
        </w:rPr>
        <w:t xml:space="preserve">  </w:t>
      </w:r>
    </w:p>
    <w:p w14:paraId="4C7AF4E3" w14:textId="77777777" w:rsidR="006F101C" w:rsidRPr="006F101C" w:rsidRDefault="006F101C" w:rsidP="006F101C">
      <w:pPr>
        <w:tabs>
          <w:tab w:val="center" w:pos="4819"/>
          <w:tab w:val="right" w:pos="9638"/>
        </w:tabs>
        <w:spacing w:after="0" w:line="240" w:lineRule="auto"/>
        <w:jc w:val="center"/>
        <w:rPr>
          <w:b/>
          <w:sz w:val="18"/>
          <w:szCs w:val="18"/>
        </w:rPr>
      </w:pPr>
    </w:p>
    <w:p w14:paraId="24118FB8" w14:textId="77777777" w:rsidR="006F101C" w:rsidRPr="006F101C" w:rsidRDefault="006F101C" w:rsidP="006F101C">
      <w:pPr>
        <w:tabs>
          <w:tab w:val="center" w:pos="4819"/>
          <w:tab w:val="right" w:pos="9638"/>
        </w:tabs>
        <w:spacing w:after="0" w:line="240" w:lineRule="auto"/>
        <w:jc w:val="center"/>
        <w:rPr>
          <w:b/>
          <w:sz w:val="18"/>
          <w:szCs w:val="18"/>
        </w:rPr>
      </w:pPr>
    </w:p>
    <w:p w14:paraId="50C344DC" w14:textId="77777777" w:rsidR="006F101C" w:rsidRPr="006F101C" w:rsidRDefault="006F101C" w:rsidP="006F101C">
      <w:pPr>
        <w:tabs>
          <w:tab w:val="center" w:pos="4819"/>
          <w:tab w:val="right" w:pos="9638"/>
        </w:tabs>
        <w:spacing w:after="0" w:line="240" w:lineRule="auto"/>
        <w:jc w:val="center"/>
        <w:rPr>
          <w:b/>
          <w:sz w:val="18"/>
          <w:szCs w:val="18"/>
        </w:rPr>
      </w:pPr>
    </w:p>
    <w:p w14:paraId="6E357C8B" w14:textId="77777777" w:rsidR="006F101C" w:rsidRPr="006F101C" w:rsidRDefault="006F101C" w:rsidP="006F101C">
      <w:pPr>
        <w:tabs>
          <w:tab w:val="center" w:pos="4819"/>
          <w:tab w:val="right" w:pos="9638"/>
        </w:tabs>
        <w:spacing w:after="0" w:line="240" w:lineRule="auto"/>
        <w:jc w:val="center"/>
        <w:rPr>
          <w:b/>
          <w:sz w:val="18"/>
          <w:szCs w:val="18"/>
        </w:rPr>
      </w:pPr>
    </w:p>
    <w:p w14:paraId="14F7CB6C" w14:textId="77777777" w:rsidR="006F101C" w:rsidRPr="006F101C" w:rsidRDefault="006F101C" w:rsidP="006F101C">
      <w:pPr>
        <w:tabs>
          <w:tab w:val="center" w:pos="4819"/>
          <w:tab w:val="right" w:pos="9638"/>
        </w:tabs>
        <w:spacing w:after="0" w:line="240" w:lineRule="auto"/>
        <w:jc w:val="center"/>
        <w:rPr>
          <w:b/>
          <w:sz w:val="18"/>
          <w:szCs w:val="18"/>
        </w:rPr>
      </w:pPr>
    </w:p>
    <w:p w14:paraId="0143A982" w14:textId="77777777" w:rsidR="006F101C" w:rsidRPr="006F101C" w:rsidRDefault="006F101C" w:rsidP="006F101C">
      <w:pPr>
        <w:tabs>
          <w:tab w:val="center" w:pos="4819"/>
          <w:tab w:val="right" w:pos="9638"/>
        </w:tabs>
        <w:spacing w:after="0" w:line="240" w:lineRule="auto"/>
        <w:jc w:val="center"/>
        <w:rPr>
          <w:b/>
          <w:sz w:val="18"/>
          <w:szCs w:val="18"/>
        </w:rPr>
      </w:pPr>
    </w:p>
    <w:p w14:paraId="1BCA8757" w14:textId="77777777" w:rsidR="006F101C" w:rsidRPr="006F101C" w:rsidRDefault="006F101C" w:rsidP="006F101C">
      <w:pPr>
        <w:tabs>
          <w:tab w:val="center" w:pos="4819"/>
          <w:tab w:val="right" w:pos="9638"/>
        </w:tabs>
        <w:spacing w:after="0" w:line="240" w:lineRule="auto"/>
        <w:jc w:val="center"/>
        <w:rPr>
          <w:b/>
          <w:sz w:val="18"/>
          <w:szCs w:val="18"/>
        </w:rPr>
      </w:pPr>
    </w:p>
    <w:p w14:paraId="43B6E767" w14:textId="77777777" w:rsidR="006F101C" w:rsidRPr="006F101C" w:rsidRDefault="006F101C" w:rsidP="006F101C">
      <w:pPr>
        <w:tabs>
          <w:tab w:val="center" w:pos="4819"/>
          <w:tab w:val="right" w:pos="9638"/>
        </w:tabs>
        <w:spacing w:after="0" w:line="240" w:lineRule="auto"/>
        <w:jc w:val="center"/>
        <w:rPr>
          <w:b/>
          <w:sz w:val="18"/>
          <w:szCs w:val="18"/>
        </w:rPr>
      </w:pPr>
    </w:p>
    <w:p w14:paraId="5AD834BE" w14:textId="77777777" w:rsidR="006F101C" w:rsidRPr="006F101C" w:rsidRDefault="006F101C" w:rsidP="006F101C">
      <w:pPr>
        <w:autoSpaceDE w:val="0"/>
        <w:autoSpaceDN w:val="0"/>
        <w:adjustRightInd w:val="0"/>
        <w:spacing w:after="0" w:line="240" w:lineRule="auto"/>
        <w:jc w:val="center"/>
        <w:rPr>
          <w:rFonts w:ascii="Lato-Heavy" w:hAnsi="Lato-Heavy" w:cs="Lato-Heavy"/>
        </w:rPr>
      </w:pPr>
      <w:r w:rsidRPr="006F101C">
        <w:rPr>
          <w:rFonts w:ascii="Lato-Heavy" w:hAnsi="Lato-Heavy" w:cs="Lato-Heavy"/>
        </w:rPr>
        <w:t>RETE RURALE NAZIONALE</w:t>
      </w:r>
    </w:p>
    <w:p w14:paraId="336C48C5" w14:textId="77777777" w:rsidR="006F101C" w:rsidRPr="006F101C" w:rsidRDefault="006F101C" w:rsidP="006F101C">
      <w:pPr>
        <w:autoSpaceDE w:val="0"/>
        <w:autoSpaceDN w:val="0"/>
        <w:adjustRightInd w:val="0"/>
        <w:spacing w:after="0" w:line="240" w:lineRule="auto"/>
        <w:jc w:val="center"/>
        <w:rPr>
          <w:rFonts w:ascii="Lato-Regular" w:hAnsi="Lato-Regular" w:cs="Lato-Regular"/>
        </w:rPr>
      </w:pPr>
      <w:r w:rsidRPr="006F101C">
        <w:rPr>
          <w:rFonts w:ascii="Lato-Regular" w:hAnsi="Lato-Regular" w:cs="Lato-Regular"/>
        </w:rPr>
        <w:t>Autorità di gestione</w:t>
      </w:r>
    </w:p>
    <w:p w14:paraId="5C308F0C" w14:textId="77777777" w:rsidR="006F101C" w:rsidRPr="006F101C" w:rsidRDefault="006F101C" w:rsidP="006F101C">
      <w:pPr>
        <w:autoSpaceDE w:val="0"/>
        <w:autoSpaceDN w:val="0"/>
        <w:adjustRightInd w:val="0"/>
        <w:spacing w:after="0" w:line="240" w:lineRule="auto"/>
        <w:jc w:val="center"/>
        <w:rPr>
          <w:rFonts w:ascii="Lato-Regular" w:hAnsi="Lato-Regular" w:cs="Lato-Regular"/>
        </w:rPr>
      </w:pPr>
      <w:r w:rsidRPr="006F101C">
        <w:rPr>
          <w:rFonts w:ascii="Lato-Regular" w:hAnsi="Lato-Regular" w:cs="Lato-Regular"/>
        </w:rPr>
        <w:t>Ministero delle politiche agricole alimentari e forestali</w:t>
      </w:r>
    </w:p>
    <w:p w14:paraId="4DECA543" w14:textId="77777777" w:rsidR="006F101C" w:rsidRPr="006F101C" w:rsidRDefault="006F101C" w:rsidP="006F101C">
      <w:pPr>
        <w:autoSpaceDE w:val="0"/>
        <w:autoSpaceDN w:val="0"/>
        <w:adjustRightInd w:val="0"/>
        <w:spacing w:after="0" w:line="240" w:lineRule="auto"/>
        <w:jc w:val="center"/>
        <w:rPr>
          <w:rFonts w:ascii="Lato-Regular" w:hAnsi="Lato-Regular" w:cs="Lato-Regular"/>
        </w:rPr>
      </w:pPr>
      <w:r w:rsidRPr="006F101C">
        <w:rPr>
          <w:rFonts w:ascii="Lato-Regular" w:hAnsi="Lato-Regular" w:cs="Lato-Regular"/>
        </w:rPr>
        <w:t>Via XX Settembre, 20 Roma</w:t>
      </w:r>
    </w:p>
    <w:p w14:paraId="0A8CD662" w14:textId="77777777" w:rsidR="006F101C" w:rsidRPr="006F101C" w:rsidRDefault="006F101C" w:rsidP="006F101C">
      <w:pPr>
        <w:autoSpaceDE w:val="0"/>
        <w:autoSpaceDN w:val="0"/>
        <w:adjustRightInd w:val="0"/>
        <w:spacing w:after="0" w:line="240" w:lineRule="auto"/>
        <w:jc w:val="center"/>
        <w:rPr>
          <w:rFonts w:ascii="Lato-Regular" w:hAnsi="Lato-Regular" w:cs="Lato-Regular"/>
        </w:rPr>
      </w:pPr>
      <w:r w:rsidRPr="006F101C">
        <w:rPr>
          <w:rFonts w:ascii="Lato-Regular" w:hAnsi="Lato-Regular" w:cs="Lato-Regular"/>
        </w:rPr>
        <w:t>www.reterurale.it</w:t>
      </w:r>
    </w:p>
    <w:p w14:paraId="58091550" w14:textId="77777777" w:rsidR="006F101C" w:rsidRPr="006F101C" w:rsidRDefault="006F101C" w:rsidP="006F101C">
      <w:pPr>
        <w:autoSpaceDE w:val="0"/>
        <w:autoSpaceDN w:val="0"/>
        <w:adjustRightInd w:val="0"/>
        <w:spacing w:after="0" w:line="240" w:lineRule="auto"/>
        <w:jc w:val="center"/>
        <w:rPr>
          <w:rFonts w:ascii="Lato-Regular" w:hAnsi="Lato-Regular" w:cs="Lato-Regular"/>
        </w:rPr>
      </w:pPr>
      <w:r w:rsidRPr="006F101C">
        <w:rPr>
          <w:rFonts w:ascii="Lato-Regular" w:hAnsi="Lato-Regular" w:cs="Lato-Regular"/>
        </w:rPr>
        <w:t>reterurale@politicheagricole.it</w:t>
      </w:r>
    </w:p>
    <w:p w14:paraId="6F83823D" w14:textId="77777777" w:rsidR="006F101C" w:rsidRPr="006F101C" w:rsidRDefault="006F101C" w:rsidP="006F101C">
      <w:pPr>
        <w:autoSpaceDE w:val="0"/>
        <w:autoSpaceDN w:val="0"/>
        <w:adjustRightInd w:val="0"/>
        <w:spacing w:after="0" w:line="240" w:lineRule="auto"/>
        <w:jc w:val="center"/>
        <w:rPr>
          <w:rFonts w:ascii="Lato-Regular" w:hAnsi="Lato-Regular" w:cs="Lato-Regular"/>
        </w:rPr>
      </w:pPr>
      <w:r w:rsidRPr="006F101C">
        <w:rPr>
          <w:rFonts w:ascii="Lato-Regular" w:hAnsi="Lato-Regular" w:cs="Lato-Regular"/>
        </w:rPr>
        <w:t>@reterurale</w:t>
      </w:r>
    </w:p>
    <w:p w14:paraId="232858BF" w14:textId="77777777" w:rsidR="006F101C" w:rsidRPr="006F101C" w:rsidRDefault="006F101C" w:rsidP="006F101C">
      <w:pPr>
        <w:spacing w:after="80" w:line="240" w:lineRule="auto"/>
        <w:ind w:left="2832" w:firstLine="708"/>
      </w:pPr>
      <w:r w:rsidRPr="006F101C">
        <w:rPr>
          <w:rFonts w:ascii="Lato-Regular" w:hAnsi="Lato-Regular" w:cs="Lato-Regular"/>
        </w:rPr>
        <w:t>www.facebook/reterurale</w:t>
      </w:r>
    </w:p>
    <w:p w14:paraId="01271A18" w14:textId="77777777" w:rsidR="001E271D" w:rsidRPr="003D0A7C" w:rsidRDefault="001E271D" w:rsidP="003D0A7C"/>
    <w:sectPr w:rsidR="001E271D" w:rsidRPr="003D0A7C" w:rsidSect="007F28A3">
      <w:pgSz w:w="11906" w:h="16838"/>
      <w:pgMar w:top="1417" w:right="1134" w:bottom="1134" w:left="1134" w:header="708"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1C072" w14:textId="77777777" w:rsidR="001E5B3D" w:rsidRDefault="001E5B3D" w:rsidP="009241B9">
      <w:pPr>
        <w:spacing w:after="0" w:line="240" w:lineRule="auto"/>
      </w:pPr>
      <w:r>
        <w:separator/>
      </w:r>
    </w:p>
  </w:endnote>
  <w:endnote w:type="continuationSeparator" w:id="0">
    <w:p w14:paraId="3334AD5B" w14:textId="77777777" w:rsidR="001E5B3D" w:rsidRDefault="001E5B3D" w:rsidP="00924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ato-Heavy">
    <w:altName w:val="Calibri"/>
    <w:panose1 w:val="00000000000000000000"/>
    <w:charset w:val="00"/>
    <w:family w:val="swiss"/>
    <w:notTrueType/>
    <w:pitch w:val="default"/>
    <w:sig w:usb0="00000003" w:usb1="00000000" w:usb2="00000000" w:usb3="00000000" w:csb0="00000001" w:csb1="00000000"/>
  </w:font>
  <w:font w:name="Lato-Regular">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5773065"/>
      <w:docPartObj>
        <w:docPartGallery w:val="Page Numbers (Bottom of Page)"/>
        <w:docPartUnique/>
      </w:docPartObj>
    </w:sdtPr>
    <w:sdtEndPr/>
    <w:sdtContent>
      <w:p w14:paraId="18CA5BAD" w14:textId="6EEDBEC8" w:rsidR="0070759F" w:rsidRPr="00B706E6" w:rsidRDefault="0070759F" w:rsidP="00B706E6">
        <w:pPr>
          <w:pStyle w:val="Pidipagina"/>
          <w:jc w:val="center"/>
        </w:pPr>
        <w:r>
          <w:fldChar w:fldCharType="begin"/>
        </w:r>
        <w:r>
          <w:instrText>PAGE   \* MERGEFORMAT</w:instrText>
        </w:r>
        <w:r>
          <w:fldChar w:fldCharType="separate"/>
        </w:r>
        <w:r w:rsidR="00A90F65">
          <w:rPr>
            <w:noProof/>
          </w:rPr>
          <w:t>49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384CE" w14:textId="77777777" w:rsidR="001E5B3D" w:rsidRDefault="001E5B3D" w:rsidP="009241B9">
      <w:pPr>
        <w:spacing w:after="0" w:line="240" w:lineRule="auto"/>
      </w:pPr>
      <w:r>
        <w:separator/>
      </w:r>
    </w:p>
  </w:footnote>
  <w:footnote w:type="continuationSeparator" w:id="0">
    <w:p w14:paraId="7735B0E0" w14:textId="77777777" w:rsidR="001E5B3D" w:rsidRDefault="001E5B3D" w:rsidP="009241B9">
      <w:pPr>
        <w:spacing w:after="0" w:line="240" w:lineRule="auto"/>
      </w:pPr>
      <w:r>
        <w:continuationSeparator/>
      </w:r>
    </w:p>
  </w:footnote>
  <w:footnote w:id="1">
    <w:p w14:paraId="7B996012" w14:textId="539C41CB" w:rsidR="0070759F" w:rsidRPr="003E63B9" w:rsidRDefault="0070759F" w:rsidP="00544E80">
      <w:pPr>
        <w:pStyle w:val="Testonotaapidipagina"/>
        <w:ind w:left="142" w:hanging="142"/>
        <w:rPr>
          <w:rFonts w:cstheme="minorHAnsi"/>
          <w:sz w:val="18"/>
          <w:szCs w:val="18"/>
        </w:rPr>
      </w:pPr>
      <w:r>
        <w:rPr>
          <w:rStyle w:val="Rimandonotaapidipagina"/>
        </w:rPr>
        <w:footnoteRef/>
      </w:r>
      <w:r>
        <w:t xml:space="preserve"> </w:t>
      </w:r>
      <w:r w:rsidRPr="003E63B9">
        <w:rPr>
          <w:rFonts w:cstheme="minorHAnsi"/>
          <w:sz w:val="18"/>
          <w:szCs w:val="18"/>
        </w:rPr>
        <w:t>Per l’ISTAT il conduttore è il responsabile giuridico ed economico che sopporta il rischio della gestione aziendale sia da solo (conduttore coltivatore e conduttore esclusivamente con salariati e/o compartecipanti), sia in associazione. Il conduttore può essere una persona fisica, una società o un ente</w:t>
      </w:r>
      <w:r w:rsidRPr="003E63B9">
        <w:rPr>
          <w:rFonts w:cstheme="minorHAnsi"/>
          <w:color w:val="333333"/>
          <w:sz w:val="18"/>
          <w:szCs w:val="18"/>
          <w:shd w:val="clear" w:color="auto" w:fill="FFFFFF"/>
        </w:rPr>
        <w:t>.</w:t>
      </w:r>
      <w:r w:rsidRPr="003E63B9">
        <w:rPr>
          <w:rFonts w:cstheme="minorHAnsi"/>
          <w:sz w:val="18"/>
          <w:szCs w:val="18"/>
        </w:rPr>
        <w:t xml:space="preserve"> Il capo azienda è la persona fisica che assicura la gestione corrente e quotidiana dell’azienda. Per ciascuna azienda si considera capo azienda esclusivamente una persona. Nel caso di azienda familiare, il capo azienda è in genere il conduttore stesso; in caso di mezzadria è da considerarsi come capo azienda il mezzadro e analogamente, in caso di soccida tra due aziende agricole. </w:t>
      </w:r>
    </w:p>
  </w:footnote>
  <w:footnote w:id="2">
    <w:p w14:paraId="5303049E" w14:textId="77777777" w:rsidR="00F976FA" w:rsidRPr="00F976FA" w:rsidRDefault="00F976FA" w:rsidP="00F976FA">
      <w:pPr>
        <w:spacing w:after="0" w:line="240" w:lineRule="auto"/>
        <w:ind w:left="142" w:hanging="142"/>
        <w:rPr>
          <w:rFonts w:cstheme="minorHAnsi"/>
          <w:sz w:val="18"/>
          <w:szCs w:val="18"/>
        </w:rPr>
      </w:pPr>
      <w:r w:rsidRPr="00F976FA">
        <w:rPr>
          <w:vertAlign w:val="superscript"/>
        </w:rPr>
        <w:footnoteRef/>
      </w:r>
      <w:r>
        <w:t xml:space="preserve"> </w:t>
      </w:r>
      <w:r w:rsidRPr="00F976FA">
        <w:rPr>
          <w:rFonts w:cstheme="minorHAnsi"/>
          <w:sz w:val="18"/>
          <w:szCs w:val="18"/>
        </w:rPr>
        <w:t>Il dato si riferisce all'età disponibile per i soli conduttori pertanto, le tabelle si riferiscono a questo universo e l’eventuale discrepanza con le informazioni presenti in altri Policy brief sono dovute a questa differenza nella base di riferimento.</w:t>
      </w:r>
    </w:p>
  </w:footnote>
  <w:footnote w:id="3">
    <w:p w14:paraId="02A28901" w14:textId="3D079178" w:rsidR="0070759F" w:rsidRPr="007E49F4" w:rsidRDefault="0070759F" w:rsidP="00BF1CA2">
      <w:pPr>
        <w:pStyle w:val="Testonotaapidipagina"/>
        <w:ind w:left="142" w:hanging="142"/>
        <w:rPr>
          <w:sz w:val="18"/>
          <w:szCs w:val="18"/>
        </w:rPr>
      </w:pPr>
      <w:r>
        <w:rPr>
          <w:rStyle w:val="Rimandonotaapidipagina"/>
        </w:rPr>
        <w:footnoteRef/>
      </w:r>
      <w:r>
        <w:t xml:space="preserve"> </w:t>
      </w:r>
      <w:r w:rsidRPr="007E49F4">
        <w:rPr>
          <w:sz w:val="18"/>
          <w:szCs w:val="18"/>
        </w:rPr>
        <w:t>Nella fase di programmazione dei PSR 2014- 2020 il Mipaaf, di concerto con le Regioni, ha classificato i comuni in tre tipologie di aree rurali e in poli urbani in modo da consentire una territorializzazione degli interventi di sviluppo rurale secondo i fabbisogni rilevati per ciascuna area. Le aree sono: A - Poli urbani; B – Aree rurali ad agricoltura intensiva e specializzata; C – Aree rurali intermedie; D – Aree rurali con problemi complessivi di sviluppo</w:t>
      </w:r>
    </w:p>
  </w:footnote>
  <w:footnote w:id="4">
    <w:p w14:paraId="7BE618FB" w14:textId="0C786CB8" w:rsidR="0070759F" w:rsidRPr="00A621B6" w:rsidRDefault="0070759F" w:rsidP="00CE6EE0">
      <w:pPr>
        <w:pStyle w:val="Testonotaapidipagina"/>
        <w:rPr>
          <w:sz w:val="18"/>
          <w:szCs w:val="18"/>
        </w:rPr>
      </w:pPr>
      <w:r>
        <w:rPr>
          <w:rStyle w:val="Rimandonotaapidipagina"/>
        </w:rPr>
        <w:footnoteRef/>
      </w:r>
      <w:r>
        <w:t xml:space="preserve"> </w:t>
      </w:r>
      <w:r w:rsidRPr="00A621B6">
        <w:rPr>
          <w:sz w:val="18"/>
          <w:szCs w:val="18"/>
        </w:rPr>
        <w:t>Le analisi riportate si riferiscono al campione medio del quadriennio 201</w:t>
      </w:r>
      <w:r>
        <w:rPr>
          <w:sz w:val="18"/>
          <w:szCs w:val="18"/>
        </w:rPr>
        <w:t>5</w:t>
      </w:r>
      <w:r w:rsidRPr="00A621B6">
        <w:rPr>
          <w:sz w:val="18"/>
          <w:szCs w:val="18"/>
        </w:rPr>
        <w:t>-201</w:t>
      </w:r>
      <w:r>
        <w:rPr>
          <w:sz w:val="18"/>
          <w:szCs w:val="18"/>
        </w:rPr>
        <w:t>8</w:t>
      </w:r>
      <w:r w:rsidRPr="00A621B6">
        <w:rPr>
          <w:sz w:val="18"/>
          <w:szCs w:val="18"/>
        </w:rPr>
        <w:t>.</w:t>
      </w:r>
    </w:p>
  </w:footnote>
  <w:footnote w:id="5">
    <w:p w14:paraId="5AFE7D2C" w14:textId="77777777" w:rsidR="0070759F" w:rsidRPr="00EF5C08" w:rsidRDefault="0070759F" w:rsidP="004C75A2">
      <w:pPr>
        <w:pStyle w:val="Testonotaapidipagina"/>
        <w:ind w:left="142" w:hanging="142"/>
        <w:rPr>
          <w:sz w:val="18"/>
          <w:szCs w:val="18"/>
        </w:rPr>
      </w:pPr>
      <w:r>
        <w:rPr>
          <w:rStyle w:val="Rimandonotaapidipagina"/>
        </w:rPr>
        <w:footnoteRef/>
      </w:r>
      <w:r>
        <w:t xml:space="preserve"> </w:t>
      </w:r>
      <w:r w:rsidRPr="00EF5C08">
        <w:rPr>
          <w:sz w:val="18"/>
          <w:szCs w:val="18"/>
        </w:rPr>
        <w:t>Per maggiori dettagli si rimanda alla pubblicazione dei Rapporti regionali del mercato degli affitti</w:t>
      </w:r>
      <w:r>
        <w:rPr>
          <w:sz w:val="18"/>
          <w:szCs w:val="18"/>
        </w:rPr>
        <w:t xml:space="preserve">. Si ricorda inoltre che l’Indagine si basa sulle rilevazioni svolte sul territorio da parte di testimoni privilegiati che segnalano annualmente i principali cambiamenti sul rapporto domanda offerta del mercato fondiario e dell’affitto </w:t>
      </w:r>
      <w:r w:rsidRPr="00EF5C08">
        <w:rPr>
          <w:sz w:val="18"/>
          <w:szCs w:val="18"/>
        </w:rPr>
        <w:t>(https://www.crea.gov.it/web/politiche-e-bioeconomia/-/indagine-mercato-fondiario)</w:t>
      </w:r>
    </w:p>
  </w:footnote>
  <w:footnote w:id="6">
    <w:p w14:paraId="7014E05E" w14:textId="77777777" w:rsidR="0070759F" w:rsidRDefault="0070759F" w:rsidP="0004072A">
      <w:pPr>
        <w:autoSpaceDE w:val="0"/>
        <w:autoSpaceDN w:val="0"/>
        <w:adjustRightInd w:val="0"/>
        <w:spacing w:after="0" w:line="240" w:lineRule="auto"/>
        <w:ind w:left="142" w:hanging="142"/>
      </w:pPr>
      <w:r>
        <w:rPr>
          <w:rStyle w:val="Rimandonotaapidipagina"/>
        </w:rPr>
        <w:footnoteRef/>
      </w:r>
      <w:r>
        <w:t xml:space="preserve"> </w:t>
      </w:r>
      <w:r w:rsidRPr="000D4DBF">
        <w:rPr>
          <w:sz w:val="18"/>
          <w:szCs w:val="18"/>
        </w:rPr>
        <w:t>Per maggiori dettagli si rimanda alla fonte: Corte dei Conti – Sezione di Controllo per gli Affari Comunitari ed Internazionali. Relazione Speciale su: Il sostegno dell’UE al ricambio generazionale in agricoltura e all’imprenditoria giovanile. Deliberazione n. 13/2018</w:t>
      </w:r>
      <w:r w:rsidRPr="00AA2698">
        <w:rPr>
          <w:rStyle w:val="Collegamentoipertestuale"/>
          <w:rFonts w:cstheme="minorHAnsi"/>
        </w:rPr>
        <w:t xml:space="preserve"> </w:t>
      </w:r>
    </w:p>
  </w:footnote>
  <w:footnote w:id="7">
    <w:p w14:paraId="6BF058C0" w14:textId="77777777" w:rsidR="0070759F" w:rsidRPr="00E64A11" w:rsidRDefault="0070759F" w:rsidP="00DF5ABA">
      <w:pPr>
        <w:autoSpaceDE w:val="0"/>
        <w:autoSpaceDN w:val="0"/>
        <w:adjustRightInd w:val="0"/>
        <w:spacing w:after="40" w:line="240" w:lineRule="auto"/>
        <w:ind w:left="142" w:hanging="142"/>
        <w:rPr>
          <w:sz w:val="18"/>
          <w:szCs w:val="18"/>
        </w:rPr>
      </w:pPr>
      <w:r>
        <w:rPr>
          <w:rStyle w:val="Rimandonotaapidipagina"/>
        </w:rPr>
        <w:footnoteRef/>
      </w:r>
      <w:r>
        <w:t xml:space="preserve"> </w:t>
      </w:r>
      <w:r>
        <w:rPr>
          <w:sz w:val="18"/>
          <w:szCs w:val="18"/>
        </w:rPr>
        <w:t>“V</w:t>
      </w:r>
      <w:r w:rsidRPr="00E64A11">
        <w:rPr>
          <w:sz w:val="18"/>
          <w:szCs w:val="18"/>
        </w:rPr>
        <w:t>ademecum per favorire una migliore conoscenza delle terre pubbliche dei comuni</w:t>
      </w:r>
      <w:r>
        <w:rPr>
          <w:sz w:val="18"/>
          <w:szCs w:val="18"/>
        </w:rPr>
        <w:t xml:space="preserve">” </w:t>
      </w:r>
      <w:r w:rsidRPr="00E64A11">
        <w:rPr>
          <w:sz w:val="18"/>
          <w:szCs w:val="18"/>
        </w:rPr>
        <w:t>Focus sul censimento di terre e immobili pubblici in stato di abbandono. Versione 1.0. Coordinamento e cura: Francesco Monaco* e Simona Elmo**. Con il supporto operativo di Marina Papa (Segreteria tecnica Progetto SIBaTer), Alessandra Maciocco e Tommaso Ulivieri (Dipartimento Comunicazione e Relazioni territoriali IFEL). Il presente Vademecum è la prima versione di un lavoro in progress.</w:t>
      </w:r>
    </w:p>
  </w:footnote>
  <w:footnote w:id="8">
    <w:p w14:paraId="7E89BF73" w14:textId="77777777" w:rsidR="0070759F" w:rsidRPr="00E64A11" w:rsidRDefault="0070759F" w:rsidP="00DF5ABA">
      <w:pPr>
        <w:autoSpaceDE w:val="0"/>
        <w:autoSpaceDN w:val="0"/>
        <w:adjustRightInd w:val="0"/>
        <w:spacing w:after="40" w:line="240" w:lineRule="auto"/>
        <w:ind w:left="142" w:hanging="142"/>
        <w:rPr>
          <w:sz w:val="18"/>
          <w:szCs w:val="18"/>
        </w:rPr>
      </w:pPr>
      <w:r>
        <w:rPr>
          <w:rStyle w:val="Rimandonotaapidipagina"/>
        </w:rPr>
        <w:footnoteRef/>
      </w:r>
      <w:r>
        <w:t xml:space="preserve"> </w:t>
      </w:r>
      <w:r w:rsidRPr="00E64A11">
        <w:rPr>
          <w:sz w:val="18"/>
          <w:szCs w:val="18"/>
        </w:rPr>
        <w:t>La Legge regionale n.31/2017 della Regione Calabria non istituisce formalmente una “Banca regionale delle terre”, ma prevede che entro il 31 dicembre di ogni anno, i dipartimenti regionali bilancio e agricoltura predispongano, l’elenco annuale, con relativa cartografia, dei terreni agricoli e a vocazione agricola e pastorale di proprietà della Regione, idonei per l’assegnazione a giovani agricoltori singoli o associati in forma cooperativa e a cooperative sociali. L’elenco dei terreni suddetti viene reso pubblico e accessibile tramite il sistema informativo della Giunta regionale. Il dipartimento regionale agricoltura provvede all’emanazione degli avvisi pubblici per la concessione o la locazione dei terreni contenuti in tali elenchi. I Comuni provvedono a loro volta al censimento dei terreni agricoli o a vocazione agricola, nell’ambito dei quali individuare gli immobili da destinare annualmente, con bando pubblico, alla locazione con contratto agrario a giovani imprenditori agricoli. Le risultanze del censimento predisposto dai Comuni sono pubblicate da ogni ente locale nel rispettivo albo pretorio e sito internet e sono inserite nell’elenco regionale. Infine, in Emilia-Romagna e Friuli-Venezia Giulia sono state presentate proposte di legge per l’istituzione di una banca regionale della terra regionale.</w:t>
      </w:r>
    </w:p>
  </w:footnote>
  <w:footnote w:id="9">
    <w:p w14:paraId="058288CE" w14:textId="77777777" w:rsidR="0070759F" w:rsidRPr="00E64A11" w:rsidRDefault="0070759F" w:rsidP="00DF5ABA">
      <w:pPr>
        <w:pStyle w:val="Testonotaapidipagina"/>
        <w:spacing w:after="40"/>
        <w:ind w:left="142" w:hanging="142"/>
        <w:rPr>
          <w:sz w:val="18"/>
          <w:szCs w:val="18"/>
        </w:rPr>
      </w:pPr>
      <w:r>
        <w:rPr>
          <w:rStyle w:val="Rimandonotaapidipagina"/>
        </w:rPr>
        <w:footnoteRef/>
      </w:r>
      <w:r>
        <w:t xml:space="preserve"> </w:t>
      </w:r>
      <w:r w:rsidRPr="00E64A11">
        <w:rPr>
          <w:sz w:val="18"/>
          <w:szCs w:val="18"/>
        </w:rPr>
        <w:t xml:space="preserve">Fonte: </w:t>
      </w:r>
      <w:hyperlink r:id="rId1" w:history="1">
        <w:r w:rsidRPr="00872D94">
          <w:rPr>
            <w:rStyle w:val="Collegamentoipertestuale"/>
            <w:sz w:val="18"/>
            <w:szCs w:val="18"/>
          </w:rPr>
          <w:t>http://www.sardegnaagricoltura.it/index.php?xsl=443&amp;s=355583&amp;v=2&amp;c=3608</w:t>
        </w:r>
      </w:hyperlink>
    </w:p>
  </w:footnote>
  <w:footnote w:id="10">
    <w:p w14:paraId="7BC6FB35" w14:textId="77777777" w:rsidR="0070759F" w:rsidRPr="00E64A11" w:rsidRDefault="0070759F" w:rsidP="00DF5ABA">
      <w:pPr>
        <w:autoSpaceDE w:val="0"/>
        <w:autoSpaceDN w:val="0"/>
        <w:adjustRightInd w:val="0"/>
        <w:spacing w:after="40" w:line="240" w:lineRule="auto"/>
        <w:ind w:left="142" w:hanging="142"/>
        <w:rPr>
          <w:sz w:val="18"/>
          <w:szCs w:val="18"/>
        </w:rPr>
      </w:pPr>
      <w:r>
        <w:rPr>
          <w:rStyle w:val="Rimandonotaapidipagina"/>
        </w:rPr>
        <w:footnoteRef/>
      </w:r>
      <w:r>
        <w:t xml:space="preserve"> </w:t>
      </w:r>
      <w:r w:rsidRPr="00E64A11">
        <w:rPr>
          <w:sz w:val="18"/>
          <w:szCs w:val="18"/>
        </w:rPr>
        <w:t xml:space="preserve">Fonte: </w:t>
      </w:r>
      <w:hyperlink r:id="rId2" w:history="1">
        <w:r w:rsidRPr="00872D94">
          <w:rPr>
            <w:rStyle w:val="Collegamentoipertestuale"/>
            <w:sz w:val="18"/>
            <w:szCs w:val="18"/>
          </w:rPr>
          <w:t>https://www.regione.piemonte.it/web/temi/ambiente-territorio/montagna/associazioni-fondiarie/cosa-sonoassociazioni-fondiarie</w:t>
        </w:r>
      </w:hyperlink>
    </w:p>
  </w:footnote>
  <w:footnote w:id="11">
    <w:p w14:paraId="770317A9" w14:textId="564D809F" w:rsidR="0070759F" w:rsidRPr="009A357D" w:rsidRDefault="0070759F" w:rsidP="002645ED">
      <w:pPr>
        <w:pStyle w:val="Testonotaapidipagina"/>
        <w:ind w:left="142" w:hanging="142"/>
        <w:rPr>
          <w:rFonts w:cstheme="minorHAnsi"/>
          <w:sz w:val="18"/>
          <w:szCs w:val="18"/>
        </w:rPr>
      </w:pPr>
      <w:r>
        <w:rPr>
          <w:rStyle w:val="Rimandonotaapidipagina"/>
        </w:rPr>
        <w:footnoteRef/>
      </w:r>
      <w:r w:rsidRPr="009A357D">
        <w:t xml:space="preserve"> </w:t>
      </w:r>
      <w:r w:rsidRPr="009A357D">
        <w:rPr>
          <w:rFonts w:cstheme="minorHAnsi"/>
          <w:sz w:val="18"/>
          <w:szCs w:val="18"/>
        </w:rPr>
        <w:t>RRN (2020), L’accesso al credito e agli strumenti finanziari per lo sviluppo rurale in Italia. Documento di orientamento a cura di Licciardo F</w:t>
      </w:r>
      <w:r w:rsidR="00DF5ABA">
        <w:rPr>
          <w:rFonts w:cstheme="minorHAnsi"/>
          <w:sz w:val="18"/>
          <w:szCs w:val="18"/>
        </w:rPr>
        <w:t>.</w:t>
      </w:r>
      <w:r w:rsidRPr="009A357D">
        <w:rPr>
          <w:rFonts w:cstheme="minorHAnsi"/>
          <w:sz w:val="18"/>
          <w:szCs w:val="18"/>
        </w:rPr>
        <w:t xml:space="preserve">, ottobre 2020. </w:t>
      </w:r>
    </w:p>
  </w:footnote>
  <w:footnote w:id="12">
    <w:p w14:paraId="4CAFA0E2" w14:textId="77777777" w:rsidR="0070759F" w:rsidRPr="00932997" w:rsidRDefault="0070759F" w:rsidP="002645ED">
      <w:pPr>
        <w:pStyle w:val="Testonotaapidipagina"/>
        <w:ind w:left="142" w:hanging="142"/>
        <w:rPr>
          <w:sz w:val="18"/>
          <w:szCs w:val="18"/>
        </w:rPr>
      </w:pPr>
      <w:r w:rsidRPr="006F7F79">
        <w:rPr>
          <w:rStyle w:val="Rimandonotaapidipagina"/>
          <w:sz w:val="18"/>
          <w:szCs w:val="18"/>
        </w:rPr>
        <w:footnoteRef/>
      </w:r>
      <w:r w:rsidRPr="00932997">
        <w:rPr>
          <w:sz w:val="18"/>
          <w:szCs w:val="18"/>
        </w:rPr>
        <w:t xml:space="preserve"> </w:t>
      </w:r>
      <w:bookmarkStart w:id="21" w:name="_Hlk54620035"/>
      <w:r w:rsidRPr="00932997">
        <w:rPr>
          <w:sz w:val="18"/>
          <w:szCs w:val="18"/>
        </w:rPr>
        <w:t>ISMEA (2018), op. cit., pag. 12-13.</w:t>
      </w:r>
      <w:bookmarkEnd w:id="21"/>
    </w:p>
  </w:footnote>
  <w:footnote w:id="13">
    <w:p w14:paraId="08BBECED" w14:textId="77777777" w:rsidR="0070759F" w:rsidRPr="006F7F79" w:rsidRDefault="0070759F" w:rsidP="002645ED">
      <w:pPr>
        <w:pStyle w:val="Testonotaapidipagina"/>
        <w:ind w:left="142" w:hanging="142"/>
        <w:rPr>
          <w:rFonts w:cstheme="minorHAnsi"/>
          <w:sz w:val="18"/>
          <w:szCs w:val="18"/>
        </w:rPr>
      </w:pPr>
      <w:r w:rsidRPr="006F7F79">
        <w:rPr>
          <w:rStyle w:val="Rimandonotaapidipagina"/>
          <w:rFonts w:cstheme="minorHAnsi"/>
          <w:sz w:val="18"/>
          <w:szCs w:val="18"/>
        </w:rPr>
        <w:footnoteRef/>
      </w:r>
      <w:r w:rsidRPr="006F7F79">
        <w:rPr>
          <w:rFonts w:cstheme="minorHAnsi"/>
          <w:sz w:val="18"/>
          <w:szCs w:val="18"/>
        </w:rPr>
        <w:t xml:space="preserve"> Fino al 1993, l’accesso al credito delle imprese agricole è stato favorito dalla legislazione bancaria che prevedeva all’interno delle banche delle sezioni speciali per il credito agrario. L’adozione del Testo Unico Bancario del 1994 e il passaggio al modello di “banca universale”, oltre all’abrogazione della legge istitutiva del credito agrario (legge 1760/28), ha progressivamente ridotto tale canale di finanziamento per il settore agricolo. </w:t>
      </w:r>
    </w:p>
  </w:footnote>
  <w:footnote w:id="14">
    <w:p w14:paraId="2C7CE603" w14:textId="77777777" w:rsidR="0070759F" w:rsidRDefault="0070759F" w:rsidP="00932997">
      <w:pPr>
        <w:pStyle w:val="Testonotaapidipagina"/>
      </w:pPr>
      <w:r w:rsidRPr="006F7F79">
        <w:rPr>
          <w:rStyle w:val="Rimandonotaapidipagina"/>
          <w:sz w:val="18"/>
          <w:szCs w:val="18"/>
        </w:rPr>
        <w:footnoteRef/>
      </w:r>
      <w:r w:rsidRPr="006F7F79">
        <w:rPr>
          <w:sz w:val="18"/>
          <w:szCs w:val="18"/>
        </w:rPr>
        <w:t xml:space="preserve"> </w:t>
      </w:r>
      <w:bookmarkStart w:id="22" w:name="_Hlk54709004"/>
      <w:r w:rsidRPr="006F7F79">
        <w:rPr>
          <w:sz w:val="18"/>
          <w:szCs w:val="18"/>
        </w:rPr>
        <w:t xml:space="preserve">ISMEA (2018), op. cit., pag. </w:t>
      </w:r>
      <w:r>
        <w:rPr>
          <w:sz w:val="18"/>
          <w:szCs w:val="18"/>
        </w:rPr>
        <w:t>46</w:t>
      </w:r>
      <w:r w:rsidRPr="006F7F79">
        <w:rPr>
          <w:sz w:val="18"/>
          <w:szCs w:val="18"/>
        </w:rPr>
        <w:t>.</w:t>
      </w:r>
      <w:bookmarkEnd w:id="22"/>
    </w:p>
  </w:footnote>
  <w:footnote w:id="15">
    <w:p w14:paraId="4E90D77B" w14:textId="77777777" w:rsidR="0070759F" w:rsidRDefault="0070759F" w:rsidP="00932997">
      <w:pPr>
        <w:pStyle w:val="Testonotaapidipagina"/>
      </w:pPr>
      <w:r>
        <w:rPr>
          <w:rStyle w:val="Rimandonotaapidipagina"/>
        </w:rPr>
        <w:footnoteRef/>
      </w:r>
      <w:r>
        <w:t xml:space="preserve"> </w:t>
      </w:r>
      <w:r w:rsidRPr="00621206">
        <w:t>Fonte: ISMEA (2019), PSR 2014-2020. Report dell’osservatorio regionale sul credito agricolo. Dati aggiornati a giugno 2019, Rete Rurale Nazionale - Mipaaf, Roma.</w:t>
      </w:r>
    </w:p>
  </w:footnote>
  <w:footnote w:id="16">
    <w:p w14:paraId="25A77415" w14:textId="77777777" w:rsidR="0070759F" w:rsidRPr="00D25066" w:rsidRDefault="0070759F" w:rsidP="00932997">
      <w:pPr>
        <w:pStyle w:val="Testonotaapidipagina"/>
        <w:rPr>
          <w:sz w:val="18"/>
          <w:szCs w:val="18"/>
        </w:rPr>
      </w:pPr>
      <w:r w:rsidRPr="00D25066">
        <w:rPr>
          <w:rStyle w:val="Rimandonotaapidipagina"/>
          <w:sz w:val="18"/>
          <w:szCs w:val="18"/>
        </w:rPr>
        <w:footnoteRef/>
      </w:r>
      <w:r w:rsidRPr="00D25066">
        <w:rPr>
          <w:sz w:val="18"/>
          <w:szCs w:val="18"/>
        </w:rPr>
        <w:t xml:space="preserve"> I rispondenti sono stati 609.</w:t>
      </w:r>
    </w:p>
  </w:footnote>
  <w:footnote w:id="17">
    <w:p w14:paraId="241D20C6" w14:textId="33751AD2" w:rsidR="0070759F" w:rsidRPr="00C62ED2" w:rsidRDefault="0070759F" w:rsidP="002645ED">
      <w:pPr>
        <w:autoSpaceDE w:val="0"/>
        <w:autoSpaceDN w:val="0"/>
        <w:adjustRightInd w:val="0"/>
        <w:spacing w:after="0" w:line="240" w:lineRule="auto"/>
        <w:ind w:left="142" w:hanging="142"/>
        <w:rPr>
          <w:rFonts w:cstheme="minorHAnsi"/>
          <w:sz w:val="18"/>
          <w:szCs w:val="18"/>
        </w:rPr>
      </w:pPr>
      <w:r w:rsidRPr="00C62ED2">
        <w:rPr>
          <w:rStyle w:val="Rimandonotaapidipagina"/>
          <w:sz w:val="18"/>
          <w:szCs w:val="18"/>
        </w:rPr>
        <w:footnoteRef/>
      </w:r>
      <w:r w:rsidRPr="00C62ED2">
        <w:rPr>
          <w:sz w:val="18"/>
          <w:szCs w:val="18"/>
        </w:rPr>
        <w:t>Fonte: Corte dei Conti – Sezione di Controllo per gli Affari Comunitari ed Internazionali. Relazione Speciale su: Il sostegno dell’UE al ricambio generazionale in agricoltura e all’imprenditoria giovanile. Deliberazione n. 13/2018</w:t>
      </w:r>
      <w:r w:rsidRPr="00C62ED2">
        <w:rPr>
          <w:rStyle w:val="Collegamentoipertestuale"/>
          <w:rFonts w:cstheme="minorHAnsi"/>
          <w:sz w:val="18"/>
          <w:szCs w:val="18"/>
        </w:rPr>
        <w:t xml:space="preserve"> </w:t>
      </w:r>
    </w:p>
  </w:footnote>
  <w:footnote w:id="18">
    <w:p w14:paraId="0C7F08ED" w14:textId="77777777" w:rsidR="0070759F" w:rsidRPr="00C62ED2" w:rsidRDefault="0070759F" w:rsidP="002645ED">
      <w:pPr>
        <w:pStyle w:val="Testonotaapidipagina"/>
        <w:ind w:left="142" w:hanging="142"/>
        <w:rPr>
          <w:sz w:val="18"/>
          <w:szCs w:val="18"/>
        </w:rPr>
      </w:pPr>
      <w:r w:rsidRPr="00C62ED2">
        <w:rPr>
          <w:rStyle w:val="Rimandonotaapidipagina"/>
          <w:sz w:val="18"/>
          <w:szCs w:val="18"/>
        </w:rPr>
        <w:footnoteRef/>
      </w:r>
      <w:hyperlink r:id="rId3" w:history="1">
        <w:r w:rsidRPr="00C62ED2">
          <w:rPr>
            <w:rStyle w:val="Collegamentoipertestuale"/>
            <w:sz w:val="18"/>
            <w:szCs w:val="18"/>
          </w:rPr>
          <w:t>https://www.fi-compass.eu/publication/brochures/survey-financial-needs-and-access-finance-eu-agricultural-enterprises</w:t>
        </w:r>
      </w:hyperlink>
    </w:p>
  </w:footnote>
  <w:footnote w:id="19">
    <w:p w14:paraId="00861A08" w14:textId="77777777" w:rsidR="0070759F" w:rsidRPr="00C62ED2" w:rsidRDefault="0070759F" w:rsidP="002645ED">
      <w:pPr>
        <w:pStyle w:val="Testonotaapidipagina"/>
        <w:ind w:left="142" w:hanging="142"/>
        <w:rPr>
          <w:sz w:val="18"/>
          <w:szCs w:val="18"/>
        </w:rPr>
      </w:pPr>
      <w:r w:rsidRPr="00C62ED2">
        <w:rPr>
          <w:rStyle w:val="Rimandonotaapidipagina"/>
          <w:sz w:val="18"/>
          <w:szCs w:val="18"/>
        </w:rPr>
        <w:footnoteRef/>
      </w:r>
      <w:r w:rsidRPr="00C62ED2">
        <w:rPr>
          <w:sz w:val="18"/>
          <w:szCs w:val="18"/>
        </w:rPr>
        <w:t xml:space="preserve"> </w:t>
      </w:r>
      <w:bookmarkStart w:id="23" w:name="_Hlk55466928"/>
      <w:r w:rsidRPr="00C62ED2">
        <w:rPr>
          <w:sz w:val="18"/>
          <w:szCs w:val="18"/>
        </w:rPr>
        <w:t>AGROTEC (2015), Servizio di valutazione del PSR Basilicata 2007-2013. Rapporto di approfondimento tematico - Indagine sull’effettiva possibilità di accesso al credito nel PSR Basilicata 2007/2013: cosa ha funzionato e cosa non ha funzionato, soluzioni alternative ed opportunità per il credito.</w:t>
      </w:r>
      <w:bookmarkEnd w:id="23"/>
    </w:p>
  </w:footnote>
  <w:footnote w:id="20">
    <w:p w14:paraId="33A165A5" w14:textId="77777777" w:rsidR="0070759F" w:rsidRPr="00C67129" w:rsidRDefault="0070759F" w:rsidP="00C67129">
      <w:pPr>
        <w:pStyle w:val="Testonotaapidipagina"/>
        <w:ind w:left="142" w:hanging="142"/>
        <w:rPr>
          <w:sz w:val="18"/>
          <w:szCs w:val="18"/>
        </w:rPr>
      </w:pPr>
      <w:r>
        <w:rPr>
          <w:rStyle w:val="Rimandonotaapidipagina"/>
        </w:rPr>
        <w:footnoteRef/>
      </w:r>
      <w:r>
        <w:t xml:space="preserve"> </w:t>
      </w:r>
      <w:r w:rsidRPr="00C67129">
        <w:rPr>
          <w:sz w:val="18"/>
          <w:szCs w:val="18"/>
        </w:rPr>
        <w:t>Fonte: Lattanzio ADVISORY Public sector (2015), Servizio di valutazione indipendente del Programma di Sviluppo Rurale 2007-2013. Allegato alla Relazione di valutazione ex post. Indagine sull’accesso al credito e propensione agli investimenti, Roma.</w:t>
      </w:r>
    </w:p>
  </w:footnote>
  <w:footnote w:id="21">
    <w:p w14:paraId="51C54262" w14:textId="77777777" w:rsidR="0070759F" w:rsidRPr="001D70B5" w:rsidRDefault="0070759F" w:rsidP="00932997">
      <w:pPr>
        <w:pStyle w:val="Testonotaapidipagina"/>
        <w:rPr>
          <w:rFonts w:cs="Calibri"/>
          <w:sz w:val="18"/>
          <w:szCs w:val="18"/>
        </w:rPr>
      </w:pPr>
      <w:r w:rsidRPr="001D70B5">
        <w:rPr>
          <w:rStyle w:val="Rimandonotaapidipagina"/>
          <w:rFonts w:cs="Calibri"/>
          <w:sz w:val="18"/>
          <w:szCs w:val="18"/>
        </w:rPr>
        <w:footnoteRef/>
      </w:r>
      <w:r w:rsidRPr="001D70B5">
        <w:rPr>
          <w:rFonts w:cs="Calibri"/>
          <w:sz w:val="18"/>
          <w:szCs w:val="18"/>
        </w:rPr>
        <w:t xml:space="preserve"> Da uno studio condotto negli SM (</w:t>
      </w:r>
      <w:r w:rsidRPr="000561ED">
        <w:rPr>
          <w:rFonts w:cs="Calibri"/>
          <w:sz w:val="18"/>
          <w:szCs w:val="18"/>
        </w:rPr>
        <w:t>Fi-compass, 2018</w:t>
      </w:r>
      <w:r w:rsidRPr="001D70B5">
        <w:rPr>
          <w:rFonts w:cs="Calibri"/>
          <w:sz w:val="18"/>
          <w:szCs w:val="18"/>
        </w:rPr>
        <w:t xml:space="preserve">), risulta che gli SF riguardano principalmente lo sviluppo, la modernizzazione o l’adeguamento dell’agricoltura e della silvicoltura, mentre in pochi casi sono destinati alle infrastrutture rurali. Solo la Galizia ha programmato uno strumento per migliorare accessibilità, uso e qualità delle tecnologie dell’informazione e della comunicazione.  </w:t>
      </w:r>
    </w:p>
  </w:footnote>
  <w:footnote w:id="22">
    <w:p w14:paraId="17908DF9" w14:textId="77777777" w:rsidR="0070759F" w:rsidRPr="005C7FD3" w:rsidRDefault="0070759F" w:rsidP="00932997">
      <w:pPr>
        <w:pStyle w:val="Testonotaapidipagina"/>
        <w:rPr>
          <w:sz w:val="18"/>
          <w:szCs w:val="18"/>
        </w:rPr>
      </w:pPr>
      <w:r w:rsidRPr="005C7FD3">
        <w:rPr>
          <w:rStyle w:val="Rimandonotaapidipagina"/>
          <w:sz w:val="18"/>
          <w:szCs w:val="18"/>
        </w:rPr>
        <w:footnoteRef/>
      </w:r>
      <w:r w:rsidRPr="005C7FD3">
        <w:rPr>
          <w:sz w:val="18"/>
          <w:szCs w:val="18"/>
        </w:rPr>
        <w:t xml:space="preserve"> </w:t>
      </w:r>
      <w:hyperlink r:id="rId4" w:history="1">
        <w:r w:rsidRPr="005C7FD3">
          <w:rPr>
            <w:rStyle w:val="Collegamentoipertestuale"/>
            <w:sz w:val="18"/>
            <w:szCs w:val="18"/>
          </w:rPr>
          <w:t>https://www.ecb.europa.eu/stats/ecb_surveys/safe/html/index.en.html</w:t>
        </w:r>
      </w:hyperlink>
    </w:p>
  </w:footnote>
  <w:footnote w:id="23">
    <w:p w14:paraId="59EC7F6F" w14:textId="4B579A75" w:rsidR="0070759F" w:rsidRPr="007B1FA2" w:rsidRDefault="0070759F" w:rsidP="003E63B9">
      <w:pPr>
        <w:pStyle w:val="Testonotaapidipagina"/>
        <w:ind w:left="284" w:hanging="284"/>
        <w:rPr>
          <w:sz w:val="18"/>
          <w:szCs w:val="18"/>
        </w:rPr>
      </w:pPr>
      <w:r>
        <w:rPr>
          <w:rStyle w:val="Rimandonotaapidipagina"/>
        </w:rPr>
        <w:footnoteRef/>
      </w:r>
      <w:r>
        <w:t xml:space="preserve"> </w:t>
      </w:r>
      <w:r w:rsidRPr="007B1FA2">
        <w:rPr>
          <w:sz w:val="18"/>
          <w:szCs w:val="18"/>
        </w:rPr>
        <w:t xml:space="preserve">Per maggiori </w:t>
      </w:r>
      <w:r w:rsidRPr="003E63B9">
        <w:rPr>
          <w:sz w:val="18"/>
          <w:szCs w:val="18"/>
        </w:rPr>
        <w:t xml:space="preserve">dettagli sul fabbisogno formativo dei giovani agricoltori italiani si rimanda all’indagine della RRN </w:t>
      </w:r>
      <w:hyperlink r:id="rId5" w:history="1">
        <w:r w:rsidRPr="003E63B9">
          <w:rPr>
            <w:rStyle w:val="Collegamentoipertestuale"/>
            <w:sz w:val="18"/>
            <w:szCs w:val="18"/>
          </w:rPr>
          <w:t>https://www.reterurale.it/flex/cm/pages/ServeBLOB.php/L/IT/IDPagina/10873</w:t>
        </w:r>
      </w:hyperlink>
    </w:p>
  </w:footnote>
  <w:footnote w:id="24">
    <w:p w14:paraId="503E6884" w14:textId="77777777" w:rsidR="0070759F" w:rsidRPr="00652E51" w:rsidRDefault="0070759F" w:rsidP="000561ED">
      <w:pPr>
        <w:pStyle w:val="Testonotaapidipagina"/>
        <w:rPr>
          <w:sz w:val="18"/>
          <w:szCs w:val="18"/>
        </w:rPr>
      </w:pPr>
      <w:r>
        <w:rPr>
          <w:rStyle w:val="Rimandonotaapidipagina"/>
        </w:rPr>
        <w:footnoteRef/>
      </w:r>
      <w:r>
        <w:t xml:space="preserve"> </w:t>
      </w:r>
      <w:r w:rsidRPr="00652E51">
        <w:rPr>
          <w:sz w:val="18"/>
          <w:szCs w:val="18"/>
        </w:rPr>
        <w:t>https://terraevita.edagricole.it/agricoltura-giovane/giovani-agricoltori-giovani-innovatori/</w:t>
      </w:r>
    </w:p>
  </w:footnote>
  <w:footnote w:id="25">
    <w:p w14:paraId="757BBEBE" w14:textId="77777777" w:rsidR="0070759F" w:rsidRDefault="0070759F" w:rsidP="00652E51">
      <w:pPr>
        <w:pStyle w:val="Testonotaapidipagina"/>
        <w:ind w:left="142" w:hanging="142"/>
      </w:pPr>
      <w:r>
        <w:rPr>
          <w:rStyle w:val="Rimandonotaapidipagina"/>
        </w:rPr>
        <w:footnoteRef/>
      </w:r>
      <w:r>
        <w:t xml:space="preserve"> </w:t>
      </w:r>
      <w:r w:rsidRPr="00652E51">
        <w:rPr>
          <w:sz w:val="18"/>
          <w:szCs w:val="18"/>
        </w:rPr>
        <w:t>Il pacchetto giovani può comprende un insieme di misure in favore dei giovani che si insediano in agricoltura per la prima volta in grado di sostenere l’impresa sotto il profilo non solo dell’insediamento ma anche del consolidamento, degli investimenti, della creazione di valore aggiunto.</w:t>
      </w:r>
      <w:r>
        <w:t xml:space="preserve">  </w:t>
      </w:r>
    </w:p>
  </w:footnote>
  <w:footnote w:id="26">
    <w:p w14:paraId="27517D94" w14:textId="308B9FFC" w:rsidR="0070759F" w:rsidRPr="0076109C" w:rsidRDefault="0070759F" w:rsidP="0076109C">
      <w:pPr>
        <w:pStyle w:val="Testonotaapidipagina"/>
        <w:ind w:left="142" w:hanging="142"/>
        <w:rPr>
          <w:sz w:val="18"/>
          <w:szCs w:val="18"/>
        </w:rPr>
      </w:pPr>
      <w:r>
        <w:rPr>
          <w:rStyle w:val="Rimandonotaapidipagina"/>
        </w:rPr>
        <w:footnoteRef/>
      </w:r>
      <w:r>
        <w:t xml:space="preserve"> </w:t>
      </w:r>
      <w:r w:rsidRPr="0076109C">
        <w:rPr>
          <w:sz w:val="18"/>
          <w:szCs w:val="18"/>
        </w:rPr>
        <w:t xml:space="preserve">In </w:t>
      </w:r>
      <w:r w:rsidR="0076109C" w:rsidRPr="0076109C">
        <w:rPr>
          <w:sz w:val="18"/>
          <w:szCs w:val="18"/>
        </w:rPr>
        <w:t>Friuli-Venezia Giulia</w:t>
      </w:r>
      <w:r w:rsidRPr="0076109C">
        <w:rPr>
          <w:sz w:val="18"/>
          <w:szCs w:val="18"/>
        </w:rPr>
        <w:t xml:space="preserve"> la tabella tiene conto solo dei 95 beneficiari che hanno presentato domanda nel corso del periodo 2007-2013. Tuttavia</w:t>
      </w:r>
      <w:r w:rsidR="0076109C">
        <w:rPr>
          <w:sz w:val="18"/>
          <w:szCs w:val="18"/>
        </w:rPr>
        <w:t>,</w:t>
      </w:r>
      <w:r w:rsidRPr="0076109C">
        <w:rPr>
          <w:sz w:val="18"/>
          <w:szCs w:val="18"/>
        </w:rPr>
        <w:t xml:space="preserve"> a questi si aggiungono 197 beneficiari che hanno presentato domanda nel periodo 2000-2006 ma che sono stati finanziati nella programmazione successiva. Inoltre, con fondi propri la regione ha finanziato altri 276 beneficiari. Sommando le tre tipologie di finanziamento si arriva ad un totale di 568 beneficiari.   </w:t>
      </w:r>
    </w:p>
  </w:footnote>
  <w:footnote w:id="27">
    <w:p w14:paraId="3CE12A6F" w14:textId="77777777" w:rsidR="0070759F" w:rsidRPr="00441743" w:rsidRDefault="0070759F" w:rsidP="00325025">
      <w:pPr>
        <w:pStyle w:val="Testonotaapidipagina"/>
        <w:ind w:left="142" w:hanging="142"/>
        <w:rPr>
          <w:sz w:val="18"/>
          <w:szCs w:val="18"/>
        </w:rPr>
      </w:pPr>
      <w:r>
        <w:rPr>
          <w:rStyle w:val="Rimandonotaapidipagina"/>
        </w:rPr>
        <w:footnoteRef/>
      </w:r>
      <w:r w:rsidRPr="00441743">
        <w:rPr>
          <w:sz w:val="18"/>
          <w:szCs w:val="18"/>
        </w:rPr>
        <w:t xml:space="preserve">Il paragrafo riporta una sintesi della ricognizione contenuta nella pubblicazione </w:t>
      </w:r>
      <w:r w:rsidRPr="00441743">
        <w:rPr>
          <w:rStyle w:val="Collegamentoipertestuale"/>
          <w:rFonts w:cstheme="minorHAnsi"/>
          <w:sz w:val="18"/>
          <w:szCs w:val="18"/>
        </w:rPr>
        <w:t>Analisi dell’attuazione della sottomisura 6.1 aiuti all’avviamento d’impresa per giovani agricoltori, RRN Roma dicembre 2017</w:t>
      </w:r>
      <w:r w:rsidRPr="00441743">
        <w:rPr>
          <w:sz w:val="18"/>
          <w:szCs w:val="18"/>
        </w:rPr>
        <w:t>. I dati sono aggiornati al 30 settembre 2017.</w:t>
      </w:r>
      <w:r>
        <w:rPr>
          <w:sz w:val="18"/>
          <w:szCs w:val="18"/>
        </w:rPr>
        <w:t xml:space="preserve"> La regione Veneto ha fornito dati aggiornati al 31/12/2018. </w:t>
      </w:r>
    </w:p>
  </w:footnote>
  <w:footnote w:id="28">
    <w:p w14:paraId="2525CA27" w14:textId="77777777" w:rsidR="0070759F" w:rsidRDefault="0070759F" w:rsidP="00325025">
      <w:pPr>
        <w:pStyle w:val="Testonotaapidipagina"/>
        <w:ind w:left="142" w:hanging="142"/>
      </w:pPr>
      <w:r>
        <w:rPr>
          <w:rStyle w:val="Rimandonotaapidipagina"/>
        </w:rPr>
        <w:footnoteRef/>
      </w:r>
      <w:r>
        <w:t xml:space="preserve"> </w:t>
      </w:r>
      <w:r w:rsidRPr="008C1966">
        <w:rPr>
          <w:sz w:val="18"/>
          <w:szCs w:val="18"/>
        </w:rPr>
        <w:t>Relazione Speciale Corte dei Conti Europea n.10, 2017 “Rendere più mirato il sostegno dell’UE ai giovani agricoltori per promuovere efficacemente il ricambio generazionale</w:t>
      </w:r>
      <w:r w:rsidRPr="00C662D7">
        <w:t>”.</w:t>
      </w:r>
    </w:p>
  </w:footnote>
  <w:footnote w:id="29">
    <w:p w14:paraId="35C90E3D" w14:textId="77777777" w:rsidR="0070759F" w:rsidRPr="008C1966" w:rsidRDefault="0070759F" w:rsidP="00325025">
      <w:pPr>
        <w:pStyle w:val="Testonotaapidipagina"/>
        <w:ind w:left="142" w:hanging="142"/>
        <w:rPr>
          <w:sz w:val="18"/>
          <w:szCs w:val="18"/>
        </w:rPr>
      </w:pPr>
      <w:r w:rsidRPr="00C662D7">
        <w:rPr>
          <w:vertAlign w:val="superscript"/>
        </w:rPr>
        <w:footnoteRef/>
      </w:r>
      <w:r>
        <w:t xml:space="preserve"> </w:t>
      </w:r>
      <w:r w:rsidRPr="008C1966">
        <w:rPr>
          <w:sz w:val="18"/>
          <w:szCs w:val="18"/>
        </w:rPr>
        <w:t>Fonte: Rapporto di valutazione ex post del PSR 2007-2013, Emilia-Romagna</w:t>
      </w:r>
    </w:p>
  </w:footnote>
  <w:footnote w:id="30">
    <w:p w14:paraId="7D340C5A" w14:textId="77777777" w:rsidR="0070759F" w:rsidRPr="008C1966" w:rsidRDefault="0070759F" w:rsidP="00325025">
      <w:pPr>
        <w:autoSpaceDE w:val="0"/>
        <w:autoSpaceDN w:val="0"/>
        <w:adjustRightInd w:val="0"/>
        <w:spacing w:after="0" w:line="240" w:lineRule="auto"/>
        <w:ind w:left="142" w:hanging="142"/>
        <w:rPr>
          <w:sz w:val="18"/>
          <w:szCs w:val="18"/>
        </w:rPr>
      </w:pPr>
      <w:r w:rsidRPr="00C662D7">
        <w:rPr>
          <w:sz w:val="20"/>
          <w:szCs w:val="20"/>
          <w:vertAlign w:val="superscript"/>
        </w:rPr>
        <w:footnoteRef/>
      </w:r>
      <w:r w:rsidRPr="00C662D7">
        <w:rPr>
          <w:sz w:val="20"/>
          <w:szCs w:val="20"/>
          <w:vertAlign w:val="superscript"/>
        </w:rPr>
        <w:t xml:space="preserve"> </w:t>
      </w:r>
      <w:r w:rsidRPr="008C1966">
        <w:rPr>
          <w:sz w:val="18"/>
          <w:szCs w:val="18"/>
        </w:rPr>
        <w:t>Per i beneficiari di entrambe le misure è stata considerata solo la quota di incremento del valore</w:t>
      </w:r>
      <w:r>
        <w:rPr>
          <w:sz w:val="18"/>
          <w:szCs w:val="18"/>
        </w:rPr>
        <w:t xml:space="preserve"> </w:t>
      </w:r>
      <w:r w:rsidRPr="008C1966">
        <w:rPr>
          <w:sz w:val="18"/>
          <w:szCs w:val="18"/>
        </w:rPr>
        <w:t>aggiunto lordo annuo relativa all’aiuto fornito dalla misura di insediamento.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DB71A" w14:textId="5FADB1E3" w:rsidR="0070759F" w:rsidRPr="009241B9" w:rsidRDefault="5B813BCF" w:rsidP="009241B9">
    <w:pPr>
      <w:pStyle w:val="Intestazione"/>
    </w:pPr>
    <w:r>
      <w:rPr>
        <w:noProof/>
        <w:lang w:eastAsia="it-IT"/>
      </w:rPr>
      <w:drawing>
        <wp:inline distT="0" distB="0" distL="0" distR="0" wp14:anchorId="5482D90E" wp14:editId="6AB30280">
          <wp:extent cx="5835015" cy="838200"/>
          <wp:effectExtent l="0" t="0" r="0" b="0"/>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5835015" cy="838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9C9"/>
    <w:multiLevelType w:val="hybridMultilevel"/>
    <w:tmpl w:val="743A3A2A"/>
    <w:lvl w:ilvl="0" w:tplc="6EB0F6E0">
      <w:start w:val="1"/>
      <w:numFmt w:val="decimal"/>
      <w:lvlText w:val="%1."/>
      <w:lvlJc w:val="left"/>
      <w:pPr>
        <w:ind w:left="360" w:hanging="360"/>
      </w:pPr>
      <w:rPr>
        <w:rFonts w:hint="default"/>
        <w:sz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5A5449C"/>
    <w:multiLevelType w:val="hybridMultilevel"/>
    <w:tmpl w:val="2D8EED02"/>
    <w:lvl w:ilvl="0" w:tplc="151E80EA">
      <w:start w:val="13"/>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15:restartNumberingAfterBreak="0">
    <w:nsid w:val="06A809C7"/>
    <w:multiLevelType w:val="hybridMultilevel"/>
    <w:tmpl w:val="721AD95E"/>
    <w:lvl w:ilvl="0" w:tplc="F3BAD4A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707412"/>
    <w:multiLevelType w:val="hybridMultilevel"/>
    <w:tmpl w:val="2FECF5F2"/>
    <w:lvl w:ilvl="0" w:tplc="D870E69C">
      <w:numFmt w:val="bullet"/>
      <w:pStyle w:val="Elenco"/>
      <w:lvlText w:val="•"/>
      <w:lvlJc w:val="left"/>
      <w:pPr>
        <w:ind w:left="360" w:hanging="360"/>
      </w:pPr>
      <w:rPr>
        <w:rFonts w:ascii="Calibri" w:hAnsi="Calibri" w:hint="default"/>
        <w:color w:val="auto"/>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41AE5"/>
    <w:multiLevelType w:val="hybridMultilevel"/>
    <w:tmpl w:val="CC80D4D6"/>
    <w:lvl w:ilvl="0" w:tplc="F3BAD4A8">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7F6E6C"/>
    <w:multiLevelType w:val="hybridMultilevel"/>
    <w:tmpl w:val="E03AC9DE"/>
    <w:lvl w:ilvl="0" w:tplc="32C404C8">
      <w:start w:val="14"/>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15:restartNumberingAfterBreak="0">
    <w:nsid w:val="0C05570F"/>
    <w:multiLevelType w:val="hybridMultilevel"/>
    <w:tmpl w:val="3A3A34D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3D4B1E"/>
    <w:multiLevelType w:val="hybridMultilevel"/>
    <w:tmpl w:val="E670E87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FF61265"/>
    <w:multiLevelType w:val="hybridMultilevel"/>
    <w:tmpl w:val="8C8C7F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FF4C1B"/>
    <w:multiLevelType w:val="hybridMultilevel"/>
    <w:tmpl w:val="E96EC44E"/>
    <w:lvl w:ilvl="0" w:tplc="510EE80E">
      <w:start w:val="10"/>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169E53C7"/>
    <w:multiLevelType w:val="hybridMultilevel"/>
    <w:tmpl w:val="A22277D6"/>
    <w:lvl w:ilvl="0" w:tplc="7D8848B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0896D71"/>
    <w:multiLevelType w:val="hybridMultilevel"/>
    <w:tmpl w:val="995CC95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2AD7B93"/>
    <w:multiLevelType w:val="hybridMultilevel"/>
    <w:tmpl w:val="477A6CBC"/>
    <w:lvl w:ilvl="0" w:tplc="55DA17AC">
      <w:start w:val="2"/>
      <w:numFmt w:val="decimal"/>
      <w:lvlText w:val="%1."/>
      <w:lvlJc w:val="left"/>
      <w:pPr>
        <w:ind w:left="644" w:hanging="360"/>
      </w:pPr>
      <w:rPr>
        <w:rFonts w:hint="default"/>
      </w:rPr>
    </w:lvl>
    <w:lvl w:ilvl="1" w:tplc="04100019">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15:restartNumberingAfterBreak="0">
    <w:nsid w:val="241863A3"/>
    <w:multiLevelType w:val="hybridMultilevel"/>
    <w:tmpl w:val="B972C672"/>
    <w:lvl w:ilvl="0" w:tplc="D7D8F95A">
      <w:start w:val="1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15:restartNumberingAfterBreak="0">
    <w:nsid w:val="2938088E"/>
    <w:multiLevelType w:val="hybridMultilevel"/>
    <w:tmpl w:val="6944BD6A"/>
    <w:lvl w:ilvl="0" w:tplc="9312A20E">
      <w:start w:val="6"/>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29A300B8"/>
    <w:multiLevelType w:val="hybridMultilevel"/>
    <w:tmpl w:val="A34E6DC8"/>
    <w:lvl w:ilvl="0" w:tplc="F3BAD4A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A3902FA"/>
    <w:multiLevelType w:val="hybridMultilevel"/>
    <w:tmpl w:val="05CA899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B0C2B64"/>
    <w:multiLevelType w:val="hybridMultilevel"/>
    <w:tmpl w:val="3AA8B6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7B6FDA"/>
    <w:multiLevelType w:val="hybridMultilevel"/>
    <w:tmpl w:val="A4C2318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4D91703"/>
    <w:multiLevelType w:val="multilevel"/>
    <w:tmpl w:val="14F8D900"/>
    <w:lvl w:ilvl="0">
      <w:start w:val="1"/>
      <w:numFmt w:val="decimal"/>
      <w:lvlText w:val="%1."/>
      <w:lvlJc w:val="left"/>
      <w:pPr>
        <w:ind w:left="644" w:hanging="360"/>
      </w:p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5CC1505"/>
    <w:multiLevelType w:val="hybridMultilevel"/>
    <w:tmpl w:val="307440CC"/>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377538C9"/>
    <w:multiLevelType w:val="hybridMultilevel"/>
    <w:tmpl w:val="C8702E8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CB765CC"/>
    <w:multiLevelType w:val="hybridMultilevel"/>
    <w:tmpl w:val="FC4CA5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907933"/>
    <w:multiLevelType w:val="hybridMultilevel"/>
    <w:tmpl w:val="D75ED3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3ECF45E8"/>
    <w:multiLevelType w:val="hybridMultilevel"/>
    <w:tmpl w:val="FF6EEAB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F1E1F3B"/>
    <w:multiLevelType w:val="hybridMultilevel"/>
    <w:tmpl w:val="8C1C80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56F02CF"/>
    <w:multiLevelType w:val="multilevel"/>
    <w:tmpl w:val="41F49492"/>
    <w:lvl w:ilvl="0">
      <w:start w:val="2"/>
      <w:numFmt w:val="decimal"/>
      <w:lvlText w:val="%1"/>
      <w:lvlJc w:val="left"/>
      <w:pPr>
        <w:ind w:left="360" w:hanging="36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7" w15:restartNumberingAfterBreak="0">
    <w:nsid w:val="4880185D"/>
    <w:multiLevelType w:val="hybridMultilevel"/>
    <w:tmpl w:val="C7743AF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BF242E1"/>
    <w:multiLevelType w:val="hybridMultilevel"/>
    <w:tmpl w:val="8F86901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C743676"/>
    <w:multiLevelType w:val="multilevel"/>
    <w:tmpl w:val="5F662F5A"/>
    <w:lvl w:ilvl="0">
      <w:start w:val="4"/>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0" w15:restartNumberingAfterBreak="0">
    <w:nsid w:val="4D370494"/>
    <w:multiLevelType w:val="hybridMultilevel"/>
    <w:tmpl w:val="ACC8242E"/>
    <w:lvl w:ilvl="0" w:tplc="79B45EF6">
      <w:start w:val="1"/>
      <w:numFmt w:val="bullet"/>
      <w:lvlText w:val=""/>
      <w:lvlJc w:val="left"/>
      <w:pPr>
        <w:ind w:left="720" w:hanging="360"/>
      </w:pPr>
      <w:rPr>
        <w:rFonts w:ascii="Symbol" w:hAnsi="Symbo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04D5D02"/>
    <w:multiLevelType w:val="hybridMultilevel"/>
    <w:tmpl w:val="A9104172"/>
    <w:lvl w:ilvl="0" w:tplc="0410000B">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2" w15:restartNumberingAfterBreak="0">
    <w:nsid w:val="51917274"/>
    <w:multiLevelType w:val="hybridMultilevel"/>
    <w:tmpl w:val="3CE2F68C"/>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84B0C7E"/>
    <w:multiLevelType w:val="hybridMultilevel"/>
    <w:tmpl w:val="12F0F5A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85611A2"/>
    <w:multiLevelType w:val="hybridMultilevel"/>
    <w:tmpl w:val="249E462E"/>
    <w:styleLink w:val="Stile4"/>
    <w:lvl w:ilvl="0" w:tplc="DB5AC7C4">
      <w:start w:val="1"/>
      <w:numFmt w:val="decimal"/>
      <w:pStyle w:val="Titolotab"/>
      <w:suff w:val="space"/>
      <w:lvlText w:val="Tabella %1 - "/>
      <w:lvlJc w:val="left"/>
      <w:pPr>
        <w:ind w:left="720" w:hanging="360"/>
      </w:pPr>
      <w:rPr>
        <w:rFonts w:hint="default"/>
      </w:rPr>
    </w:lvl>
    <w:lvl w:ilvl="1" w:tplc="3676DDA4">
      <w:start w:val="1"/>
      <w:numFmt w:val="lowerLetter"/>
      <w:lvlText w:val="%2."/>
      <w:lvlJc w:val="left"/>
      <w:pPr>
        <w:ind w:left="1440" w:hanging="360"/>
      </w:pPr>
      <w:rPr>
        <w:rFonts w:hint="default"/>
      </w:rPr>
    </w:lvl>
    <w:lvl w:ilvl="2" w:tplc="762866E4">
      <w:start w:val="1"/>
      <w:numFmt w:val="lowerRoman"/>
      <w:lvlText w:val="%3."/>
      <w:lvlJc w:val="right"/>
      <w:pPr>
        <w:ind w:left="2160" w:hanging="180"/>
      </w:pPr>
      <w:rPr>
        <w:rFonts w:hint="default"/>
      </w:rPr>
    </w:lvl>
    <w:lvl w:ilvl="3" w:tplc="D7F8F908">
      <w:start w:val="1"/>
      <w:numFmt w:val="decimal"/>
      <w:lvlText w:val="%4."/>
      <w:lvlJc w:val="left"/>
      <w:pPr>
        <w:ind w:left="2880" w:hanging="360"/>
      </w:pPr>
      <w:rPr>
        <w:rFonts w:hint="default"/>
      </w:rPr>
    </w:lvl>
    <w:lvl w:ilvl="4" w:tplc="5C967584">
      <w:start w:val="1"/>
      <w:numFmt w:val="lowerLetter"/>
      <w:lvlText w:val="%5."/>
      <w:lvlJc w:val="left"/>
      <w:pPr>
        <w:ind w:left="3600" w:hanging="360"/>
      </w:pPr>
      <w:rPr>
        <w:rFonts w:hint="default"/>
      </w:rPr>
    </w:lvl>
    <w:lvl w:ilvl="5" w:tplc="A8380E78">
      <w:start w:val="1"/>
      <w:numFmt w:val="lowerRoman"/>
      <w:lvlText w:val="%6."/>
      <w:lvlJc w:val="right"/>
      <w:pPr>
        <w:ind w:left="4320" w:hanging="180"/>
      </w:pPr>
      <w:rPr>
        <w:rFonts w:hint="default"/>
      </w:rPr>
    </w:lvl>
    <w:lvl w:ilvl="6" w:tplc="71009736">
      <w:start w:val="1"/>
      <w:numFmt w:val="decimal"/>
      <w:lvlText w:val="%7."/>
      <w:lvlJc w:val="left"/>
      <w:pPr>
        <w:ind w:left="5040" w:hanging="360"/>
      </w:pPr>
      <w:rPr>
        <w:rFonts w:hint="default"/>
      </w:rPr>
    </w:lvl>
    <w:lvl w:ilvl="7" w:tplc="62E8CD04">
      <w:start w:val="1"/>
      <w:numFmt w:val="lowerLetter"/>
      <w:lvlText w:val="%8."/>
      <w:lvlJc w:val="left"/>
      <w:pPr>
        <w:ind w:left="5760" w:hanging="360"/>
      </w:pPr>
      <w:rPr>
        <w:rFonts w:hint="default"/>
      </w:rPr>
    </w:lvl>
    <w:lvl w:ilvl="8" w:tplc="A880B696">
      <w:start w:val="1"/>
      <w:numFmt w:val="lowerRoman"/>
      <w:lvlText w:val="%9."/>
      <w:lvlJc w:val="right"/>
      <w:pPr>
        <w:ind w:left="6480" w:hanging="180"/>
      </w:pPr>
      <w:rPr>
        <w:rFonts w:hint="default"/>
      </w:rPr>
    </w:lvl>
  </w:abstractNum>
  <w:abstractNum w:abstractNumId="35" w15:restartNumberingAfterBreak="0">
    <w:nsid w:val="5A2F0D35"/>
    <w:multiLevelType w:val="hybridMultilevel"/>
    <w:tmpl w:val="DB32B6EA"/>
    <w:lvl w:ilvl="0" w:tplc="0410000B">
      <w:start w:val="1"/>
      <w:numFmt w:val="bullet"/>
      <w:lvlText w:val=""/>
      <w:lvlJc w:val="left"/>
      <w:pPr>
        <w:ind w:left="6480" w:hanging="360"/>
      </w:pPr>
      <w:rPr>
        <w:rFonts w:ascii="Wingdings" w:hAnsi="Wingdings" w:hint="default"/>
      </w:rPr>
    </w:lvl>
    <w:lvl w:ilvl="1" w:tplc="04100003" w:tentative="1">
      <w:start w:val="1"/>
      <w:numFmt w:val="bullet"/>
      <w:lvlText w:val="o"/>
      <w:lvlJc w:val="left"/>
      <w:pPr>
        <w:ind w:left="7200" w:hanging="360"/>
      </w:pPr>
      <w:rPr>
        <w:rFonts w:ascii="Courier New" w:hAnsi="Courier New" w:cs="Courier New" w:hint="default"/>
      </w:rPr>
    </w:lvl>
    <w:lvl w:ilvl="2" w:tplc="04100005" w:tentative="1">
      <w:start w:val="1"/>
      <w:numFmt w:val="bullet"/>
      <w:lvlText w:val=""/>
      <w:lvlJc w:val="left"/>
      <w:pPr>
        <w:ind w:left="7920" w:hanging="360"/>
      </w:pPr>
      <w:rPr>
        <w:rFonts w:ascii="Wingdings" w:hAnsi="Wingdings" w:hint="default"/>
      </w:rPr>
    </w:lvl>
    <w:lvl w:ilvl="3" w:tplc="04100001" w:tentative="1">
      <w:start w:val="1"/>
      <w:numFmt w:val="bullet"/>
      <w:lvlText w:val=""/>
      <w:lvlJc w:val="left"/>
      <w:pPr>
        <w:ind w:left="8640" w:hanging="360"/>
      </w:pPr>
      <w:rPr>
        <w:rFonts w:ascii="Symbol" w:hAnsi="Symbol" w:hint="default"/>
      </w:rPr>
    </w:lvl>
    <w:lvl w:ilvl="4" w:tplc="04100003" w:tentative="1">
      <w:start w:val="1"/>
      <w:numFmt w:val="bullet"/>
      <w:lvlText w:val="o"/>
      <w:lvlJc w:val="left"/>
      <w:pPr>
        <w:ind w:left="9360" w:hanging="360"/>
      </w:pPr>
      <w:rPr>
        <w:rFonts w:ascii="Courier New" w:hAnsi="Courier New" w:cs="Courier New" w:hint="default"/>
      </w:rPr>
    </w:lvl>
    <w:lvl w:ilvl="5" w:tplc="04100005" w:tentative="1">
      <w:start w:val="1"/>
      <w:numFmt w:val="bullet"/>
      <w:lvlText w:val=""/>
      <w:lvlJc w:val="left"/>
      <w:pPr>
        <w:ind w:left="10080" w:hanging="360"/>
      </w:pPr>
      <w:rPr>
        <w:rFonts w:ascii="Wingdings" w:hAnsi="Wingdings" w:hint="default"/>
      </w:rPr>
    </w:lvl>
    <w:lvl w:ilvl="6" w:tplc="04100001" w:tentative="1">
      <w:start w:val="1"/>
      <w:numFmt w:val="bullet"/>
      <w:lvlText w:val=""/>
      <w:lvlJc w:val="left"/>
      <w:pPr>
        <w:ind w:left="10800" w:hanging="360"/>
      </w:pPr>
      <w:rPr>
        <w:rFonts w:ascii="Symbol" w:hAnsi="Symbol" w:hint="default"/>
      </w:rPr>
    </w:lvl>
    <w:lvl w:ilvl="7" w:tplc="04100003" w:tentative="1">
      <w:start w:val="1"/>
      <w:numFmt w:val="bullet"/>
      <w:lvlText w:val="o"/>
      <w:lvlJc w:val="left"/>
      <w:pPr>
        <w:ind w:left="11520" w:hanging="360"/>
      </w:pPr>
      <w:rPr>
        <w:rFonts w:ascii="Courier New" w:hAnsi="Courier New" w:cs="Courier New" w:hint="default"/>
      </w:rPr>
    </w:lvl>
    <w:lvl w:ilvl="8" w:tplc="04100005" w:tentative="1">
      <w:start w:val="1"/>
      <w:numFmt w:val="bullet"/>
      <w:lvlText w:val=""/>
      <w:lvlJc w:val="left"/>
      <w:pPr>
        <w:ind w:left="12240" w:hanging="360"/>
      </w:pPr>
      <w:rPr>
        <w:rFonts w:ascii="Wingdings" w:hAnsi="Wingdings" w:hint="default"/>
      </w:rPr>
    </w:lvl>
  </w:abstractNum>
  <w:abstractNum w:abstractNumId="36" w15:restartNumberingAfterBreak="0">
    <w:nsid w:val="5BC84B3D"/>
    <w:multiLevelType w:val="hybridMultilevel"/>
    <w:tmpl w:val="2DD252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D210068"/>
    <w:multiLevelType w:val="hybridMultilevel"/>
    <w:tmpl w:val="9516113E"/>
    <w:lvl w:ilvl="0" w:tplc="F3BAD4A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78B7D61"/>
    <w:multiLevelType w:val="hybridMultilevel"/>
    <w:tmpl w:val="249E462E"/>
    <w:numStyleLink w:val="Stile4"/>
  </w:abstractNum>
  <w:abstractNum w:abstractNumId="39" w15:restartNumberingAfterBreak="0">
    <w:nsid w:val="68C80E74"/>
    <w:multiLevelType w:val="hybridMultilevel"/>
    <w:tmpl w:val="669E226C"/>
    <w:lvl w:ilvl="0" w:tplc="F3BAD4A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EA45AB8"/>
    <w:multiLevelType w:val="hybridMultilevel"/>
    <w:tmpl w:val="244CC080"/>
    <w:lvl w:ilvl="0" w:tplc="7D8848B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109324F"/>
    <w:multiLevelType w:val="hybridMultilevel"/>
    <w:tmpl w:val="9CAE595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5307A68"/>
    <w:multiLevelType w:val="hybridMultilevel"/>
    <w:tmpl w:val="06F89D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5463EE3"/>
    <w:multiLevelType w:val="hybridMultilevel"/>
    <w:tmpl w:val="EC285D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4" w15:restartNumberingAfterBreak="0">
    <w:nsid w:val="7AC817CA"/>
    <w:multiLevelType w:val="hybridMultilevel"/>
    <w:tmpl w:val="4EB61A54"/>
    <w:lvl w:ilvl="0" w:tplc="0410000B">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5" w15:restartNumberingAfterBreak="0">
    <w:nsid w:val="7BCD3CCA"/>
    <w:multiLevelType w:val="hybridMultilevel"/>
    <w:tmpl w:val="A6BAAE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EC15FD"/>
    <w:multiLevelType w:val="hybridMultilevel"/>
    <w:tmpl w:val="6230210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FD44CB1"/>
    <w:multiLevelType w:val="multilevel"/>
    <w:tmpl w:val="1AB85376"/>
    <w:lvl w:ilvl="0">
      <w:start w:val="3"/>
      <w:numFmt w:val="decimal"/>
      <w:lvlText w:val="%1"/>
      <w:lvlJc w:val="left"/>
      <w:pPr>
        <w:ind w:left="360" w:hanging="36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3448" w:hanging="720"/>
      </w:pPr>
      <w:rPr>
        <w:rFonts w:hint="default"/>
      </w:rPr>
    </w:lvl>
    <w:lvl w:ilvl="3">
      <w:start w:val="1"/>
      <w:numFmt w:val="decimal"/>
      <w:lvlText w:val="%1.%2.%3.%4"/>
      <w:lvlJc w:val="left"/>
      <w:pPr>
        <w:ind w:left="5172" w:hanging="1080"/>
      </w:pPr>
      <w:rPr>
        <w:rFonts w:hint="default"/>
      </w:rPr>
    </w:lvl>
    <w:lvl w:ilvl="4">
      <w:start w:val="1"/>
      <w:numFmt w:val="decimal"/>
      <w:lvlText w:val="%1.%2.%3.%4.%5"/>
      <w:lvlJc w:val="left"/>
      <w:pPr>
        <w:ind w:left="6536" w:hanging="1080"/>
      </w:pPr>
      <w:rPr>
        <w:rFonts w:hint="default"/>
      </w:rPr>
    </w:lvl>
    <w:lvl w:ilvl="5">
      <w:start w:val="1"/>
      <w:numFmt w:val="decimal"/>
      <w:lvlText w:val="%1.%2.%3.%4.%5.%6"/>
      <w:lvlJc w:val="left"/>
      <w:pPr>
        <w:ind w:left="8260" w:hanging="1440"/>
      </w:pPr>
      <w:rPr>
        <w:rFonts w:hint="default"/>
      </w:rPr>
    </w:lvl>
    <w:lvl w:ilvl="6">
      <w:start w:val="1"/>
      <w:numFmt w:val="decimal"/>
      <w:lvlText w:val="%1.%2.%3.%4.%5.%6.%7"/>
      <w:lvlJc w:val="left"/>
      <w:pPr>
        <w:ind w:left="9984" w:hanging="1800"/>
      </w:pPr>
      <w:rPr>
        <w:rFonts w:hint="default"/>
      </w:rPr>
    </w:lvl>
    <w:lvl w:ilvl="7">
      <w:start w:val="1"/>
      <w:numFmt w:val="decimal"/>
      <w:lvlText w:val="%1.%2.%3.%4.%5.%6.%7.%8"/>
      <w:lvlJc w:val="left"/>
      <w:pPr>
        <w:ind w:left="11348" w:hanging="1800"/>
      </w:pPr>
      <w:rPr>
        <w:rFonts w:hint="default"/>
      </w:rPr>
    </w:lvl>
    <w:lvl w:ilvl="8">
      <w:start w:val="1"/>
      <w:numFmt w:val="decimal"/>
      <w:lvlText w:val="%1.%2.%3.%4.%5.%6.%7.%8.%9"/>
      <w:lvlJc w:val="left"/>
      <w:pPr>
        <w:ind w:left="13072" w:hanging="2160"/>
      </w:pPr>
      <w:rPr>
        <w:rFonts w:hint="default"/>
      </w:rPr>
    </w:lvl>
  </w:abstractNum>
  <w:num w:numId="1">
    <w:abstractNumId w:val="19"/>
  </w:num>
  <w:num w:numId="2">
    <w:abstractNumId w:val="7"/>
  </w:num>
  <w:num w:numId="3">
    <w:abstractNumId w:val="10"/>
  </w:num>
  <w:num w:numId="4">
    <w:abstractNumId w:val="34"/>
  </w:num>
  <w:num w:numId="5">
    <w:abstractNumId w:val="38"/>
    <w:lvlOverride w:ilvl="0">
      <w:lvl w:ilvl="0" w:tplc="D0248D22">
        <w:start w:val="1"/>
        <w:numFmt w:val="decimal"/>
        <w:pStyle w:val="Titolotab"/>
        <w:suff w:val="space"/>
        <w:lvlText w:val="Tabella %1 - "/>
        <w:lvlJc w:val="left"/>
        <w:pPr>
          <w:ind w:left="360" w:hanging="360"/>
        </w:pPr>
        <w:rPr>
          <w:rFonts w:hint="default"/>
        </w:rPr>
      </w:lvl>
    </w:lvlOverride>
    <w:lvlOverride w:ilvl="1">
      <w:lvl w:ilvl="1" w:tplc="FD3ECB54">
        <w:start w:val="1"/>
        <w:numFmt w:val="lowerLetter"/>
        <w:lvlText w:val="%2."/>
        <w:lvlJc w:val="left"/>
        <w:pPr>
          <w:ind w:left="1440" w:hanging="360"/>
        </w:pPr>
        <w:rPr>
          <w:rFonts w:hint="default"/>
        </w:rPr>
      </w:lvl>
    </w:lvlOverride>
    <w:lvlOverride w:ilvl="2">
      <w:lvl w:ilvl="2" w:tplc="051AFC82">
        <w:start w:val="1"/>
        <w:numFmt w:val="lowerRoman"/>
        <w:lvlText w:val="%3."/>
        <w:lvlJc w:val="right"/>
        <w:pPr>
          <w:ind w:left="2160" w:hanging="180"/>
        </w:pPr>
        <w:rPr>
          <w:rFonts w:hint="default"/>
        </w:rPr>
      </w:lvl>
    </w:lvlOverride>
    <w:lvlOverride w:ilvl="3">
      <w:lvl w:ilvl="3" w:tplc="B270ED70">
        <w:start w:val="1"/>
        <w:numFmt w:val="decimal"/>
        <w:lvlText w:val="%4."/>
        <w:lvlJc w:val="left"/>
        <w:pPr>
          <w:ind w:left="2880" w:hanging="360"/>
        </w:pPr>
        <w:rPr>
          <w:rFonts w:hint="default"/>
        </w:rPr>
      </w:lvl>
    </w:lvlOverride>
    <w:lvlOverride w:ilvl="4">
      <w:lvl w:ilvl="4" w:tplc="9D2AC716">
        <w:start w:val="1"/>
        <w:numFmt w:val="lowerLetter"/>
        <w:lvlText w:val="%5."/>
        <w:lvlJc w:val="left"/>
        <w:pPr>
          <w:ind w:left="3600" w:hanging="360"/>
        </w:pPr>
        <w:rPr>
          <w:rFonts w:hint="default"/>
        </w:rPr>
      </w:lvl>
    </w:lvlOverride>
    <w:lvlOverride w:ilvl="5">
      <w:lvl w:ilvl="5" w:tplc="27A41478">
        <w:start w:val="1"/>
        <w:numFmt w:val="lowerRoman"/>
        <w:lvlText w:val="%6."/>
        <w:lvlJc w:val="right"/>
        <w:pPr>
          <w:ind w:left="4320" w:hanging="180"/>
        </w:pPr>
        <w:rPr>
          <w:rFonts w:hint="default"/>
        </w:rPr>
      </w:lvl>
    </w:lvlOverride>
    <w:lvlOverride w:ilvl="6">
      <w:lvl w:ilvl="6" w:tplc="87E015E6">
        <w:start w:val="1"/>
        <w:numFmt w:val="decimal"/>
        <w:lvlText w:val="%7."/>
        <w:lvlJc w:val="left"/>
        <w:pPr>
          <w:ind w:left="5040" w:hanging="360"/>
        </w:pPr>
        <w:rPr>
          <w:rFonts w:hint="default"/>
        </w:rPr>
      </w:lvl>
    </w:lvlOverride>
    <w:lvlOverride w:ilvl="7">
      <w:lvl w:ilvl="7" w:tplc="A1827418">
        <w:start w:val="1"/>
        <w:numFmt w:val="lowerLetter"/>
        <w:lvlText w:val="%8."/>
        <w:lvlJc w:val="left"/>
        <w:pPr>
          <w:ind w:left="5760" w:hanging="360"/>
        </w:pPr>
        <w:rPr>
          <w:rFonts w:hint="default"/>
        </w:rPr>
      </w:lvl>
    </w:lvlOverride>
    <w:lvlOverride w:ilvl="8">
      <w:lvl w:ilvl="8" w:tplc="3E9EB7B6">
        <w:start w:val="1"/>
        <w:numFmt w:val="lowerRoman"/>
        <w:lvlText w:val="%9."/>
        <w:lvlJc w:val="right"/>
        <w:pPr>
          <w:ind w:left="6480" w:hanging="180"/>
        </w:pPr>
        <w:rPr>
          <w:rFonts w:hint="default"/>
        </w:rPr>
      </w:lvl>
    </w:lvlOverride>
  </w:num>
  <w:num w:numId="6">
    <w:abstractNumId w:val="6"/>
  </w:num>
  <w:num w:numId="7">
    <w:abstractNumId w:val="25"/>
  </w:num>
  <w:num w:numId="8">
    <w:abstractNumId w:val="44"/>
  </w:num>
  <w:num w:numId="9">
    <w:abstractNumId w:val="28"/>
  </w:num>
  <w:num w:numId="10">
    <w:abstractNumId w:val="12"/>
  </w:num>
  <w:num w:numId="11">
    <w:abstractNumId w:val="47"/>
  </w:num>
  <w:num w:numId="12">
    <w:abstractNumId w:val="16"/>
  </w:num>
  <w:num w:numId="13">
    <w:abstractNumId w:val="26"/>
  </w:num>
  <w:num w:numId="14">
    <w:abstractNumId w:val="24"/>
  </w:num>
  <w:num w:numId="15">
    <w:abstractNumId w:val="42"/>
  </w:num>
  <w:num w:numId="16">
    <w:abstractNumId w:val="3"/>
  </w:num>
  <w:num w:numId="17">
    <w:abstractNumId w:val="45"/>
  </w:num>
  <w:num w:numId="18">
    <w:abstractNumId w:val="46"/>
  </w:num>
  <w:num w:numId="19">
    <w:abstractNumId w:val="8"/>
  </w:num>
  <w:num w:numId="20">
    <w:abstractNumId w:val="4"/>
  </w:num>
  <w:num w:numId="21">
    <w:abstractNumId w:val="36"/>
  </w:num>
  <w:num w:numId="22">
    <w:abstractNumId w:val="0"/>
  </w:num>
  <w:num w:numId="23">
    <w:abstractNumId w:val="23"/>
  </w:num>
  <w:num w:numId="24">
    <w:abstractNumId w:val="27"/>
  </w:num>
  <w:num w:numId="25">
    <w:abstractNumId w:val="20"/>
  </w:num>
  <w:num w:numId="26">
    <w:abstractNumId w:val="29"/>
  </w:num>
  <w:num w:numId="27">
    <w:abstractNumId w:val="14"/>
  </w:num>
  <w:num w:numId="28">
    <w:abstractNumId w:val="9"/>
  </w:num>
  <w:num w:numId="29">
    <w:abstractNumId w:val="13"/>
  </w:num>
  <w:num w:numId="30">
    <w:abstractNumId w:val="1"/>
  </w:num>
  <w:num w:numId="31">
    <w:abstractNumId w:val="5"/>
  </w:num>
  <w:num w:numId="32">
    <w:abstractNumId w:val="35"/>
  </w:num>
  <w:num w:numId="33">
    <w:abstractNumId w:val="32"/>
  </w:num>
  <w:num w:numId="34">
    <w:abstractNumId w:val="40"/>
  </w:num>
  <w:num w:numId="35">
    <w:abstractNumId w:val="41"/>
  </w:num>
  <w:num w:numId="36">
    <w:abstractNumId w:val="30"/>
  </w:num>
  <w:num w:numId="37">
    <w:abstractNumId w:val="21"/>
  </w:num>
  <w:num w:numId="38">
    <w:abstractNumId w:val="33"/>
  </w:num>
  <w:num w:numId="39">
    <w:abstractNumId w:val="11"/>
  </w:num>
  <w:num w:numId="40">
    <w:abstractNumId w:val="17"/>
  </w:num>
  <w:num w:numId="41">
    <w:abstractNumId w:val="18"/>
  </w:num>
  <w:num w:numId="42">
    <w:abstractNumId w:val="31"/>
  </w:num>
  <w:num w:numId="43">
    <w:abstractNumId w:val="22"/>
  </w:num>
  <w:num w:numId="44">
    <w:abstractNumId w:val="43"/>
  </w:num>
  <w:num w:numId="45">
    <w:abstractNumId w:val="37"/>
  </w:num>
  <w:num w:numId="46">
    <w:abstractNumId w:val="39"/>
  </w:num>
  <w:num w:numId="47">
    <w:abstractNumId w:val="15"/>
  </w:num>
  <w:num w:numId="48">
    <w:abstractNumId w:val="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41B9"/>
    <w:rsid w:val="0000029B"/>
    <w:rsid w:val="000008CC"/>
    <w:rsid w:val="00002BBB"/>
    <w:rsid w:val="00003BD6"/>
    <w:rsid w:val="00014152"/>
    <w:rsid w:val="00014286"/>
    <w:rsid w:val="00015351"/>
    <w:rsid w:val="00020C97"/>
    <w:rsid w:val="00022522"/>
    <w:rsid w:val="00026DC6"/>
    <w:rsid w:val="00032E66"/>
    <w:rsid w:val="00034FF8"/>
    <w:rsid w:val="0004072A"/>
    <w:rsid w:val="00043058"/>
    <w:rsid w:val="00044E27"/>
    <w:rsid w:val="0004689E"/>
    <w:rsid w:val="000561ED"/>
    <w:rsid w:val="00057EBC"/>
    <w:rsid w:val="00065118"/>
    <w:rsid w:val="00067C70"/>
    <w:rsid w:val="00073990"/>
    <w:rsid w:val="00074DC9"/>
    <w:rsid w:val="000765DF"/>
    <w:rsid w:val="0007771D"/>
    <w:rsid w:val="000805B9"/>
    <w:rsid w:val="00080D9F"/>
    <w:rsid w:val="00082F0A"/>
    <w:rsid w:val="00083E44"/>
    <w:rsid w:val="000852FF"/>
    <w:rsid w:val="000960FF"/>
    <w:rsid w:val="000963A8"/>
    <w:rsid w:val="000A1DC3"/>
    <w:rsid w:val="000A2B73"/>
    <w:rsid w:val="000A35DB"/>
    <w:rsid w:val="000A60F7"/>
    <w:rsid w:val="000B15E8"/>
    <w:rsid w:val="000B2D06"/>
    <w:rsid w:val="000B325D"/>
    <w:rsid w:val="000B3A22"/>
    <w:rsid w:val="000C0787"/>
    <w:rsid w:val="000C235E"/>
    <w:rsid w:val="000C3018"/>
    <w:rsid w:val="000C4C41"/>
    <w:rsid w:val="000C6470"/>
    <w:rsid w:val="000C6666"/>
    <w:rsid w:val="000C7F95"/>
    <w:rsid w:val="000D1610"/>
    <w:rsid w:val="000D2712"/>
    <w:rsid w:val="000D44DE"/>
    <w:rsid w:val="000D4DBF"/>
    <w:rsid w:val="000D5866"/>
    <w:rsid w:val="000D6963"/>
    <w:rsid w:val="000E7D56"/>
    <w:rsid w:val="000F08C4"/>
    <w:rsid w:val="000F29B9"/>
    <w:rsid w:val="000F4095"/>
    <w:rsid w:val="000F4BFE"/>
    <w:rsid w:val="000F58E0"/>
    <w:rsid w:val="000F7688"/>
    <w:rsid w:val="0010514C"/>
    <w:rsid w:val="00105380"/>
    <w:rsid w:val="001062EC"/>
    <w:rsid w:val="001115A3"/>
    <w:rsid w:val="00116053"/>
    <w:rsid w:val="001242CB"/>
    <w:rsid w:val="0012609F"/>
    <w:rsid w:val="001260F0"/>
    <w:rsid w:val="00144F41"/>
    <w:rsid w:val="00145933"/>
    <w:rsid w:val="00146B32"/>
    <w:rsid w:val="00146D26"/>
    <w:rsid w:val="00147B69"/>
    <w:rsid w:val="00157274"/>
    <w:rsid w:val="001579EF"/>
    <w:rsid w:val="00160202"/>
    <w:rsid w:val="00164C54"/>
    <w:rsid w:val="001728A0"/>
    <w:rsid w:val="0017387E"/>
    <w:rsid w:val="00173DDD"/>
    <w:rsid w:val="001770F7"/>
    <w:rsid w:val="0017775B"/>
    <w:rsid w:val="001803A1"/>
    <w:rsid w:val="00181940"/>
    <w:rsid w:val="00181E7F"/>
    <w:rsid w:val="00183AD0"/>
    <w:rsid w:val="00183F83"/>
    <w:rsid w:val="0019373F"/>
    <w:rsid w:val="00194148"/>
    <w:rsid w:val="00195C4E"/>
    <w:rsid w:val="00196132"/>
    <w:rsid w:val="00196D58"/>
    <w:rsid w:val="00197E3E"/>
    <w:rsid w:val="001B17F0"/>
    <w:rsid w:val="001B3078"/>
    <w:rsid w:val="001B395D"/>
    <w:rsid w:val="001C35F9"/>
    <w:rsid w:val="001C50D5"/>
    <w:rsid w:val="001C6472"/>
    <w:rsid w:val="001C6B1A"/>
    <w:rsid w:val="001C6D0C"/>
    <w:rsid w:val="001D04BC"/>
    <w:rsid w:val="001D2683"/>
    <w:rsid w:val="001E1502"/>
    <w:rsid w:val="001E1FF2"/>
    <w:rsid w:val="001E271D"/>
    <w:rsid w:val="001E2CD3"/>
    <w:rsid w:val="001E30BB"/>
    <w:rsid w:val="001E3715"/>
    <w:rsid w:val="001E4D37"/>
    <w:rsid w:val="001E5B3D"/>
    <w:rsid w:val="001E6BF0"/>
    <w:rsid w:val="001F1314"/>
    <w:rsid w:val="001F1755"/>
    <w:rsid w:val="001F3267"/>
    <w:rsid w:val="001F3A3D"/>
    <w:rsid w:val="001F5897"/>
    <w:rsid w:val="001F7554"/>
    <w:rsid w:val="0020292E"/>
    <w:rsid w:val="00214363"/>
    <w:rsid w:val="002242F2"/>
    <w:rsid w:val="00227A71"/>
    <w:rsid w:val="00227D50"/>
    <w:rsid w:val="00230572"/>
    <w:rsid w:val="00230F8B"/>
    <w:rsid w:val="00233ED8"/>
    <w:rsid w:val="002411AC"/>
    <w:rsid w:val="00243427"/>
    <w:rsid w:val="00246D3C"/>
    <w:rsid w:val="002503A7"/>
    <w:rsid w:val="0025731C"/>
    <w:rsid w:val="00257625"/>
    <w:rsid w:val="002645ED"/>
    <w:rsid w:val="00266416"/>
    <w:rsid w:val="002677B2"/>
    <w:rsid w:val="0028208B"/>
    <w:rsid w:val="00283EFF"/>
    <w:rsid w:val="00283FFA"/>
    <w:rsid w:val="0028526D"/>
    <w:rsid w:val="00286141"/>
    <w:rsid w:val="00287D25"/>
    <w:rsid w:val="00290FB1"/>
    <w:rsid w:val="0029397D"/>
    <w:rsid w:val="00293A54"/>
    <w:rsid w:val="00293E0C"/>
    <w:rsid w:val="00296528"/>
    <w:rsid w:val="002968CE"/>
    <w:rsid w:val="00296D58"/>
    <w:rsid w:val="002A08C8"/>
    <w:rsid w:val="002A1018"/>
    <w:rsid w:val="002A2C67"/>
    <w:rsid w:val="002A2E8A"/>
    <w:rsid w:val="002A5338"/>
    <w:rsid w:val="002A6AC4"/>
    <w:rsid w:val="002A6B52"/>
    <w:rsid w:val="002A79DB"/>
    <w:rsid w:val="002A7DFC"/>
    <w:rsid w:val="002B117C"/>
    <w:rsid w:val="002B11A0"/>
    <w:rsid w:val="002C13EF"/>
    <w:rsid w:val="002C1DFD"/>
    <w:rsid w:val="002C2F49"/>
    <w:rsid w:val="002C5B0B"/>
    <w:rsid w:val="002C66A7"/>
    <w:rsid w:val="002D11B5"/>
    <w:rsid w:val="002D1345"/>
    <w:rsid w:val="002D1C1F"/>
    <w:rsid w:val="002D2DA6"/>
    <w:rsid w:val="002D68E3"/>
    <w:rsid w:val="002D6C4B"/>
    <w:rsid w:val="002F02A9"/>
    <w:rsid w:val="002F2015"/>
    <w:rsid w:val="002F6A5E"/>
    <w:rsid w:val="003034F3"/>
    <w:rsid w:val="00303838"/>
    <w:rsid w:val="00303EFE"/>
    <w:rsid w:val="003047F2"/>
    <w:rsid w:val="00306B26"/>
    <w:rsid w:val="00307409"/>
    <w:rsid w:val="00312D13"/>
    <w:rsid w:val="00315ADD"/>
    <w:rsid w:val="00322546"/>
    <w:rsid w:val="00325025"/>
    <w:rsid w:val="00330712"/>
    <w:rsid w:val="003350E3"/>
    <w:rsid w:val="00341560"/>
    <w:rsid w:val="00341AFB"/>
    <w:rsid w:val="00342ED6"/>
    <w:rsid w:val="00354EC6"/>
    <w:rsid w:val="00364EBB"/>
    <w:rsid w:val="003658D2"/>
    <w:rsid w:val="00366A54"/>
    <w:rsid w:val="00366D81"/>
    <w:rsid w:val="00372877"/>
    <w:rsid w:val="003800C8"/>
    <w:rsid w:val="0038013A"/>
    <w:rsid w:val="00380D89"/>
    <w:rsid w:val="00382DDD"/>
    <w:rsid w:val="003840FA"/>
    <w:rsid w:val="00385960"/>
    <w:rsid w:val="00386BC6"/>
    <w:rsid w:val="00387BF2"/>
    <w:rsid w:val="00390837"/>
    <w:rsid w:val="00393F46"/>
    <w:rsid w:val="00393F74"/>
    <w:rsid w:val="00393FD4"/>
    <w:rsid w:val="00396B73"/>
    <w:rsid w:val="003A5BD1"/>
    <w:rsid w:val="003A7536"/>
    <w:rsid w:val="003B75CE"/>
    <w:rsid w:val="003C16A3"/>
    <w:rsid w:val="003C24FC"/>
    <w:rsid w:val="003C5132"/>
    <w:rsid w:val="003D0A7C"/>
    <w:rsid w:val="003D2E5E"/>
    <w:rsid w:val="003D47AF"/>
    <w:rsid w:val="003D6906"/>
    <w:rsid w:val="003D75AA"/>
    <w:rsid w:val="003D7990"/>
    <w:rsid w:val="003E05DF"/>
    <w:rsid w:val="003E3786"/>
    <w:rsid w:val="003E5F81"/>
    <w:rsid w:val="003E63B9"/>
    <w:rsid w:val="003E704A"/>
    <w:rsid w:val="003F0CD8"/>
    <w:rsid w:val="003F5E11"/>
    <w:rsid w:val="00401710"/>
    <w:rsid w:val="00401733"/>
    <w:rsid w:val="00406C93"/>
    <w:rsid w:val="004136C7"/>
    <w:rsid w:val="0041478E"/>
    <w:rsid w:val="00414DFC"/>
    <w:rsid w:val="00415C51"/>
    <w:rsid w:val="0042364E"/>
    <w:rsid w:val="00425F64"/>
    <w:rsid w:val="00425F7B"/>
    <w:rsid w:val="0042659E"/>
    <w:rsid w:val="00431F3E"/>
    <w:rsid w:val="004344AF"/>
    <w:rsid w:val="00436D0C"/>
    <w:rsid w:val="004407DB"/>
    <w:rsid w:val="00441743"/>
    <w:rsid w:val="004442A0"/>
    <w:rsid w:val="00447E3E"/>
    <w:rsid w:val="0045197C"/>
    <w:rsid w:val="004521B5"/>
    <w:rsid w:val="00452EAB"/>
    <w:rsid w:val="00454F5E"/>
    <w:rsid w:val="0045666B"/>
    <w:rsid w:val="004571B7"/>
    <w:rsid w:val="00462AA9"/>
    <w:rsid w:val="00463404"/>
    <w:rsid w:val="00463ED7"/>
    <w:rsid w:val="00465034"/>
    <w:rsid w:val="0046552E"/>
    <w:rsid w:val="0046604C"/>
    <w:rsid w:val="00470C5F"/>
    <w:rsid w:val="0047178C"/>
    <w:rsid w:val="0047196D"/>
    <w:rsid w:val="00472C07"/>
    <w:rsid w:val="00473629"/>
    <w:rsid w:val="00483A9B"/>
    <w:rsid w:val="00487B08"/>
    <w:rsid w:val="004908BA"/>
    <w:rsid w:val="00491231"/>
    <w:rsid w:val="00491E4D"/>
    <w:rsid w:val="00493261"/>
    <w:rsid w:val="00494C81"/>
    <w:rsid w:val="004A1078"/>
    <w:rsid w:val="004A1D26"/>
    <w:rsid w:val="004A2D6C"/>
    <w:rsid w:val="004A3912"/>
    <w:rsid w:val="004A544F"/>
    <w:rsid w:val="004A7625"/>
    <w:rsid w:val="004B0641"/>
    <w:rsid w:val="004B2482"/>
    <w:rsid w:val="004B2BFE"/>
    <w:rsid w:val="004B51DA"/>
    <w:rsid w:val="004C0865"/>
    <w:rsid w:val="004C14BB"/>
    <w:rsid w:val="004C261C"/>
    <w:rsid w:val="004C2A1E"/>
    <w:rsid w:val="004C3268"/>
    <w:rsid w:val="004C373B"/>
    <w:rsid w:val="004C6517"/>
    <w:rsid w:val="004C75A2"/>
    <w:rsid w:val="004C77DC"/>
    <w:rsid w:val="004C7E08"/>
    <w:rsid w:val="004D29C1"/>
    <w:rsid w:val="004D2FE7"/>
    <w:rsid w:val="004D3660"/>
    <w:rsid w:val="004D3FEB"/>
    <w:rsid w:val="004D6509"/>
    <w:rsid w:val="004D695C"/>
    <w:rsid w:val="004E04FF"/>
    <w:rsid w:val="004E09B5"/>
    <w:rsid w:val="004E3AC2"/>
    <w:rsid w:val="004E56D0"/>
    <w:rsid w:val="004F273B"/>
    <w:rsid w:val="004F4C66"/>
    <w:rsid w:val="0050110F"/>
    <w:rsid w:val="00501E51"/>
    <w:rsid w:val="005109C3"/>
    <w:rsid w:val="00510C57"/>
    <w:rsid w:val="00511FBA"/>
    <w:rsid w:val="005121FD"/>
    <w:rsid w:val="005139A8"/>
    <w:rsid w:val="005202ED"/>
    <w:rsid w:val="00522FE3"/>
    <w:rsid w:val="00526D0A"/>
    <w:rsid w:val="00531B74"/>
    <w:rsid w:val="005339CA"/>
    <w:rsid w:val="005341CF"/>
    <w:rsid w:val="00534891"/>
    <w:rsid w:val="0053736E"/>
    <w:rsid w:val="00537CBD"/>
    <w:rsid w:val="00542C79"/>
    <w:rsid w:val="00543B67"/>
    <w:rsid w:val="00544E80"/>
    <w:rsid w:val="00545842"/>
    <w:rsid w:val="0054671C"/>
    <w:rsid w:val="0054764E"/>
    <w:rsid w:val="0054787A"/>
    <w:rsid w:val="00552847"/>
    <w:rsid w:val="0055291F"/>
    <w:rsid w:val="00554929"/>
    <w:rsid w:val="005560A4"/>
    <w:rsid w:val="00557E63"/>
    <w:rsid w:val="00572000"/>
    <w:rsid w:val="00572AB3"/>
    <w:rsid w:val="00576D2C"/>
    <w:rsid w:val="0057737B"/>
    <w:rsid w:val="00580923"/>
    <w:rsid w:val="00581E49"/>
    <w:rsid w:val="00582250"/>
    <w:rsid w:val="00585795"/>
    <w:rsid w:val="0058751A"/>
    <w:rsid w:val="005965D7"/>
    <w:rsid w:val="00597759"/>
    <w:rsid w:val="005A0043"/>
    <w:rsid w:val="005A0F6D"/>
    <w:rsid w:val="005A647B"/>
    <w:rsid w:val="005A7100"/>
    <w:rsid w:val="005A738B"/>
    <w:rsid w:val="005B1B5D"/>
    <w:rsid w:val="005B59F4"/>
    <w:rsid w:val="005C70BE"/>
    <w:rsid w:val="005C7A5B"/>
    <w:rsid w:val="005D2F94"/>
    <w:rsid w:val="005D308B"/>
    <w:rsid w:val="005D44D2"/>
    <w:rsid w:val="005D7728"/>
    <w:rsid w:val="005E2580"/>
    <w:rsid w:val="005E730A"/>
    <w:rsid w:val="005F71B8"/>
    <w:rsid w:val="006006C6"/>
    <w:rsid w:val="0060354C"/>
    <w:rsid w:val="00604D88"/>
    <w:rsid w:val="0060595B"/>
    <w:rsid w:val="0060598F"/>
    <w:rsid w:val="00605DD6"/>
    <w:rsid w:val="00611673"/>
    <w:rsid w:val="00611690"/>
    <w:rsid w:val="006167CB"/>
    <w:rsid w:val="006174FF"/>
    <w:rsid w:val="00622ED0"/>
    <w:rsid w:val="006253D1"/>
    <w:rsid w:val="0062548A"/>
    <w:rsid w:val="0063051E"/>
    <w:rsid w:val="00631257"/>
    <w:rsid w:val="00633F89"/>
    <w:rsid w:val="00634412"/>
    <w:rsid w:val="00634A8E"/>
    <w:rsid w:val="006357E1"/>
    <w:rsid w:val="00635F4F"/>
    <w:rsid w:val="006414DC"/>
    <w:rsid w:val="00641C64"/>
    <w:rsid w:val="00642630"/>
    <w:rsid w:val="00643B78"/>
    <w:rsid w:val="006448A2"/>
    <w:rsid w:val="0064783C"/>
    <w:rsid w:val="0065080E"/>
    <w:rsid w:val="00651B3B"/>
    <w:rsid w:val="00652E51"/>
    <w:rsid w:val="00655D65"/>
    <w:rsid w:val="00657BE3"/>
    <w:rsid w:val="00660B4C"/>
    <w:rsid w:val="00661320"/>
    <w:rsid w:val="006620D8"/>
    <w:rsid w:val="006647B2"/>
    <w:rsid w:val="00666E21"/>
    <w:rsid w:val="00667DD0"/>
    <w:rsid w:val="00672A83"/>
    <w:rsid w:val="006738FD"/>
    <w:rsid w:val="00676DCC"/>
    <w:rsid w:val="00680136"/>
    <w:rsid w:val="00680961"/>
    <w:rsid w:val="00680F9C"/>
    <w:rsid w:val="00681DF3"/>
    <w:rsid w:val="006825E0"/>
    <w:rsid w:val="00682D9E"/>
    <w:rsid w:val="00685B0A"/>
    <w:rsid w:val="00691375"/>
    <w:rsid w:val="00692725"/>
    <w:rsid w:val="0069475B"/>
    <w:rsid w:val="006A48AC"/>
    <w:rsid w:val="006A5637"/>
    <w:rsid w:val="006B020A"/>
    <w:rsid w:val="006B113D"/>
    <w:rsid w:val="006B2E9A"/>
    <w:rsid w:val="006B320E"/>
    <w:rsid w:val="006B6A5F"/>
    <w:rsid w:val="006D123C"/>
    <w:rsid w:val="006D4850"/>
    <w:rsid w:val="006D6580"/>
    <w:rsid w:val="006D6B0D"/>
    <w:rsid w:val="006D74C0"/>
    <w:rsid w:val="006D7A44"/>
    <w:rsid w:val="006D7D5E"/>
    <w:rsid w:val="006E0EEB"/>
    <w:rsid w:val="006E62B4"/>
    <w:rsid w:val="006F01C0"/>
    <w:rsid w:val="006F101C"/>
    <w:rsid w:val="006F1DCF"/>
    <w:rsid w:val="006F455D"/>
    <w:rsid w:val="007012F0"/>
    <w:rsid w:val="0070355C"/>
    <w:rsid w:val="00705593"/>
    <w:rsid w:val="0070759F"/>
    <w:rsid w:val="00710FCB"/>
    <w:rsid w:val="007139D6"/>
    <w:rsid w:val="00715A75"/>
    <w:rsid w:val="007201AC"/>
    <w:rsid w:val="007214C6"/>
    <w:rsid w:val="00724B64"/>
    <w:rsid w:val="00725C3E"/>
    <w:rsid w:val="00726380"/>
    <w:rsid w:val="00731A0A"/>
    <w:rsid w:val="00732047"/>
    <w:rsid w:val="0075481B"/>
    <w:rsid w:val="0075709A"/>
    <w:rsid w:val="007574F5"/>
    <w:rsid w:val="00757893"/>
    <w:rsid w:val="0076109C"/>
    <w:rsid w:val="00762495"/>
    <w:rsid w:val="007631B6"/>
    <w:rsid w:val="00765FA6"/>
    <w:rsid w:val="007675EF"/>
    <w:rsid w:val="00767EB9"/>
    <w:rsid w:val="00773BC6"/>
    <w:rsid w:val="007900F7"/>
    <w:rsid w:val="00794141"/>
    <w:rsid w:val="007973C1"/>
    <w:rsid w:val="007A2CEA"/>
    <w:rsid w:val="007A6002"/>
    <w:rsid w:val="007B0D2B"/>
    <w:rsid w:val="007B1FA2"/>
    <w:rsid w:val="007B460C"/>
    <w:rsid w:val="007B619D"/>
    <w:rsid w:val="007C1357"/>
    <w:rsid w:val="007C275F"/>
    <w:rsid w:val="007C325D"/>
    <w:rsid w:val="007C650A"/>
    <w:rsid w:val="007C6ECD"/>
    <w:rsid w:val="007C75C6"/>
    <w:rsid w:val="007D1DD3"/>
    <w:rsid w:val="007D7247"/>
    <w:rsid w:val="007E39C6"/>
    <w:rsid w:val="007E49F4"/>
    <w:rsid w:val="007E4BE5"/>
    <w:rsid w:val="007F1D89"/>
    <w:rsid w:val="007F226F"/>
    <w:rsid w:val="007F2791"/>
    <w:rsid w:val="007F28A3"/>
    <w:rsid w:val="007F36CD"/>
    <w:rsid w:val="007F53F1"/>
    <w:rsid w:val="007F5823"/>
    <w:rsid w:val="007F63ED"/>
    <w:rsid w:val="008002F2"/>
    <w:rsid w:val="00802692"/>
    <w:rsid w:val="00806883"/>
    <w:rsid w:val="00811706"/>
    <w:rsid w:val="00814405"/>
    <w:rsid w:val="00822B9C"/>
    <w:rsid w:val="00822C61"/>
    <w:rsid w:val="00824746"/>
    <w:rsid w:val="00824ED6"/>
    <w:rsid w:val="00827986"/>
    <w:rsid w:val="00830E4C"/>
    <w:rsid w:val="00832068"/>
    <w:rsid w:val="00836736"/>
    <w:rsid w:val="00836F7F"/>
    <w:rsid w:val="008412E3"/>
    <w:rsid w:val="00844D49"/>
    <w:rsid w:val="00845156"/>
    <w:rsid w:val="0084607E"/>
    <w:rsid w:val="00853830"/>
    <w:rsid w:val="00854FB4"/>
    <w:rsid w:val="00855D74"/>
    <w:rsid w:val="00860DFC"/>
    <w:rsid w:val="00861D91"/>
    <w:rsid w:val="008657BB"/>
    <w:rsid w:val="008724CE"/>
    <w:rsid w:val="0087270B"/>
    <w:rsid w:val="00872D94"/>
    <w:rsid w:val="00873715"/>
    <w:rsid w:val="00874061"/>
    <w:rsid w:val="0087438A"/>
    <w:rsid w:val="00875AFE"/>
    <w:rsid w:val="008761C6"/>
    <w:rsid w:val="00877FBB"/>
    <w:rsid w:val="00881311"/>
    <w:rsid w:val="00881A29"/>
    <w:rsid w:val="00884971"/>
    <w:rsid w:val="00886BD3"/>
    <w:rsid w:val="0088721E"/>
    <w:rsid w:val="00887F5D"/>
    <w:rsid w:val="008927FA"/>
    <w:rsid w:val="0089429A"/>
    <w:rsid w:val="008A1B42"/>
    <w:rsid w:val="008A345D"/>
    <w:rsid w:val="008A417A"/>
    <w:rsid w:val="008A6B1D"/>
    <w:rsid w:val="008B0800"/>
    <w:rsid w:val="008B34E9"/>
    <w:rsid w:val="008B5A34"/>
    <w:rsid w:val="008B5BD3"/>
    <w:rsid w:val="008B7E0F"/>
    <w:rsid w:val="008C1966"/>
    <w:rsid w:val="008C2BD8"/>
    <w:rsid w:val="008C72BE"/>
    <w:rsid w:val="008C7E5B"/>
    <w:rsid w:val="008D0354"/>
    <w:rsid w:val="008D0C21"/>
    <w:rsid w:val="008D681B"/>
    <w:rsid w:val="008E23BD"/>
    <w:rsid w:val="008E3147"/>
    <w:rsid w:val="008F0971"/>
    <w:rsid w:val="008F3A24"/>
    <w:rsid w:val="008F692F"/>
    <w:rsid w:val="00900725"/>
    <w:rsid w:val="00900B04"/>
    <w:rsid w:val="00903FDE"/>
    <w:rsid w:val="00904216"/>
    <w:rsid w:val="0090510D"/>
    <w:rsid w:val="00906E12"/>
    <w:rsid w:val="00911D7E"/>
    <w:rsid w:val="009144EC"/>
    <w:rsid w:val="00914A9D"/>
    <w:rsid w:val="00914F25"/>
    <w:rsid w:val="00916831"/>
    <w:rsid w:val="009241B9"/>
    <w:rsid w:val="00932997"/>
    <w:rsid w:val="00932AAE"/>
    <w:rsid w:val="00933156"/>
    <w:rsid w:val="00933CDE"/>
    <w:rsid w:val="009369F5"/>
    <w:rsid w:val="009404EF"/>
    <w:rsid w:val="00942157"/>
    <w:rsid w:val="00942DF3"/>
    <w:rsid w:val="009439B8"/>
    <w:rsid w:val="00951994"/>
    <w:rsid w:val="009524F8"/>
    <w:rsid w:val="00955C5C"/>
    <w:rsid w:val="00961E3A"/>
    <w:rsid w:val="009644FD"/>
    <w:rsid w:val="00964DB1"/>
    <w:rsid w:val="00965E7D"/>
    <w:rsid w:val="00973F71"/>
    <w:rsid w:val="00980AD9"/>
    <w:rsid w:val="00982014"/>
    <w:rsid w:val="009824E9"/>
    <w:rsid w:val="0099463B"/>
    <w:rsid w:val="00994E32"/>
    <w:rsid w:val="00996C88"/>
    <w:rsid w:val="0099728D"/>
    <w:rsid w:val="009976D9"/>
    <w:rsid w:val="00997E23"/>
    <w:rsid w:val="009A1715"/>
    <w:rsid w:val="009A1B3F"/>
    <w:rsid w:val="009B014D"/>
    <w:rsid w:val="009B2289"/>
    <w:rsid w:val="009B314B"/>
    <w:rsid w:val="009B52E1"/>
    <w:rsid w:val="009C035B"/>
    <w:rsid w:val="009C26A2"/>
    <w:rsid w:val="009C3890"/>
    <w:rsid w:val="009C4157"/>
    <w:rsid w:val="009C4468"/>
    <w:rsid w:val="009C6F21"/>
    <w:rsid w:val="009D03EB"/>
    <w:rsid w:val="009D08C6"/>
    <w:rsid w:val="009D56CA"/>
    <w:rsid w:val="009D66E3"/>
    <w:rsid w:val="009E439F"/>
    <w:rsid w:val="009E69EE"/>
    <w:rsid w:val="009E718A"/>
    <w:rsid w:val="009E7EEC"/>
    <w:rsid w:val="009F2B6B"/>
    <w:rsid w:val="009F60B6"/>
    <w:rsid w:val="00A026A6"/>
    <w:rsid w:val="00A056FC"/>
    <w:rsid w:val="00A05E90"/>
    <w:rsid w:val="00A076CC"/>
    <w:rsid w:val="00A1068E"/>
    <w:rsid w:val="00A16682"/>
    <w:rsid w:val="00A17C7F"/>
    <w:rsid w:val="00A207F9"/>
    <w:rsid w:val="00A2753D"/>
    <w:rsid w:val="00A27C76"/>
    <w:rsid w:val="00A3062B"/>
    <w:rsid w:val="00A34505"/>
    <w:rsid w:val="00A35E33"/>
    <w:rsid w:val="00A36354"/>
    <w:rsid w:val="00A36F71"/>
    <w:rsid w:val="00A37624"/>
    <w:rsid w:val="00A4236D"/>
    <w:rsid w:val="00A42AFD"/>
    <w:rsid w:val="00A44BDE"/>
    <w:rsid w:val="00A46738"/>
    <w:rsid w:val="00A4750C"/>
    <w:rsid w:val="00A51FB9"/>
    <w:rsid w:val="00A57061"/>
    <w:rsid w:val="00A5764C"/>
    <w:rsid w:val="00A621B6"/>
    <w:rsid w:val="00A7259D"/>
    <w:rsid w:val="00A727F5"/>
    <w:rsid w:val="00A72940"/>
    <w:rsid w:val="00A73F0E"/>
    <w:rsid w:val="00A742A2"/>
    <w:rsid w:val="00A7512A"/>
    <w:rsid w:val="00A77892"/>
    <w:rsid w:val="00A81854"/>
    <w:rsid w:val="00A822E5"/>
    <w:rsid w:val="00A84034"/>
    <w:rsid w:val="00A85072"/>
    <w:rsid w:val="00A86462"/>
    <w:rsid w:val="00A86917"/>
    <w:rsid w:val="00A90F65"/>
    <w:rsid w:val="00A926FD"/>
    <w:rsid w:val="00A92BFB"/>
    <w:rsid w:val="00A94631"/>
    <w:rsid w:val="00AA0207"/>
    <w:rsid w:val="00AA2698"/>
    <w:rsid w:val="00AA4D0D"/>
    <w:rsid w:val="00AA4E23"/>
    <w:rsid w:val="00AB26C4"/>
    <w:rsid w:val="00AB371A"/>
    <w:rsid w:val="00AB7AAB"/>
    <w:rsid w:val="00AC0C2E"/>
    <w:rsid w:val="00AD0C19"/>
    <w:rsid w:val="00AD2E1C"/>
    <w:rsid w:val="00AD3A72"/>
    <w:rsid w:val="00AE1839"/>
    <w:rsid w:val="00AE2699"/>
    <w:rsid w:val="00AE4D2E"/>
    <w:rsid w:val="00AE7ED4"/>
    <w:rsid w:val="00AF70BD"/>
    <w:rsid w:val="00B01DC5"/>
    <w:rsid w:val="00B01FBA"/>
    <w:rsid w:val="00B02B59"/>
    <w:rsid w:val="00B05863"/>
    <w:rsid w:val="00B058EB"/>
    <w:rsid w:val="00B06503"/>
    <w:rsid w:val="00B13975"/>
    <w:rsid w:val="00B17CBE"/>
    <w:rsid w:val="00B24D1D"/>
    <w:rsid w:val="00B25D8C"/>
    <w:rsid w:val="00B3478F"/>
    <w:rsid w:val="00B36293"/>
    <w:rsid w:val="00B377B5"/>
    <w:rsid w:val="00B41BB4"/>
    <w:rsid w:val="00B4207C"/>
    <w:rsid w:val="00B42C0C"/>
    <w:rsid w:val="00B435FD"/>
    <w:rsid w:val="00B46EED"/>
    <w:rsid w:val="00B52DF7"/>
    <w:rsid w:val="00B54C9B"/>
    <w:rsid w:val="00B56A51"/>
    <w:rsid w:val="00B66327"/>
    <w:rsid w:val="00B673D5"/>
    <w:rsid w:val="00B677DD"/>
    <w:rsid w:val="00B706E6"/>
    <w:rsid w:val="00B70825"/>
    <w:rsid w:val="00B717E0"/>
    <w:rsid w:val="00B71988"/>
    <w:rsid w:val="00B72254"/>
    <w:rsid w:val="00B72EBE"/>
    <w:rsid w:val="00B73AEA"/>
    <w:rsid w:val="00B77575"/>
    <w:rsid w:val="00B80FD5"/>
    <w:rsid w:val="00B84DCE"/>
    <w:rsid w:val="00B85971"/>
    <w:rsid w:val="00B9333E"/>
    <w:rsid w:val="00B9472D"/>
    <w:rsid w:val="00B94842"/>
    <w:rsid w:val="00B95F84"/>
    <w:rsid w:val="00BA1525"/>
    <w:rsid w:val="00BA1D48"/>
    <w:rsid w:val="00BA216A"/>
    <w:rsid w:val="00BA36EA"/>
    <w:rsid w:val="00BA411B"/>
    <w:rsid w:val="00BA5B72"/>
    <w:rsid w:val="00BB0867"/>
    <w:rsid w:val="00BB0FEA"/>
    <w:rsid w:val="00BB11C8"/>
    <w:rsid w:val="00BB2741"/>
    <w:rsid w:val="00BB3879"/>
    <w:rsid w:val="00BB3CB3"/>
    <w:rsid w:val="00BB5E44"/>
    <w:rsid w:val="00BC1502"/>
    <w:rsid w:val="00BC170D"/>
    <w:rsid w:val="00BC482B"/>
    <w:rsid w:val="00BC5ADA"/>
    <w:rsid w:val="00BC77AC"/>
    <w:rsid w:val="00BD1D97"/>
    <w:rsid w:val="00BD289D"/>
    <w:rsid w:val="00BD34E5"/>
    <w:rsid w:val="00BD7177"/>
    <w:rsid w:val="00BD7554"/>
    <w:rsid w:val="00BE098A"/>
    <w:rsid w:val="00BE0EE1"/>
    <w:rsid w:val="00BE1935"/>
    <w:rsid w:val="00BE223D"/>
    <w:rsid w:val="00BE3102"/>
    <w:rsid w:val="00BE376D"/>
    <w:rsid w:val="00BE51D0"/>
    <w:rsid w:val="00BF0FE8"/>
    <w:rsid w:val="00BF1CA2"/>
    <w:rsid w:val="00BF77D9"/>
    <w:rsid w:val="00C00440"/>
    <w:rsid w:val="00C0366A"/>
    <w:rsid w:val="00C0432E"/>
    <w:rsid w:val="00C04DE5"/>
    <w:rsid w:val="00C07F10"/>
    <w:rsid w:val="00C10C77"/>
    <w:rsid w:val="00C14734"/>
    <w:rsid w:val="00C16E86"/>
    <w:rsid w:val="00C17F95"/>
    <w:rsid w:val="00C31606"/>
    <w:rsid w:val="00C34648"/>
    <w:rsid w:val="00C35339"/>
    <w:rsid w:val="00C36FD0"/>
    <w:rsid w:val="00C43A02"/>
    <w:rsid w:val="00C44DED"/>
    <w:rsid w:val="00C4565C"/>
    <w:rsid w:val="00C4614F"/>
    <w:rsid w:val="00C464DC"/>
    <w:rsid w:val="00C50921"/>
    <w:rsid w:val="00C610BD"/>
    <w:rsid w:val="00C62ED2"/>
    <w:rsid w:val="00C662D7"/>
    <w:rsid w:val="00C6679D"/>
    <w:rsid w:val="00C67129"/>
    <w:rsid w:val="00C76B8D"/>
    <w:rsid w:val="00C771EB"/>
    <w:rsid w:val="00C813F7"/>
    <w:rsid w:val="00C81E8B"/>
    <w:rsid w:val="00C8366E"/>
    <w:rsid w:val="00C869CF"/>
    <w:rsid w:val="00C86CF6"/>
    <w:rsid w:val="00C903ED"/>
    <w:rsid w:val="00CA2312"/>
    <w:rsid w:val="00CA31C6"/>
    <w:rsid w:val="00CA5A75"/>
    <w:rsid w:val="00CA73F0"/>
    <w:rsid w:val="00CB66BB"/>
    <w:rsid w:val="00CB6849"/>
    <w:rsid w:val="00CB7A47"/>
    <w:rsid w:val="00CC0349"/>
    <w:rsid w:val="00CC21F0"/>
    <w:rsid w:val="00CC2F7C"/>
    <w:rsid w:val="00CC3FDF"/>
    <w:rsid w:val="00CC59AD"/>
    <w:rsid w:val="00CD001F"/>
    <w:rsid w:val="00CD2993"/>
    <w:rsid w:val="00CD3BE2"/>
    <w:rsid w:val="00CD4263"/>
    <w:rsid w:val="00CD4942"/>
    <w:rsid w:val="00CD4BE3"/>
    <w:rsid w:val="00CE0814"/>
    <w:rsid w:val="00CE4AD7"/>
    <w:rsid w:val="00CE5A84"/>
    <w:rsid w:val="00CE6EE0"/>
    <w:rsid w:val="00CF2059"/>
    <w:rsid w:val="00CF3726"/>
    <w:rsid w:val="00CF546E"/>
    <w:rsid w:val="00CF5F47"/>
    <w:rsid w:val="00CF718C"/>
    <w:rsid w:val="00CF773C"/>
    <w:rsid w:val="00D01D09"/>
    <w:rsid w:val="00D01D80"/>
    <w:rsid w:val="00D05429"/>
    <w:rsid w:val="00D056F9"/>
    <w:rsid w:val="00D07A6E"/>
    <w:rsid w:val="00D11BF6"/>
    <w:rsid w:val="00D13487"/>
    <w:rsid w:val="00D13611"/>
    <w:rsid w:val="00D149FA"/>
    <w:rsid w:val="00D16068"/>
    <w:rsid w:val="00D20179"/>
    <w:rsid w:val="00D20286"/>
    <w:rsid w:val="00D2330B"/>
    <w:rsid w:val="00D27429"/>
    <w:rsid w:val="00D30A85"/>
    <w:rsid w:val="00D31194"/>
    <w:rsid w:val="00D32B27"/>
    <w:rsid w:val="00D35617"/>
    <w:rsid w:val="00D40502"/>
    <w:rsid w:val="00D42397"/>
    <w:rsid w:val="00D43996"/>
    <w:rsid w:val="00D45592"/>
    <w:rsid w:val="00D51F95"/>
    <w:rsid w:val="00D53861"/>
    <w:rsid w:val="00D568C4"/>
    <w:rsid w:val="00D604BE"/>
    <w:rsid w:val="00D619A5"/>
    <w:rsid w:val="00D67BFB"/>
    <w:rsid w:val="00D7006A"/>
    <w:rsid w:val="00D721AD"/>
    <w:rsid w:val="00D735C2"/>
    <w:rsid w:val="00D75906"/>
    <w:rsid w:val="00D75AD6"/>
    <w:rsid w:val="00D77679"/>
    <w:rsid w:val="00D841A5"/>
    <w:rsid w:val="00D84CF0"/>
    <w:rsid w:val="00D9151F"/>
    <w:rsid w:val="00D91DF3"/>
    <w:rsid w:val="00D924E0"/>
    <w:rsid w:val="00D9606D"/>
    <w:rsid w:val="00D96E53"/>
    <w:rsid w:val="00DA1B48"/>
    <w:rsid w:val="00DA2004"/>
    <w:rsid w:val="00DA4C59"/>
    <w:rsid w:val="00DA4E83"/>
    <w:rsid w:val="00DA5711"/>
    <w:rsid w:val="00DB17B9"/>
    <w:rsid w:val="00DB17D9"/>
    <w:rsid w:val="00DB2E6A"/>
    <w:rsid w:val="00DB7883"/>
    <w:rsid w:val="00DC0D34"/>
    <w:rsid w:val="00DD22E5"/>
    <w:rsid w:val="00DD317E"/>
    <w:rsid w:val="00DD33F8"/>
    <w:rsid w:val="00DD5025"/>
    <w:rsid w:val="00DD6934"/>
    <w:rsid w:val="00DD7051"/>
    <w:rsid w:val="00DE05A9"/>
    <w:rsid w:val="00DE6DB1"/>
    <w:rsid w:val="00DF1833"/>
    <w:rsid w:val="00DF59D9"/>
    <w:rsid w:val="00DF5ABA"/>
    <w:rsid w:val="00DF75B3"/>
    <w:rsid w:val="00E01CEC"/>
    <w:rsid w:val="00E06D23"/>
    <w:rsid w:val="00E06DEA"/>
    <w:rsid w:val="00E113B6"/>
    <w:rsid w:val="00E13702"/>
    <w:rsid w:val="00E17896"/>
    <w:rsid w:val="00E178D7"/>
    <w:rsid w:val="00E20BB6"/>
    <w:rsid w:val="00E2399E"/>
    <w:rsid w:val="00E23D5F"/>
    <w:rsid w:val="00E27091"/>
    <w:rsid w:val="00E3220B"/>
    <w:rsid w:val="00E347BE"/>
    <w:rsid w:val="00E376FE"/>
    <w:rsid w:val="00E42A41"/>
    <w:rsid w:val="00E434B9"/>
    <w:rsid w:val="00E44EAC"/>
    <w:rsid w:val="00E46C1B"/>
    <w:rsid w:val="00E51DE1"/>
    <w:rsid w:val="00E52CA4"/>
    <w:rsid w:val="00E537E8"/>
    <w:rsid w:val="00E5416F"/>
    <w:rsid w:val="00E54B8B"/>
    <w:rsid w:val="00E55728"/>
    <w:rsid w:val="00E55E64"/>
    <w:rsid w:val="00E5771A"/>
    <w:rsid w:val="00E57D13"/>
    <w:rsid w:val="00E6079C"/>
    <w:rsid w:val="00E62C20"/>
    <w:rsid w:val="00E63D4C"/>
    <w:rsid w:val="00E64A11"/>
    <w:rsid w:val="00E6566C"/>
    <w:rsid w:val="00E66E1A"/>
    <w:rsid w:val="00E67BFC"/>
    <w:rsid w:val="00E71A5A"/>
    <w:rsid w:val="00E71ADC"/>
    <w:rsid w:val="00E7637B"/>
    <w:rsid w:val="00E770D7"/>
    <w:rsid w:val="00E820D1"/>
    <w:rsid w:val="00E82B5E"/>
    <w:rsid w:val="00E8423D"/>
    <w:rsid w:val="00E95BEE"/>
    <w:rsid w:val="00E96548"/>
    <w:rsid w:val="00EA0830"/>
    <w:rsid w:val="00EA20D7"/>
    <w:rsid w:val="00EA2D75"/>
    <w:rsid w:val="00EA45DB"/>
    <w:rsid w:val="00EA46E3"/>
    <w:rsid w:val="00EA60BD"/>
    <w:rsid w:val="00EB4DE9"/>
    <w:rsid w:val="00EB502D"/>
    <w:rsid w:val="00EB59A7"/>
    <w:rsid w:val="00EB60D4"/>
    <w:rsid w:val="00EC06FD"/>
    <w:rsid w:val="00EC0BDE"/>
    <w:rsid w:val="00EC2DC6"/>
    <w:rsid w:val="00ED36ED"/>
    <w:rsid w:val="00ED7501"/>
    <w:rsid w:val="00EE178C"/>
    <w:rsid w:val="00EE18B3"/>
    <w:rsid w:val="00EF0AC5"/>
    <w:rsid w:val="00EF2D7F"/>
    <w:rsid w:val="00EF6EDB"/>
    <w:rsid w:val="00F02D5F"/>
    <w:rsid w:val="00F02FB4"/>
    <w:rsid w:val="00F05B4B"/>
    <w:rsid w:val="00F107BD"/>
    <w:rsid w:val="00F157BD"/>
    <w:rsid w:val="00F16F63"/>
    <w:rsid w:val="00F179C2"/>
    <w:rsid w:val="00F2098C"/>
    <w:rsid w:val="00F22262"/>
    <w:rsid w:val="00F2240C"/>
    <w:rsid w:val="00F22F77"/>
    <w:rsid w:val="00F2316D"/>
    <w:rsid w:val="00F32727"/>
    <w:rsid w:val="00F33EFA"/>
    <w:rsid w:val="00F33F22"/>
    <w:rsid w:val="00F357C4"/>
    <w:rsid w:val="00F37470"/>
    <w:rsid w:val="00F37511"/>
    <w:rsid w:val="00F37774"/>
    <w:rsid w:val="00F42D69"/>
    <w:rsid w:val="00F43309"/>
    <w:rsid w:val="00F4432F"/>
    <w:rsid w:val="00F44D63"/>
    <w:rsid w:val="00F50266"/>
    <w:rsid w:val="00F50B7B"/>
    <w:rsid w:val="00F5307B"/>
    <w:rsid w:val="00F54693"/>
    <w:rsid w:val="00F54806"/>
    <w:rsid w:val="00F5659F"/>
    <w:rsid w:val="00F57372"/>
    <w:rsid w:val="00F57D54"/>
    <w:rsid w:val="00F57E17"/>
    <w:rsid w:val="00F60F03"/>
    <w:rsid w:val="00F624CF"/>
    <w:rsid w:val="00F62BB3"/>
    <w:rsid w:val="00F63835"/>
    <w:rsid w:val="00F6778A"/>
    <w:rsid w:val="00F7025F"/>
    <w:rsid w:val="00F7477E"/>
    <w:rsid w:val="00F826F7"/>
    <w:rsid w:val="00F86FA2"/>
    <w:rsid w:val="00F91A08"/>
    <w:rsid w:val="00F94D78"/>
    <w:rsid w:val="00F95BDB"/>
    <w:rsid w:val="00F976FA"/>
    <w:rsid w:val="00FA35BE"/>
    <w:rsid w:val="00FA467A"/>
    <w:rsid w:val="00FA578A"/>
    <w:rsid w:val="00FB0550"/>
    <w:rsid w:val="00FC3933"/>
    <w:rsid w:val="00FC4A59"/>
    <w:rsid w:val="00FC4B9F"/>
    <w:rsid w:val="00FC5FE6"/>
    <w:rsid w:val="00FC7F84"/>
    <w:rsid w:val="00FD08A3"/>
    <w:rsid w:val="00FD20AE"/>
    <w:rsid w:val="00FD5BB0"/>
    <w:rsid w:val="00FD6573"/>
    <w:rsid w:val="00FE0A79"/>
    <w:rsid w:val="00FE1135"/>
    <w:rsid w:val="00FE3CAF"/>
    <w:rsid w:val="00FE57C7"/>
    <w:rsid w:val="00FE5E2E"/>
    <w:rsid w:val="00FE6C49"/>
    <w:rsid w:val="00FE7F91"/>
    <w:rsid w:val="00FF1532"/>
    <w:rsid w:val="00FF3ADD"/>
    <w:rsid w:val="00FF3D74"/>
    <w:rsid w:val="00FF4D0A"/>
    <w:rsid w:val="00FF6B79"/>
    <w:rsid w:val="00FF75A9"/>
    <w:rsid w:val="039E463F"/>
    <w:rsid w:val="060021DF"/>
    <w:rsid w:val="0672002A"/>
    <w:rsid w:val="0911E1D7"/>
    <w:rsid w:val="0BFDDFC7"/>
    <w:rsid w:val="0DFE739A"/>
    <w:rsid w:val="0E3B8A5E"/>
    <w:rsid w:val="13DAC434"/>
    <w:rsid w:val="142E11E7"/>
    <w:rsid w:val="1765B2A9"/>
    <w:rsid w:val="246ED553"/>
    <w:rsid w:val="27C35B4E"/>
    <w:rsid w:val="2B7A7619"/>
    <w:rsid w:val="2C7CD539"/>
    <w:rsid w:val="2C99E841"/>
    <w:rsid w:val="2CF5DD3A"/>
    <w:rsid w:val="2DA44EE0"/>
    <w:rsid w:val="2FA903DE"/>
    <w:rsid w:val="314D585B"/>
    <w:rsid w:val="326B9C0F"/>
    <w:rsid w:val="34876160"/>
    <w:rsid w:val="35156F18"/>
    <w:rsid w:val="358B6820"/>
    <w:rsid w:val="363C29B3"/>
    <w:rsid w:val="38C27CBE"/>
    <w:rsid w:val="38C3BD49"/>
    <w:rsid w:val="39FD9698"/>
    <w:rsid w:val="3C97F888"/>
    <w:rsid w:val="405D35D8"/>
    <w:rsid w:val="40B17E82"/>
    <w:rsid w:val="40F12E3A"/>
    <w:rsid w:val="41AD0E44"/>
    <w:rsid w:val="429B0717"/>
    <w:rsid w:val="44DB1FDE"/>
    <w:rsid w:val="48FD0015"/>
    <w:rsid w:val="4DD7E00C"/>
    <w:rsid w:val="500ED4B2"/>
    <w:rsid w:val="51AC2D17"/>
    <w:rsid w:val="52905DA3"/>
    <w:rsid w:val="52B92876"/>
    <w:rsid w:val="556880DB"/>
    <w:rsid w:val="5999953C"/>
    <w:rsid w:val="5B813BCF"/>
    <w:rsid w:val="5BE8F168"/>
    <w:rsid w:val="5DC3777C"/>
    <w:rsid w:val="652AF86E"/>
    <w:rsid w:val="6590C43A"/>
    <w:rsid w:val="661B1EFB"/>
    <w:rsid w:val="67C93441"/>
    <w:rsid w:val="69141EA0"/>
    <w:rsid w:val="6A095FC6"/>
    <w:rsid w:val="6BDDA089"/>
    <w:rsid w:val="6E511C92"/>
    <w:rsid w:val="70EBBCC5"/>
    <w:rsid w:val="74AA552B"/>
    <w:rsid w:val="763C3297"/>
    <w:rsid w:val="769AAAF7"/>
    <w:rsid w:val="77D0200F"/>
    <w:rsid w:val="7903F9D4"/>
    <w:rsid w:val="7934BC77"/>
    <w:rsid w:val="79C7638D"/>
    <w:rsid w:val="7AAEE0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65D013"/>
  <w15:docId w15:val="{17AFD52D-936F-447D-9FFE-C7667B7E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1DFD"/>
    <w:pPr>
      <w:jc w:val="both"/>
    </w:pPr>
  </w:style>
  <w:style w:type="paragraph" w:styleId="Titolo1">
    <w:name w:val="heading 1"/>
    <w:basedOn w:val="Normale"/>
    <w:next w:val="Normale"/>
    <w:link w:val="Titolo1Carattere"/>
    <w:uiPriority w:val="9"/>
    <w:qFormat/>
    <w:rsid w:val="004D29C1"/>
    <w:pPr>
      <w:keepNext/>
      <w:keepLines/>
      <w:spacing w:before="240" w:after="12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B7E0F"/>
    <w:pPr>
      <w:keepNext/>
      <w:keepLines/>
      <w:spacing w:before="40" w:after="12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8320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88131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241B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241B9"/>
  </w:style>
  <w:style w:type="paragraph" w:styleId="Pidipagina">
    <w:name w:val="footer"/>
    <w:basedOn w:val="Normale"/>
    <w:link w:val="PidipaginaCarattere"/>
    <w:uiPriority w:val="99"/>
    <w:unhideWhenUsed/>
    <w:rsid w:val="009241B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241B9"/>
  </w:style>
  <w:style w:type="paragraph" w:styleId="Testofumetto">
    <w:name w:val="Balloon Text"/>
    <w:basedOn w:val="Normale"/>
    <w:link w:val="TestofumettoCarattere"/>
    <w:uiPriority w:val="99"/>
    <w:semiHidden/>
    <w:unhideWhenUsed/>
    <w:rsid w:val="009241B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241B9"/>
    <w:rPr>
      <w:rFonts w:ascii="Tahoma" w:hAnsi="Tahoma" w:cs="Tahoma"/>
      <w:sz w:val="16"/>
      <w:szCs w:val="16"/>
    </w:rPr>
  </w:style>
  <w:style w:type="paragraph" w:styleId="Titolo">
    <w:name w:val="Title"/>
    <w:basedOn w:val="Normale"/>
    <w:next w:val="Normale"/>
    <w:link w:val="TitoloCarattere"/>
    <w:uiPriority w:val="10"/>
    <w:qFormat/>
    <w:rsid w:val="001F3A3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F3A3D"/>
    <w:rPr>
      <w:rFonts w:asciiTheme="majorHAnsi" w:eastAsiaTheme="majorEastAsia" w:hAnsiTheme="majorHAnsi" w:cstheme="majorBidi"/>
      <w:spacing w:val="-10"/>
      <w:kern w:val="28"/>
      <w:sz w:val="56"/>
      <w:szCs w:val="56"/>
    </w:rPr>
  </w:style>
  <w:style w:type="paragraph" w:styleId="NormaleWeb">
    <w:name w:val="Normal (Web)"/>
    <w:basedOn w:val="Normale"/>
    <w:uiPriority w:val="99"/>
    <w:unhideWhenUsed/>
    <w:rsid w:val="001F3A3D"/>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Tabellagriglia4-colore3">
    <w:name w:val="Grid Table 4 Accent 3"/>
    <w:basedOn w:val="Tabellanormale"/>
    <w:uiPriority w:val="49"/>
    <w:rsid w:val="001F3A3D"/>
    <w:pPr>
      <w:spacing w:after="0" w:line="240" w:lineRule="auto"/>
    </w:pPr>
    <w:rPr>
      <w:sz w:val="24"/>
      <w:szCs w:val="24"/>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itolo1Carattere">
    <w:name w:val="Titolo 1 Carattere"/>
    <w:basedOn w:val="Carpredefinitoparagrafo"/>
    <w:link w:val="Titolo1"/>
    <w:uiPriority w:val="9"/>
    <w:rsid w:val="004D29C1"/>
    <w:rPr>
      <w:rFonts w:asciiTheme="majorHAnsi" w:eastAsiaTheme="majorEastAsia" w:hAnsiTheme="majorHAnsi" w:cstheme="majorBidi"/>
      <w:color w:val="365F91" w:themeColor="accent1" w:themeShade="BF"/>
      <w:sz w:val="32"/>
      <w:szCs w:val="32"/>
    </w:rPr>
  </w:style>
  <w:style w:type="paragraph" w:styleId="Paragrafoelenco">
    <w:name w:val="List Paragraph"/>
    <w:aliases w:val="Titolo Paragrafo"/>
    <w:basedOn w:val="Normale"/>
    <w:link w:val="ParagrafoelencoCarattere"/>
    <w:uiPriority w:val="34"/>
    <w:qFormat/>
    <w:rsid w:val="00C31606"/>
    <w:pPr>
      <w:spacing w:after="160" w:line="259" w:lineRule="auto"/>
      <w:ind w:left="720"/>
      <w:contextualSpacing/>
    </w:pPr>
  </w:style>
  <w:style w:type="character" w:customStyle="1" w:styleId="Titolo2Carattere">
    <w:name w:val="Titolo 2 Carattere"/>
    <w:basedOn w:val="Carpredefinitoparagrafo"/>
    <w:link w:val="Titolo2"/>
    <w:uiPriority w:val="9"/>
    <w:rsid w:val="008B7E0F"/>
    <w:rPr>
      <w:rFonts w:asciiTheme="majorHAnsi" w:eastAsiaTheme="majorEastAsia" w:hAnsiTheme="majorHAnsi" w:cstheme="majorBidi"/>
      <w:color w:val="365F91" w:themeColor="accent1" w:themeShade="BF"/>
      <w:sz w:val="26"/>
      <w:szCs w:val="26"/>
    </w:rPr>
  </w:style>
  <w:style w:type="paragraph" w:customStyle="1" w:styleId="Default">
    <w:name w:val="Default"/>
    <w:rsid w:val="00E62C2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3Carattere">
    <w:name w:val="Titolo 3 Carattere"/>
    <w:basedOn w:val="Carpredefinitoparagrafo"/>
    <w:link w:val="Titolo3"/>
    <w:uiPriority w:val="9"/>
    <w:rsid w:val="00832068"/>
    <w:rPr>
      <w:rFonts w:asciiTheme="majorHAnsi" w:eastAsiaTheme="majorEastAsia" w:hAnsiTheme="majorHAnsi" w:cstheme="majorBidi"/>
      <w:color w:val="243F60" w:themeColor="accent1" w:themeShade="7F"/>
      <w:sz w:val="24"/>
      <w:szCs w:val="24"/>
    </w:rPr>
  </w:style>
  <w:style w:type="paragraph" w:styleId="Titolosommario">
    <w:name w:val="TOC Heading"/>
    <w:basedOn w:val="Titolo1"/>
    <w:next w:val="Normale"/>
    <w:uiPriority w:val="39"/>
    <w:unhideWhenUsed/>
    <w:qFormat/>
    <w:rsid w:val="00A86462"/>
    <w:pPr>
      <w:spacing w:line="259" w:lineRule="auto"/>
      <w:jc w:val="left"/>
      <w:outlineLvl w:val="9"/>
    </w:pPr>
    <w:rPr>
      <w:lang w:eastAsia="it-IT"/>
    </w:rPr>
  </w:style>
  <w:style w:type="paragraph" w:styleId="Sommario1">
    <w:name w:val="toc 1"/>
    <w:basedOn w:val="Normale"/>
    <w:next w:val="Normale"/>
    <w:autoRedefine/>
    <w:uiPriority w:val="39"/>
    <w:unhideWhenUsed/>
    <w:rsid w:val="00A86462"/>
    <w:pPr>
      <w:spacing w:after="100"/>
    </w:pPr>
  </w:style>
  <w:style w:type="paragraph" w:styleId="Sommario2">
    <w:name w:val="toc 2"/>
    <w:basedOn w:val="Normale"/>
    <w:next w:val="Normale"/>
    <w:autoRedefine/>
    <w:uiPriority w:val="39"/>
    <w:unhideWhenUsed/>
    <w:rsid w:val="00A86462"/>
    <w:pPr>
      <w:spacing w:after="100"/>
      <w:ind w:left="220"/>
    </w:pPr>
  </w:style>
  <w:style w:type="paragraph" w:styleId="Sommario3">
    <w:name w:val="toc 3"/>
    <w:basedOn w:val="Normale"/>
    <w:next w:val="Normale"/>
    <w:autoRedefine/>
    <w:uiPriority w:val="39"/>
    <w:unhideWhenUsed/>
    <w:rsid w:val="00F02D5F"/>
    <w:pPr>
      <w:tabs>
        <w:tab w:val="right" w:leader="dot" w:pos="9628"/>
      </w:tabs>
      <w:spacing w:after="100"/>
      <w:ind w:left="851"/>
    </w:pPr>
  </w:style>
  <w:style w:type="character" w:styleId="Collegamentoipertestuale">
    <w:name w:val="Hyperlink"/>
    <w:basedOn w:val="Carpredefinitoparagrafo"/>
    <w:uiPriority w:val="99"/>
    <w:unhideWhenUsed/>
    <w:rsid w:val="00A86462"/>
    <w:rPr>
      <w:color w:val="0000FF" w:themeColor="hyperlink"/>
      <w:u w:val="single"/>
    </w:rPr>
  </w:style>
  <w:style w:type="table" w:styleId="Grigliatabellachiara">
    <w:name w:val="Grid Table Light"/>
    <w:basedOn w:val="Tabellanormale"/>
    <w:uiPriority w:val="40"/>
    <w:rsid w:val="00822C6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aliases w:val="stile 1,Footnote1,Footnote2,Footnote3,Footnote4,Footnote5,Footnote6,Footnote7,Footnote8,Footnote9,Footnote10,Footnote11,Footnote21,Footnote31,Footnote41,Footnote51,Footnote61,Footnote71,Footnote81,Footnote91,stile 111,f,F"/>
    <w:basedOn w:val="Normale"/>
    <w:link w:val="TestonotaapidipaginaCarattere"/>
    <w:uiPriority w:val="99"/>
    <w:unhideWhenUsed/>
    <w:qFormat/>
    <w:rsid w:val="00C0366A"/>
    <w:pPr>
      <w:spacing w:after="0" w:line="240" w:lineRule="auto"/>
    </w:pPr>
    <w:rPr>
      <w:sz w:val="20"/>
      <w:szCs w:val="20"/>
    </w:rPr>
  </w:style>
  <w:style w:type="character" w:customStyle="1" w:styleId="TestonotaapidipaginaCarattere">
    <w:name w:val="Testo nota a piè di pagina Carattere"/>
    <w:aliases w:val="stile 1 Carattere,Footnote1 Carattere,Footnote2 Carattere,Footnote3 Carattere,Footnote4 Carattere,Footnote5 Carattere,Footnote6 Carattere,Footnote7 Carattere,Footnote8 Carattere,Footnote9 Carattere,f Carattere"/>
    <w:basedOn w:val="Carpredefinitoparagrafo"/>
    <w:link w:val="Testonotaapidipagina"/>
    <w:uiPriority w:val="99"/>
    <w:rsid w:val="00C0366A"/>
    <w:rPr>
      <w:sz w:val="20"/>
      <w:szCs w:val="20"/>
    </w:rPr>
  </w:style>
  <w:style w:type="character" w:styleId="Rimandonotaapidipagina">
    <w:name w:val="footnote reference"/>
    <w:aliases w:val="Footnote symbol,Footnote,BVI fnr,(Footnote Reference),SUPERS,Times 10 Point,Exposant 3 Point,Voetnootverwijzing,Footnote reference number,note TESI,Footnote Reference Superscript,Footnote Reference Number,BVI fnr Car Car"/>
    <w:basedOn w:val="Carpredefinitoparagrafo"/>
    <w:link w:val="Nota"/>
    <w:uiPriority w:val="99"/>
    <w:unhideWhenUsed/>
    <w:qFormat/>
    <w:rsid w:val="00C0366A"/>
    <w:rPr>
      <w:vertAlign w:val="superscript"/>
    </w:rPr>
  </w:style>
  <w:style w:type="character" w:customStyle="1" w:styleId="Titolo4Carattere">
    <w:name w:val="Titolo 4 Carattere"/>
    <w:basedOn w:val="Carpredefinitoparagrafo"/>
    <w:link w:val="Titolo4"/>
    <w:uiPriority w:val="9"/>
    <w:rsid w:val="00881311"/>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3D0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
    <w:name w:val="Tabella griglia 5 scura - colore 11"/>
    <w:basedOn w:val="Tabellanormale"/>
    <w:uiPriority w:val="50"/>
    <w:rsid w:val="00BE098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Titolotab">
    <w:name w:val="Titolo tab"/>
    <w:basedOn w:val="Normale"/>
    <w:qFormat/>
    <w:rsid w:val="00BE098A"/>
    <w:pPr>
      <w:keepNext/>
      <w:numPr>
        <w:numId w:val="5"/>
      </w:numPr>
      <w:tabs>
        <w:tab w:val="left" w:pos="993"/>
      </w:tabs>
      <w:spacing w:line="240" w:lineRule="auto"/>
    </w:pPr>
    <w:rPr>
      <w:rFonts w:cs="Cambria"/>
      <w:b/>
      <w:bCs/>
    </w:rPr>
  </w:style>
  <w:style w:type="numbering" w:customStyle="1" w:styleId="Stile4">
    <w:name w:val="Stile4"/>
    <w:uiPriority w:val="99"/>
    <w:rsid w:val="00BE098A"/>
    <w:pPr>
      <w:numPr>
        <w:numId w:val="4"/>
      </w:numPr>
    </w:pPr>
  </w:style>
  <w:style w:type="paragraph" w:customStyle="1" w:styleId="Fontetabellagrafico">
    <w:name w:val="Fonte tabella/grafico"/>
    <w:basedOn w:val="Normale"/>
    <w:qFormat/>
    <w:rsid w:val="00BE098A"/>
    <w:pPr>
      <w:spacing w:before="60" w:after="180" w:line="240" w:lineRule="auto"/>
      <w:jc w:val="left"/>
    </w:pPr>
    <w:rPr>
      <w:i/>
      <w:sz w:val="20"/>
      <w:szCs w:val="20"/>
      <w:lang w:val="en-US"/>
    </w:rPr>
  </w:style>
  <w:style w:type="character" w:styleId="Rimandocommento">
    <w:name w:val="annotation reference"/>
    <w:basedOn w:val="Carpredefinitoparagrafo"/>
    <w:uiPriority w:val="99"/>
    <w:semiHidden/>
    <w:unhideWhenUsed/>
    <w:rsid w:val="00246D3C"/>
    <w:rPr>
      <w:sz w:val="16"/>
      <w:szCs w:val="16"/>
    </w:rPr>
  </w:style>
  <w:style w:type="paragraph" w:styleId="Testocommento">
    <w:name w:val="annotation text"/>
    <w:basedOn w:val="Normale"/>
    <w:link w:val="TestocommentoCarattere"/>
    <w:uiPriority w:val="99"/>
    <w:semiHidden/>
    <w:unhideWhenUsed/>
    <w:rsid w:val="00246D3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46D3C"/>
    <w:rPr>
      <w:sz w:val="20"/>
      <w:szCs w:val="20"/>
    </w:rPr>
  </w:style>
  <w:style w:type="paragraph" w:styleId="Soggettocommento">
    <w:name w:val="annotation subject"/>
    <w:basedOn w:val="Testocommento"/>
    <w:next w:val="Testocommento"/>
    <w:link w:val="SoggettocommentoCarattere"/>
    <w:uiPriority w:val="99"/>
    <w:semiHidden/>
    <w:unhideWhenUsed/>
    <w:rsid w:val="00246D3C"/>
    <w:rPr>
      <w:b/>
      <w:bCs/>
    </w:rPr>
  </w:style>
  <w:style w:type="character" w:customStyle="1" w:styleId="SoggettocommentoCarattere">
    <w:name w:val="Soggetto commento Carattere"/>
    <w:basedOn w:val="TestocommentoCarattere"/>
    <w:link w:val="Soggettocommento"/>
    <w:uiPriority w:val="99"/>
    <w:semiHidden/>
    <w:rsid w:val="00246D3C"/>
    <w:rPr>
      <w:b/>
      <w:bCs/>
      <w:sz w:val="20"/>
      <w:szCs w:val="20"/>
    </w:rPr>
  </w:style>
  <w:style w:type="table" w:customStyle="1" w:styleId="valentina11">
    <w:name w:val="valentina11"/>
    <w:basedOn w:val="Tabellanormale"/>
    <w:next w:val="Grigliatabella"/>
    <w:uiPriority w:val="39"/>
    <w:rsid w:val="00A106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lenco">
    <w:name w:val="List"/>
    <w:aliases w:val="Elenco puntato"/>
    <w:basedOn w:val="Normale"/>
    <w:autoRedefine/>
    <w:rsid w:val="001E271D"/>
    <w:pPr>
      <w:numPr>
        <w:numId w:val="16"/>
      </w:numPr>
      <w:spacing w:after="0" w:line="240" w:lineRule="auto"/>
    </w:pPr>
    <w:rPr>
      <w:rFonts w:ascii="Calibri" w:eastAsia="MS Mincho" w:hAnsi="Calibri" w:cs="Times New Roman"/>
      <w:color w:val="000000"/>
      <w:sz w:val="24"/>
      <w:szCs w:val="28"/>
      <w:lang w:eastAsia="ja-JP"/>
    </w:rPr>
  </w:style>
  <w:style w:type="character" w:styleId="AcronimoHTML">
    <w:name w:val="HTML Acronym"/>
    <w:basedOn w:val="Carpredefinitoparagrafo"/>
    <w:uiPriority w:val="99"/>
    <w:semiHidden/>
    <w:unhideWhenUsed/>
    <w:rsid w:val="00FD5BB0"/>
  </w:style>
  <w:style w:type="character" w:customStyle="1" w:styleId="tlid-translation">
    <w:name w:val="tlid-translation"/>
    <w:basedOn w:val="Carpredefinitoparagrafo"/>
    <w:rsid w:val="005121FD"/>
  </w:style>
  <w:style w:type="character" w:customStyle="1" w:styleId="Menzionenonrisolta1">
    <w:name w:val="Menzione non risolta1"/>
    <w:basedOn w:val="Carpredefinitoparagrafo"/>
    <w:uiPriority w:val="99"/>
    <w:semiHidden/>
    <w:unhideWhenUsed/>
    <w:rsid w:val="00393F74"/>
    <w:rPr>
      <w:color w:val="605E5C"/>
      <w:shd w:val="clear" w:color="auto" w:fill="E1DFDD"/>
    </w:rPr>
  </w:style>
  <w:style w:type="character" w:styleId="Enfasigrassetto">
    <w:name w:val="Strong"/>
    <w:basedOn w:val="Carpredefinitoparagrafo"/>
    <w:uiPriority w:val="22"/>
    <w:qFormat/>
    <w:rsid w:val="006253D1"/>
    <w:rPr>
      <w:b/>
      <w:bCs/>
    </w:rPr>
  </w:style>
  <w:style w:type="character" w:styleId="Collegamentovisitato">
    <w:name w:val="FollowedHyperlink"/>
    <w:basedOn w:val="Carpredefinitoparagrafo"/>
    <w:uiPriority w:val="99"/>
    <w:semiHidden/>
    <w:unhideWhenUsed/>
    <w:rsid w:val="00BD289D"/>
    <w:rPr>
      <w:color w:val="800080" w:themeColor="followedHyperlink"/>
      <w:u w:val="single"/>
    </w:rPr>
  </w:style>
  <w:style w:type="character" w:customStyle="1" w:styleId="Menzionenonrisolta2">
    <w:name w:val="Menzione non risolta2"/>
    <w:basedOn w:val="Carpredefinitoparagrafo"/>
    <w:uiPriority w:val="99"/>
    <w:semiHidden/>
    <w:unhideWhenUsed/>
    <w:rsid w:val="00872D94"/>
    <w:rPr>
      <w:color w:val="605E5C"/>
      <w:shd w:val="clear" w:color="auto" w:fill="E1DFDD"/>
    </w:rPr>
  </w:style>
  <w:style w:type="character" w:customStyle="1" w:styleId="Menzionenonrisolta3">
    <w:name w:val="Menzione non risolta3"/>
    <w:basedOn w:val="Carpredefinitoparagrafo"/>
    <w:uiPriority w:val="99"/>
    <w:semiHidden/>
    <w:unhideWhenUsed/>
    <w:rsid w:val="0046552E"/>
    <w:rPr>
      <w:color w:val="605E5C"/>
      <w:shd w:val="clear" w:color="auto" w:fill="E1DFDD"/>
    </w:rPr>
  </w:style>
  <w:style w:type="table" w:styleId="Tabellaelenco3-colore1">
    <w:name w:val="List Table 3 Accent 1"/>
    <w:basedOn w:val="Tabellanormale"/>
    <w:uiPriority w:val="48"/>
    <w:rsid w:val="009C035B"/>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Nota">
    <w:name w:val="Nota"/>
    <w:aliases w:val="Footnote number,Char1,Char,Voetnootmarkering,fr,o,(NECG) Footnote Reference,FR"/>
    <w:basedOn w:val="Normale"/>
    <w:link w:val="Rimandonotaapidipagina"/>
    <w:uiPriority w:val="99"/>
    <w:rsid w:val="00932997"/>
    <w:pPr>
      <w:spacing w:after="160" w:line="240" w:lineRule="exact"/>
      <w:jc w:val="left"/>
    </w:pPr>
    <w:rPr>
      <w:vertAlign w:val="superscript"/>
    </w:rPr>
  </w:style>
  <w:style w:type="character" w:customStyle="1" w:styleId="ParagrafoelencoCarattere">
    <w:name w:val="Paragrafo elenco Carattere"/>
    <w:aliases w:val="Titolo Paragrafo Carattere"/>
    <w:link w:val="Paragrafoelenco"/>
    <w:uiPriority w:val="34"/>
    <w:rsid w:val="00932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72488">
      <w:bodyDiv w:val="1"/>
      <w:marLeft w:val="0"/>
      <w:marRight w:val="0"/>
      <w:marTop w:val="0"/>
      <w:marBottom w:val="0"/>
      <w:divBdr>
        <w:top w:val="none" w:sz="0" w:space="0" w:color="auto"/>
        <w:left w:val="none" w:sz="0" w:space="0" w:color="auto"/>
        <w:bottom w:val="none" w:sz="0" w:space="0" w:color="auto"/>
        <w:right w:val="none" w:sz="0" w:space="0" w:color="auto"/>
      </w:divBdr>
    </w:div>
    <w:div w:id="157312243">
      <w:bodyDiv w:val="1"/>
      <w:marLeft w:val="0"/>
      <w:marRight w:val="0"/>
      <w:marTop w:val="0"/>
      <w:marBottom w:val="0"/>
      <w:divBdr>
        <w:top w:val="none" w:sz="0" w:space="0" w:color="auto"/>
        <w:left w:val="none" w:sz="0" w:space="0" w:color="auto"/>
        <w:bottom w:val="none" w:sz="0" w:space="0" w:color="auto"/>
        <w:right w:val="none" w:sz="0" w:space="0" w:color="auto"/>
      </w:divBdr>
    </w:div>
    <w:div w:id="426191480">
      <w:bodyDiv w:val="1"/>
      <w:marLeft w:val="0"/>
      <w:marRight w:val="0"/>
      <w:marTop w:val="0"/>
      <w:marBottom w:val="0"/>
      <w:divBdr>
        <w:top w:val="none" w:sz="0" w:space="0" w:color="auto"/>
        <w:left w:val="none" w:sz="0" w:space="0" w:color="auto"/>
        <w:bottom w:val="none" w:sz="0" w:space="0" w:color="auto"/>
        <w:right w:val="none" w:sz="0" w:space="0" w:color="auto"/>
      </w:divBdr>
    </w:div>
    <w:div w:id="428893138">
      <w:bodyDiv w:val="1"/>
      <w:marLeft w:val="0"/>
      <w:marRight w:val="0"/>
      <w:marTop w:val="0"/>
      <w:marBottom w:val="0"/>
      <w:divBdr>
        <w:top w:val="none" w:sz="0" w:space="0" w:color="auto"/>
        <w:left w:val="none" w:sz="0" w:space="0" w:color="auto"/>
        <w:bottom w:val="none" w:sz="0" w:space="0" w:color="auto"/>
        <w:right w:val="none" w:sz="0" w:space="0" w:color="auto"/>
      </w:divBdr>
    </w:div>
    <w:div w:id="497581567">
      <w:bodyDiv w:val="1"/>
      <w:marLeft w:val="0"/>
      <w:marRight w:val="0"/>
      <w:marTop w:val="0"/>
      <w:marBottom w:val="0"/>
      <w:divBdr>
        <w:top w:val="none" w:sz="0" w:space="0" w:color="auto"/>
        <w:left w:val="none" w:sz="0" w:space="0" w:color="auto"/>
        <w:bottom w:val="none" w:sz="0" w:space="0" w:color="auto"/>
        <w:right w:val="none" w:sz="0" w:space="0" w:color="auto"/>
      </w:divBdr>
    </w:div>
    <w:div w:id="518932169">
      <w:bodyDiv w:val="1"/>
      <w:marLeft w:val="0"/>
      <w:marRight w:val="0"/>
      <w:marTop w:val="0"/>
      <w:marBottom w:val="0"/>
      <w:divBdr>
        <w:top w:val="none" w:sz="0" w:space="0" w:color="auto"/>
        <w:left w:val="none" w:sz="0" w:space="0" w:color="auto"/>
        <w:bottom w:val="none" w:sz="0" w:space="0" w:color="auto"/>
        <w:right w:val="none" w:sz="0" w:space="0" w:color="auto"/>
      </w:divBdr>
    </w:div>
    <w:div w:id="588851445">
      <w:bodyDiv w:val="1"/>
      <w:marLeft w:val="0"/>
      <w:marRight w:val="0"/>
      <w:marTop w:val="0"/>
      <w:marBottom w:val="0"/>
      <w:divBdr>
        <w:top w:val="none" w:sz="0" w:space="0" w:color="auto"/>
        <w:left w:val="none" w:sz="0" w:space="0" w:color="auto"/>
        <w:bottom w:val="none" w:sz="0" w:space="0" w:color="auto"/>
        <w:right w:val="none" w:sz="0" w:space="0" w:color="auto"/>
      </w:divBdr>
    </w:div>
    <w:div w:id="788090981">
      <w:bodyDiv w:val="1"/>
      <w:marLeft w:val="0"/>
      <w:marRight w:val="0"/>
      <w:marTop w:val="0"/>
      <w:marBottom w:val="0"/>
      <w:divBdr>
        <w:top w:val="none" w:sz="0" w:space="0" w:color="auto"/>
        <w:left w:val="none" w:sz="0" w:space="0" w:color="auto"/>
        <w:bottom w:val="none" w:sz="0" w:space="0" w:color="auto"/>
        <w:right w:val="none" w:sz="0" w:space="0" w:color="auto"/>
      </w:divBdr>
    </w:div>
    <w:div w:id="807698398">
      <w:bodyDiv w:val="1"/>
      <w:marLeft w:val="0"/>
      <w:marRight w:val="0"/>
      <w:marTop w:val="0"/>
      <w:marBottom w:val="0"/>
      <w:divBdr>
        <w:top w:val="none" w:sz="0" w:space="0" w:color="auto"/>
        <w:left w:val="none" w:sz="0" w:space="0" w:color="auto"/>
        <w:bottom w:val="none" w:sz="0" w:space="0" w:color="auto"/>
        <w:right w:val="none" w:sz="0" w:space="0" w:color="auto"/>
      </w:divBdr>
    </w:div>
    <w:div w:id="982081706">
      <w:bodyDiv w:val="1"/>
      <w:marLeft w:val="0"/>
      <w:marRight w:val="0"/>
      <w:marTop w:val="0"/>
      <w:marBottom w:val="0"/>
      <w:divBdr>
        <w:top w:val="none" w:sz="0" w:space="0" w:color="auto"/>
        <w:left w:val="none" w:sz="0" w:space="0" w:color="auto"/>
        <w:bottom w:val="none" w:sz="0" w:space="0" w:color="auto"/>
        <w:right w:val="none" w:sz="0" w:space="0" w:color="auto"/>
      </w:divBdr>
    </w:div>
    <w:div w:id="993073286">
      <w:bodyDiv w:val="1"/>
      <w:marLeft w:val="0"/>
      <w:marRight w:val="0"/>
      <w:marTop w:val="0"/>
      <w:marBottom w:val="0"/>
      <w:divBdr>
        <w:top w:val="none" w:sz="0" w:space="0" w:color="auto"/>
        <w:left w:val="none" w:sz="0" w:space="0" w:color="auto"/>
        <w:bottom w:val="none" w:sz="0" w:space="0" w:color="auto"/>
        <w:right w:val="none" w:sz="0" w:space="0" w:color="auto"/>
      </w:divBdr>
    </w:div>
    <w:div w:id="1045525928">
      <w:bodyDiv w:val="1"/>
      <w:marLeft w:val="0"/>
      <w:marRight w:val="0"/>
      <w:marTop w:val="0"/>
      <w:marBottom w:val="0"/>
      <w:divBdr>
        <w:top w:val="none" w:sz="0" w:space="0" w:color="auto"/>
        <w:left w:val="none" w:sz="0" w:space="0" w:color="auto"/>
        <w:bottom w:val="none" w:sz="0" w:space="0" w:color="auto"/>
        <w:right w:val="none" w:sz="0" w:space="0" w:color="auto"/>
      </w:divBdr>
    </w:div>
    <w:div w:id="1047610611">
      <w:bodyDiv w:val="1"/>
      <w:marLeft w:val="0"/>
      <w:marRight w:val="0"/>
      <w:marTop w:val="0"/>
      <w:marBottom w:val="0"/>
      <w:divBdr>
        <w:top w:val="none" w:sz="0" w:space="0" w:color="auto"/>
        <w:left w:val="none" w:sz="0" w:space="0" w:color="auto"/>
        <w:bottom w:val="none" w:sz="0" w:space="0" w:color="auto"/>
        <w:right w:val="none" w:sz="0" w:space="0" w:color="auto"/>
      </w:divBdr>
    </w:div>
    <w:div w:id="1062096000">
      <w:bodyDiv w:val="1"/>
      <w:marLeft w:val="0"/>
      <w:marRight w:val="0"/>
      <w:marTop w:val="0"/>
      <w:marBottom w:val="0"/>
      <w:divBdr>
        <w:top w:val="none" w:sz="0" w:space="0" w:color="auto"/>
        <w:left w:val="none" w:sz="0" w:space="0" w:color="auto"/>
        <w:bottom w:val="none" w:sz="0" w:space="0" w:color="auto"/>
        <w:right w:val="none" w:sz="0" w:space="0" w:color="auto"/>
      </w:divBdr>
    </w:div>
    <w:div w:id="1081412528">
      <w:bodyDiv w:val="1"/>
      <w:marLeft w:val="0"/>
      <w:marRight w:val="0"/>
      <w:marTop w:val="0"/>
      <w:marBottom w:val="0"/>
      <w:divBdr>
        <w:top w:val="none" w:sz="0" w:space="0" w:color="auto"/>
        <w:left w:val="none" w:sz="0" w:space="0" w:color="auto"/>
        <w:bottom w:val="none" w:sz="0" w:space="0" w:color="auto"/>
        <w:right w:val="none" w:sz="0" w:space="0" w:color="auto"/>
      </w:divBdr>
    </w:div>
    <w:div w:id="1329551868">
      <w:bodyDiv w:val="1"/>
      <w:marLeft w:val="0"/>
      <w:marRight w:val="0"/>
      <w:marTop w:val="0"/>
      <w:marBottom w:val="0"/>
      <w:divBdr>
        <w:top w:val="none" w:sz="0" w:space="0" w:color="auto"/>
        <w:left w:val="none" w:sz="0" w:space="0" w:color="auto"/>
        <w:bottom w:val="none" w:sz="0" w:space="0" w:color="auto"/>
        <w:right w:val="none" w:sz="0" w:space="0" w:color="auto"/>
      </w:divBdr>
    </w:div>
    <w:div w:id="1426611607">
      <w:bodyDiv w:val="1"/>
      <w:marLeft w:val="0"/>
      <w:marRight w:val="0"/>
      <w:marTop w:val="0"/>
      <w:marBottom w:val="0"/>
      <w:divBdr>
        <w:top w:val="none" w:sz="0" w:space="0" w:color="auto"/>
        <w:left w:val="none" w:sz="0" w:space="0" w:color="auto"/>
        <w:bottom w:val="none" w:sz="0" w:space="0" w:color="auto"/>
        <w:right w:val="none" w:sz="0" w:space="0" w:color="auto"/>
      </w:divBdr>
    </w:div>
    <w:div w:id="1748841626">
      <w:bodyDiv w:val="1"/>
      <w:marLeft w:val="0"/>
      <w:marRight w:val="0"/>
      <w:marTop w:val="0"/>
      <w:marBottom w:val="0"/>
      <w:divBdr>
        <w:top w:val="none" w:sz="0" w:space="0" w:color="auto"/>
        <w:left w:val="none" w:sz="0" w:space="0" w:color="auto"/>
        <w:bottom w:val="none" w:sz="0" w:space="0" w:color="auto"/>
        <w:right w:val="none" w:sz="0" w:space="0" w:color="auto"/>
      </w:divBdr>
    </w:div>
    <w:div w:id="193489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image" Target="media/image15.emf"/><Relationship Id="rId39" Type="http://schemas.openxmlformats.org/officeDocument/2006/relationships/hyperlink" Target="http://ec.europa.eu/agriculture/50-years-ofcap/files/history/history_book_lr_it.pdf" TargetMode="External"/><Relationship Id="rId21" Type="http://schemas.openxmlformats.org/officeDocument/2006/relationships/image" Target="media/image10.png"/><Relationship Id="rId34" Type="http://schemas.openxmlformats.org/officeDocument/2006/relationships/chart" Target="charts/chart2.xml"/><Relationship Id="rId42" Type="http://schemas.openxmlformats.org/officeDocument/2006/relationships/hyperlink" Target="https://www.fi-compass.eu/publication/brochures/survey-financial-needs-and-access-finance-eu-agricultural-enterprises" TargetMode="External"/><Relationship Id="rId47" Type="http://schemas.openxmlformats.org/officeDocument/2006/relationships/hyperlink" Target="http://www.reterurale.it/flex/cm/pages/ServeBLOB.php/L/IT/IDPagina/17792" TargetMode="External"/><Relationship Id="rId50" Type="http://schemas.openxmlformats.org/officeDocument/2006/relationships/hyperlink" Target="https://www.reterurale.it/flex/cm/pages/ServeBLOB.php/L/IT/IDPagina/1852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image" Target="media/image18.png"/><Relationship Id="rId11" Type="http://schemas.openxmlformats.org/officeDocument/2006/relationships/image" Target="media/image1.png"/><Relationship Id="rId24" Type="http://schemas.openxmlformats.org/officeDocument/2006/relationships/image" Target="media/image13.emf"/><Relationship Id="rId32" Type="http://schemas.openxmlformats.org/officeDocument/2006/relationships/header" Target="header1.xml"/><Relationship Id="rId37" Type="http://schemas.openxmlformats.org/officeDocument/2006/relationships/hyperlink" Target="https://ec.europa.eu/agriculture/sites/agriculture/files/external-studies/2015/young-farmers/final-report-1_en.pdf" TargetMode="External"/><Relationship Id="rId40" Type="http://schemas.openxmlformats.org/officeDocument/2006/relationships/hyperlink" Target="http://www.eca.europa.eu/it/Pages/DocItem.aspx?did=41529" TargetMode="External"/><Relationship Id="rId45" Type="http://schemas.openxmlformats.org/officeDocument/2006/relationships/hyperlink" Target="https://agriregionieuropa.univpm.it/it/content/article/31/55/il-sostegno-ai-giovani-agricoltori-nellambito-della-pac"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hyperlink" Target="https://www.innovarurale.it/it/glossario/innovazione" TargetMode="External"/><Relationship Id="rId44" Type="http://schemas.openxmlformats.org/officeDocument/2006/relationships/hyperlink" Target="https://agriregionieuropa.univpm.it/it/content/issue/31/agriregionieuropa-anno-14-ndeg55-dic-2018" TargetMode="External"/><Relationship Id="rId52" Type="http://schemas.openxmlformats.org/officeDocument/2006/relationships/hyperlink" Target="https://www.reterurale.it/flex/cm/pages/ServeBLOB.php/L/IT/IDPagina/1908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1.png"/><Relationship Id="rId27" Type="http://schemas.openxmlformats.org/officeDocument/2006/relationships/image" Target="media/image16.emf"/><Relationship Id="rId30" Type="http://schemas.openxmlformats.org/officeDocument/2006/relationships/hyperlink" Target="https://www.innovarurale.it/it/glossario/conoscenza" TargetMode="External"/><Relationship Id="rId35" Type="http://schemas.openxmlformats.org/officeDocument/2006/relationships/image" Target="media/image20.jpeg"/><Relationship Id="rId43" Type="http://schemas.openxmlformats.org/officeDocument/2006/relationships/hyperlink" Target="https://agriregionieuropa.univpm.it/it/content/person/francesco-piras" TargetMode="External"/><Relationship Id="rId48" Type="http://schemas.openxmlformats.org/officeDocument/2006/relationships/hyperlink" Target="https://www.reterurale.it/flex/cm/pages/ServeBLOB.php/L/IT/IDPagina/16833" TargetMode="External"/><Relationship Id="rId8" Type="http://schemas.openxmlformats.org/officeDocument/2006/relationships/webSettings" Target="webSettings.xml"/><Relationship Id="rId51" Type="http://schemas.openxmlformats.org/officeDocument/2006/relationships/hyperlink" Target="https://www.reterurale.it/flex/cm/pages/ServeBLOB.php/L/IT/IDPagina/18429"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image" Target="media/image14.emf"/><Relationship Id="rId33" Type="http://schemas.openxmlformats.org/officeDocument/2006/relationships/footer" Target="footer1.xml"/><Relationship Id="rId38" Type="http://schemas.openxmlformats.org/officeDocument/2006/relationships/hyperlink" Target="https://ec.europa.eu/agriculture/sites/agriculture/files/future-of-cap/future_of_food_and_farming_communication_it.pdf" TargetMode="External"/><Relationship Id="rId46" Type="http://schemas.openxmlformats.org/officeDocument/2006/relationships/hyperlink" Target="https://www.politicheagricole.it/flex/cm/pages/ServeBLOB.php/L/IT/IDPagina/12126" TargetMode="External"/><Relationship Id="rId20" Type="http://schemas.openxmlformats.org/officeDocument/2006/relationships/chart" Target="charts/chart1.xml"/><Relationship Id="rId41" Type="http://schemas.openxmlformats.org/officeDocument/2006/relationships/hyperlink" Target="https://www.eca.europa.eu/Lists/ECADocuments/SR17_10/SR_YOUNG_FARMERS_IT.pd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hyperlink" Target="https://www.reterurale.it/flex/cm/pages/ServeBLOB.php/L/IT/IDPagina/19825" TargetMode="External"/><Relationship Id="rId49" Type="http://schemas.openxmlformats.org/officeDocument/2006/relationships/hyperlink" Target="https://www.reterurale.it/flex/cm/pages/ServeBLOB.php/L/IT/IDPagina/18267"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fi-compass.eu/publication/brochures/survey-financial-needs-and-access-finance-eu-agricultural-enterprises" TargetMode="External"/><Relationship Id="rId2" Type="http://schemas.openxmlformats.org/officeDocument/2006/relationships/hyperlink" Target="https://www.regione.piemonte.it/web/temi/ambiente-territorio/montagna/associazioni-fondiarie/cosa-sonoassociazioni-fondiarie" TargetMode="External"/><Relationship Id="rId1" Type="http://schemas.openxmlformats.org/officeDocument/2006/relationships/hyperlink" Target="http://www.sardegnaagricoltura.it/index.php?xsl=443&amp;s=355583&amp;v=2&amp;c=3608" TargetMode="External"/><Relationship Id="rId5" Type="http://schemas.openxmlformats.org/officeDocument/2006/relationships/hyperlink" Target="https://www.reterurale.it/flex/cm/pages/ServeBLOB.php/L/IT/IDPagina/10873" TargetMode="External"/><Relationship Id="rId4" Type="http://schemas.openxmlformats.org/officeDocument/2006/relationships/hyperlink" Target="https://www.ecb.europa.eu/stats/ecb_surveys/safe/html/index.e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9.jpg"/></Relationships>
</file>

<file path=word/charts/_rels/chart1.xml.rels><?xml version="1.0" encoding="UTF-8" standalone="yes"?>
<Relationships xmlns="http://schemas.openxmlformats.org/package/2006/relationships"><Relationship Id="rId3" Type="http://schemas.openxmlformats.org/officeDocument/2006/relationships/oleObject" Target="file:///C:\Users\zanetti\AppData\Local\Microsoft\Windows\INetCache\Content.Outlook\7OMTY10A\eurostat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f.piras\Desktop\Misura%20112%20-%20pagato%20serie%20storic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2"/>
          <c:order val="2"/>
          <c:tx>
            <c:strRef>
              <c:f>'2_ITAdimmediaecon'!$J$19</c:f>
              <c:strCache>
                <c:ptCount val="1"/>
                <c:pt idx="0">
                  <c:v> 2013 </c:v>
                </c:pt>
              </c:strCache>
            </c:strRef>
          </c:tx>
          <c:spPr>
            <a:solidFill>
              <a:schemeClr val="accent3"/>
            </a:solidFill>
            <a:ln>
              <a:noFill/>
            </a:ln>
            <a:effectLst/>
          </c:spPr>
          <c:invertIfNegative val="0"/>
          <c:cat>
            <c:strRef>
              <c:f>'2_ITAdimmediaecon'!$G$20:$G$24</c:f>
              <c:strCache>
                <c:ptCount val="5"/>
                <c:pt idx="0">
                  <c:v>Less than 35 years</c:v>
                </c:pt>
                <c:pt idx="1">
                  <c:v>From 35 to 44 years</c:v>
                </c:pt>
                <c:pt idx="2">
                  <c:v>From 45 to 54 years</c:v>
                </c:pt>
                <c:pt idx="3">
                  <c:v>From 55 to 64 years</c:v>
                </c:pt>
                <c:pt idx="4">
                  <c:v>65 years or over</c:v>
                </c:pt>
              </c:strCache>
            </c:strRef>
          </c:cat>
          <c:val>
            <c:numRef>
              <c:f>'2_ITAdimmediaecon'!$J$20:$J$24</c:f>
              <c:numCache>
                <c:formatCode>_-* #,##0.0\ _€_-;\-* #,##0.0\ _€_-;_-* "-"??\ _€_-;_-@_-</c:formatCode>
                <c:ptCount val="5"/>
                <c:pt idx="0">
                  <c:v>73406.428852889672</c:v>
                </c:pt>
                <c:pt idx="1">
                  <c:v>73514.910393284052</c:v>
                </c:pt>
                <c:pt idx="2">
                  <c:v>60846.425212697832</c:v>
                </c:pt>
                <c:pt idx="3">
                  <c:v>40675.265925863096</c:v>
                </c:pt>
                <c:pt idx="4">
                  <c:v>23690.29646823911</c:v>
                </c:pt>
              </c:numCache>
            </c:numRef>
          </c:val>
          <c:extLst>
            <c:ext xmlns:c16="http://schemas.microsoft.com/office/drawing/2014/chart" uri="{C3380CC4-5D6E-409C-BE32-E72D297353CC}">
              <c16:uniqueId val="{00000000-BD2B-4F20-B2B4-212EA413D27E}"/>
            </c:ext>
          </c:extLst>
        </c:ser>
        <c:ser>
          <c:idx val="3"/>
          <c:order val="3"/>
          <c:tx>
            <c:strRef>
              <c:f>'2_ITAdimmediaecon'!$K$19</c:f>
              <c:strCache>
                <c:ptCount val="1"/>
                <c:pt idx="0">
                  <c:v> 2016 </c:v>
                </c:pt>
              </c:strCache>
            </c:strRef>
          </c:tx>
          <c:spPr>
            <a:solidFill>
              <a:schemeClr val="accent4"/>
            </a:solidFill>
            <a:ln>
              <a:noFill/>
            </a:ln>
            <a:effectLst/>
          </c:spPr>
          <c:invertIfNegative val="0"/>
          <c:cat>
            <c:strRef>
              <c:f>'2_ITAdimmediaecon'!$G$20:$G$24</c:f>
              <c:strCache>
                <c:ptCount val="5"/>
                <c:pt idx="0">
                  <c:v>Less than 35 years</c:v>
                </c:pt>
                <c:pt idx="1">
                  <c:v>From 35 to 44 years</c:v>
                </c:pt>
                <c:pt idx="2">
                  <c:v>From 45 to 54 years</c:v>
                </c:pt>
                <c:pt idx="3">
                  <c:v>From 55 to 64 years</c:v>
                </c:pt>
                <c:pt idx="4">
                  <c:v>65 years or over</c:v>
                </c:pt>
              </c:strCache>
            </c:strRef>
          </c:cat>
          <c:val>
            <c:numRef>
              <c:f>'2_ITAdimmediaecon'!$K$20:$K$24</c:f>
              <c:numCache>
                <c:formatCode>_-* #,##0.0\ _€_-;\-* #,##0.0\ _€_-;_-* "-"??\ _€_-;_-@_-</c:formatCode>
                <c:ptCount val="5"/>
                <c:pt idx="0">
                  <c:v>98742.949043216518</c:v>
                </c:pt>
                <c:pt idx="1">
                  <c:v>74743.084799437012</c:v>
                </c:pt>
                <c:pt idx="2">
                  <c:v>67695.02548905836</c:v>
                </c:pt>
                <c:pt idx="3">
                  <c:v>41810.490794872727</c:v>
                </c:pt>
                <c:pt idx="4">
                  <c:v>22932.812349365468</c:v>
                </c:pt>
              </c:numCache>
            </c:numRef>
          </c:val>
          <c:extLst>
            <c:ext xmlns:c16="http://schemas.microsoft.com/office/drawing/2014/chart" uri="{C3380CC4-5D6E-409C-BE32-E72D297353CC}">
              <c16:uniqueId val="{00000001-BD2B-4F20-B2B4-212EA413D27E}"/>
            </c:ext>
          </c:extLst>
        </c:ser>
        <c:dLbls>
          <c:showLegendKey val="0"/>
          <c:showVal val="0"/>
          <c:showCatName val="0"/>
          <c:showSerName val="0"/>
          <c:showPercent val="0"/>
          <c:showBubbleSize val="0"/>
        </c:dLbls>
        <c:gapWidth val="219"/>
        <c:overlap val="-27"/>
        <c:axId val="859349568"/>
        <c:axId val="837216320"/>
        <c:extLst>
          <c:ext xmlns:c15="http://schemas.microsoft.com/office/drawing/2012/chart" uri="{02D57815-91ED-43cb-92C2-25804820EDAC}">
            <c15:filteredBarSeries>
              <c15:ser>
                <c:idx val="0"/>
                <c:order val="0"/>
                <c:tx>
                  <c:strRef>
                    <c:extLst>
                      <c:ext uri="{02D57815-91ED-43cb-92C2-25804820EDAC}">
                        <c15:formulaRef>
                          <c15:sqref>'2_ITAdimmediaecon'!$H$19</c15:sqref>
                        </c15:formulaRef>
                      </c:ext>
                    </c:extLst>
                    <c:strCache>
                      <c:ptCount val="1"/>
                      <c:pt idx="0">
                        <c:v> 2007 </c:v>
                      </c:pt>
                    </c:strCache>
                  </c:strRef>
                </c:tx>
                <c:spPr>
                  <a:solidFill>
                    <a:schemeClr val="accent1"/>
                  </a:solidFill>
                  <a:ln>
                    <a:noFill/>
                  </a:ln>
                  <a:effectLst/>
                </c:spPr>
                <c:invertIfNegative val="0"/>
                <c:cat>
                  <c:strRef>
                    <c:extLst>
                      <c:ext uri="{02D57815-91ED-43cb-92C2-25804820EDAC}">
                        <c15:formulaRef>
                          <c15:sqref>'2_ITAdimmediaecon'!$G$20:$G$24</c15:sqref>
                        </c15:formulaRef>
                      </c:ext>
                    </c:extLst>
                    <c:strCache>
                      <c:ptCount val="5"/>
                      <c:pt idx="0">
                        <c:v>Less than 35 years</c:v>
                      </c:pt>
                      <c:pt idx="1">
                        <c:v>From 35 to 44 years</c:v>
                      </c:pt>
                      <c:pt idx="2">
                        <c:v>From 45 to 54 years</c:v>
                      </c:pt>
                      <c:pt idx="3">
                        <c:v>From 55 to 64 years</c:v>
                      </c:pt>
                      <c:pt idx="4">
                        <c:v>65 years or over</c:v>
                      </c:pt>
                    </c:strCache>
                  </c:strRef>
                </c:cat>
                <c:val>
                  <c:numRef>
                    <c:extLst>
                      <c:ext uri="{02D57815-91ED-43cb-92C2-25804820EDAC}">
                        <c15:formulaRef>
                          <c15:sqref>'2_ITAdimmediaecon'!$H$20:$H$24</c15:sqref>
                        </c15:formulaRef>
                      </c:ext>
                    </c:extLst>
                    <c:numCache>
                      <c:formatCode>_-* #,##0.0\ _€_-;\-* #,##0.0\ _€_-;_-* "-"??\ _€_-;_-@_-</c:formatCode>
                      <c:ptCount val="5"/>
                      <c:pt idx="0">
                        <c:v>63008.04213374565</c:v>
                      </c:pt>
                      <c:pt idx="1">
                        <c:v>47758.906619319758</c:v>
                      </c:pt>
                      <c:pt idx="2">
                        <c:v>33781.377451281733</c:v>
                      </c:pt>
                      <c:pt idx="3">
                        <c:v>21257.701781005919</c:v>
                      </c:pt>
                      <c:pt idx="4">
                        <c:v>12691.22193831498</c:v>
                      </c:pt>
                    </c:numCache>
                  </c:numRef>
                </c:val>
                <c:extLst>
                  <c:ext xmlns:c16="http://schemas.microsoft.com/office/drawing/2014/chart" uri="{C3380CC4-5D6E-409C-BE32-E72D297353CC}">
                    <c16:uniqueId val="{00000002-BD2B-4F20-B2B4-212EA413D27E}"/>
                  </c:ext>
                </c:extLst>
              </c15:ser>
            </c15:filteredBarSeries>
            <c15:filteredBarSeries>
              <c15:ser>
                <c:idx val="1"/>
                <c:order val="1"/>
                <c:tx>
                  <c:strRef>
                    <c:extLst xmlns:c15="http://schemas.microsoft.com/office/drawing/2012/chart">
                      <c:ext xmlns:c15="http://schemas.microsoft.com/office/drawing/2012/chart" uri="{02D57815-91ED-43cb-92C2-25804820EDAC}">
                        <c15:formulaRef>
                          <c15:sqref>'2_ITAdimmediaecon'!$I$19</c15:sqref>
                        </c15:formulaRef>
                      </c:ext>
                    </c:extLst>
                    <c:strCache>
                      <c:ptCount val="1"/>
                      <c:pt idx="0">
                        <c:v> 2010 </c:v>
                      </c:pt>
                    </c:strCache>
                  </c:strRef>
                </c:tx>
                <c:spPr>
                  <a:solidFill>
                    <a:schemeClr val="accent2"/>
                  </a:solidFill>
                  <a:ln>
                    <a:noFill/>
                  </a:ln>
                  <a:effectLst/>
                </c:spPr>
                <c:invertIfNegative val="0"/>
                <c:cat>
                  <c:strRef>
                    <c:extLst xmlns:c15="http://schemas.microsoft.com/office/drawing/2012/chart">
                      <c:ext xmlns:c15="http://schemas.microsoft.com/office/drawing/2012/chart" uri="{02D57815-91ED-43cb-92C2-25804820EDAC}">
                        <c15:formulaRef>
                          <c15:sqref>'2_ITAdimmediaecon'!$G$20:$G$24</c15:sqref>
                        </c15:formulaRef>
                      </c:ext>
                    </c:extLst>
                    <c:strCache>
                      <c:ptCount val="5"/>
                      <c:pt idx="0">
                        <c:v>Less than 35 years</c:v>
                      </c:pt>
                      <c:pt idx="1">
                        <c:v>From 35 to 44 years</c:v>
                      </c:pt>
                      <c:pt idx="2">
                        <c:v>From 45 to 54 years</c:v>
                      </c:pt>
                      <c:pt idx="3">
                        <c:v>From 55 to 64 years</c:v>
                      </c:pt>
                      <c:pt idx="4">
                        <c:v>65 years or over</c:v>
                      </c:pt>
                    </c:strCache>
                  </c:strRef>
                </c:cat>
                <c:val>
                  <c:numRef>
                    <c:extLst xmlns:c15="http://schemas.microsoft.com/office/drawing/2012/chart">
                      <c:ext xmlns:c15="http://schemas.microsoft.com/office/drawing/2012/chart" uri="{02D57815-91ED-43cb-92C2-25804820EDAC}">
                        <c15:formulaRef>
                          <c15:sqref>'2_ITAdimmediaecon'!$I$20:$I$24</c15:sqref>
                        </c15:formulaRef>
                      </c:ext>
                    </c:extLst>
                    <c:numCache>
                      <c:formatCode>_-* #,##0.0\ _€_-;\-* #,##0.0\ _€_-;_-* "-"??\ _€_-;_-@_-</c:formatCode>
                      <c:ptCount val="5"/>
                      <c:pt idx="0">
                        <c:v>54668.707830958469</c:v>
                      </c:pt>
                      <c:pt idx="1">
                        <c:v>52469.431934342443</c:v>
                      </c:pt>
                      <c:pt idx="2">
                        <c:v>40678.083094216832</c:v>
                      </c:pt>
                      <c:pt idx="3">
                        <c:v>26601.346036662773</c:v>
                      </c:pt>
                      <c:pt idx="4">
                        <c:v>16683.355640630438</c:v>
                      </c:pt>
                    </c:numCache>
                  </c:numRef>
                </c:val>
                <c:extLst xmlns:c15="http://schemas.microsoft.com/office/drawing/2012/chart">
                  <c:ext xmlns:c16="http://schemas.microsoft.com/office/drawing/2014/chart" uri="{C3380CC4-5D6E-409C-BE32-E72D297353CC}">
                    <c16:uniqueId val="{00000003-BD2B-4F20-B2B4-212EA413D27E}"/>
                  </c:ext>
                </c:extLst>
              </c15:ser>
            </c15:filteredBarSeries>
          </c:ext>
        </c:extLst>
      </c:barChart>
      <c:catAx>
        <c:axId val="859349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837216320"/>
        <c:crosses val="autoZero"/>
        <c:auto val="1"/>
        <c:lblAlgn val="ctr"/>
        <c:lblOffset val="100"/>
        <c:noMultiLvlLbl val="0"/>
      </c:catAx>
      <c:valAx>
        <c:axId val="837216320"/>
        <c:scaling>
          <c:orientation val="minMax"/>
        </c:scaling>
        <c:delete val="0"/>
        <c:axPos val="l"/>
        <c:majorGridlines>
          <c:spPr>
            <a:ln w="9525" cap="flat" cmpd="sng" algn="ctr">
              <a:solidFill>
                <a:schemeClr val="tx1">
                  <a:lumMod val="15000"/>
                  <a:lumOff val="85000"/>
                </a:schemeClr>
              </a:solidFill>
              <a:round/>
            </a:ln>
            <a:effectLst/>
          </c:spPr>
        </c:majorGridlines>
        <c:numFmt formatCode="_-* #,##0.0\ _€_-;\-* #,##0.0\ _€_-;_-* &quot;-&quot;??\ _€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8593495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2501942840924797E-2"/>
          <c:y val="0.106422217230632"/>
          <c:w val="0.85033940388222995"/>
          <c:h val="0.77268981797811598"/>
        </c:manualLayout>
      </c:layout>
      <c:barChart>
        <c:barDir val="col"/>
        <c:grouping val="clustered"/>
        <c:varyColors val="0"/>
        <c:ser>
          <c:idx val="0"/>
          <c:order val="0"/>
          <c:tx>
            <c:strRef>
              <c:f>'Grafico serie storica'!$B$9</c:f>
              <c:strCache>
                <c:ptCount val="1"/>
                <c:pt idx="0">
                  <c:v>Spesa cumulata (milioni di euro) (asse di destra)</c:v>
                </c:pt>
              </c:strCache>
            </c:strRef>
          </c:tx>
          <c:spPr>
            <a:solidFill>
              <a:schemeClr val="accent1"/>
            </a:solidFill>
            <a:ln>
              <a:noFill/>
            </a:ln>
            <a:effectLst/>
          </c:spPr>
          <c:invertIfNegative val="0"/>
          <c:dLbls>
            <c:dLbl>
              <c:idx val="2"/>
              <c:layout>
                <c:manualLayout>
                  <c:x val="1.5432164782858799E-3"/>
                  <c:y val="5.105315143090360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089-4F8B-BF85-D4B59BDF4E09}"/>
                </c:ext>
              </c:extLst>
            </c:dLbl>
            <c:dLbl>
              <c:idx val="3"/>
              <c:layout>
                <c:manualLayout>
                  <c:x val="-5.6583708480088995E-17"/>
                  <c:y val="6.0536163649646799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089-4F8B-BF85-D4B59BDF4E09}"/>
                </c:ext>
              </c:extLst>
            </c:dLbl>
            <c:dLbl>
              <c:idx val="4"/>
              <c:layout>
                <c:manualLayout>
                  <c:x val="3.08641975308642E-3"/>
                  <c:y val="0.11380956246448599"/>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089-4F8B-BF85-D4B59BDF4E09}"/>
                </c:ext>
              </c:extLst>
            </c:dLbl>
            <c:dLbl>
              <c:idx val="5"/>
              <c:layout>
                <c:manualLayout>
                  <c:x val="-4.6296296296296302E-3"/>
                  <c:y val="0.12517980355548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089-4F8B-BF85-D4B59BDF4E09}"/>
                </c:ext>
              </c:extLst>
            </c:dLbl>
            <c:dLbl>
              <c:idx val="6"/>
              <c:layout>
                <c:manualLayout>
                  <c:x val="3.08641975308642E-3"/>
                  <c:y val="0.12968382173877699"/>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089-4F8B-BF85-D4B59BDF4E09}"/>
                </c:ext>
              </c:extLst>
            </c:dLbl>
            <c:dLbl>
              <c:idx val="7"/>
              <c:layout>
                <c:manualLayout>
                  <c:x val="-6.17283950617284E-3"/>
                  <c:y val="0.14003287604513301"/>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089-4F8B-BF85-D4B59BDF4E09}"/>
                </c:ext>
              </c:extLst>
            </c:dLbl>
            <c:dLbl>
              <c:idx val="8"/>
              <c:layout>
                <c:manualLayout>
                  <c:x val="3.0864197530865302E-3"/>
                  <c:y val="0.15222765646562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089-4F8B-BF85-D4B59BDF4E09}"/>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'Grafico serie storica'!$C$8:$K$8</c:f>
              <c:numCache>
                <c:formatCode>General</c:formatCode>
                <c:ptCount val="9"/>
                <c:pt idx="0">
                  <c:v>2007</c:v>
                </c:pt>
                <c:pt idx="1">
                  <c:v>2008</c:v>
                </c:pt>
                <c:pt idx="2">
                  <c:v>2009</c:v>
                </c:pt>
                <c:pt idx="3">
                  <c:v>2010</c:v>
                </c:pt>
                <c:pt idx="4">
                  <c:v>2011</c:v>
                </c:pt>
                <c:pt idx="5">
                  <c:v>2012</c:v>
                </c:pt>
                <c:pt idx="6">
                  <c:v>2013</c:v>
                </c:pt>
                <c:pt idx="7">
                  <c:v>2014</c:v>
                </c:pt>
                <c:pt idx="8">
                  <c:v>2015</c:v>
                </c:pt>
              </c:numCache>
            </c:numRef>
          </c:cat>
          <c:val>
            <c:numRef>
              <c:f>'Grafico serie storica'!$C$9:$K$9</c:f>
              <c:numCache>
                <c:formatCode>#,##0.00</c:formatCode>
                <c:ptCount val="9"/>
                <c:pt idx="0">
                  <c:v>5.6024923449106812</c:v>
                </c:pt>
                <c:pt idx="1">
                  <c:v>12.381044113844958</c:v>
                </c:pt>
                <c:pt idx="2">
                  <c:v>61.645291099204776</c:v>
                </c:pt>
                <c:pt idx="3">
                  <c:v>196.45382654465931</c:v>
                </c:pt>
                <c:pt idx="4">
                  <c:v>347.60901081712558</c:v>
                </c:pt>
                <c:pt idx="5">
                  <c:v>484.45506539790352</c:v>
                </c:pt>
                <c:pt idx="6">
                  <c:v>556.20536066892635</c:v>
                </c:pt>
                <c:pt idx="7">
                  <c:v>611.01868475077185</c:v>
                </c:pt>
                <c:pt idx="8">
                  <c:v>698.18173822835456</c:v>
                </c:pt>
              </c:numCache>
            </c:numRef>
          </c:val>
          <c:extLst>
            <c:ext xmlns:c16="http://schemas.microsoft.com/office/drawing/2014/chart" uri="{C3380CC4-5D6E-409C-BE32-E72D297353CC}">
              <c16:uniqueId val="{00000007-C089-4F8B-BF85-D4B59BDF4E09}"/>
            </c:ext>
          </c:extLst>
        </c:ser>
        <c:dLbls>
          <c:showLegendKey val="0"/>
          <c:showVal val="0"/>
          <c:showCatName val="0"/>
          <c:showSerName val="0"/>
          <c:showPercent val="0"/>
          <c:showBubbleSize val="0"/>
        </c:dLbls>
        <c:gapWidth val="75"/>
        <c:overlap val="-25"/>
        <c:axId val="-2141381560"/>
        <c:axId val="-2141384536"/>
      </c:barChart>
      <c:lineChart>
        <c:grouping val="stacked"/>
        <c:varyColors val="0"/>
        <c:ser>
          <c:idx val="1"/>
          <c:order val="1"/>
          <c:tx>
            <c:strRef>
              <c:f>'Grafico serie storica'!$B$10</c:f>
              <c:strCache>
                <c:ptCount val="1"/>
                <c:pt idx="0">
                  <c:v>Tasso di esecuzione (asse di sinistra)</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it-IT"/>
                </a:p>
              </c:txPr>
              <c:dLblPos val="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8-C089-4F8B-BF85-D4B59BDF4E09}"/>
                </c:ext>
              </c:extLst>
            </c:dLbl>
            <c:dLbl>
              <c:idx val="1"/>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it-IT"/>
                </a:p>
              </c:txPr>
              <c:dLblPos val="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C089-4F8B-BF85-D4B59BDF4E0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'Grafico serie storica'!$C$8:$K$8</c:f>
              <c:numCache>
                <c:formatCode>General</c:formatCode>
                <c:ptCount val="9"/>
                <c:pt idx="0">
                  <c:v>2007</c:v>
                </c:pt>
                <c:pt idx="1">
                  <c:v>2008</c:v>
                </c:pt>
                <c:pt idx="2">
                  <c:v>2009</c:v>
                </c:pt>
                <c:pt idx="3">
                  <c:v>2010</c:v>
                </c:pt>
                <c:pt idx="4">
                  <c:v>2011</c:v>
                </c:pt>
                <c:pt idx="5">
                  <c:v>2012</c:v>
                </c:pt>
                <c:pt idx="6">
                  <c:v>2013</c:v>
                </c:pt>
                <c:pt idx="7">
                  <c:v>2014</c:v>
                </c:pt>
                <c:pt idx="8">
                  <c:v>2015</c:v>
                </c:pt>
              </c:numCache>
            </c:numRef>
          </c:cat>
          <c:val>
            <c:numRef>
              <c:f>'Grafico serie storica'!$C$10:$K$10</c:f>
              <c:numCache>
                <c:formatCode>0.0%</c:formatCode>
                <c:ptCount val="9"/>
                <c:pt idx="0">
                  <c:v>7.9762134751006283E-3</c:v>
                </c:pt>
                <c:pt idx="1">
                  <c:v>1.7626771232694984E-2</c:v>
                </c:pt>
                <c:pt idx="2">
                  <c:v>8.7763797123013632E-2</c:v>
                </c:pt>
                <c:pt idx="3">
                  <c:v>0.27968938858863795</c:v>
                </c:pt>
                <c:pt idx="4">
                  <c:v>0.49488754387403983</c:v>
                </c:pt>
                <c:pt idx="5">
                  <c:v>0.68971393137514736</c:v>
                </c:pt>
                <c:pt idx="6">
                  <c:v>0.7918641239591776</c:v>
                </c:pt>
                <c:pt idx="7">
                  <c:v>0.86990131655861602</c:v>
                </c:pt>
                <c:pt idx="8">
                  <c:v>0.99399450203353445</c:v>
                </c:pt>
              </c:numCache>
            </c:numRef>
          </c:val>
          <c:smooth val="0"/>
          <c:extLst>
            <c:ext xmlns:c16="http://schemas.microsoft.com/office/drawing/2014/chart" uri="{C3380CC4-5D6E-409C-BE32-E72D297353CC}">
              <c16:uniqueId val="{0000000A-C089-4F8B-BF85-D4B59BDF4E09}"/>
            </c:ext>
          </c:extLst>
        </c:ser>
        <c:dLbls>
          <c:showLegendKey val="0"/>
          <c:showVal val="0"/>
          <c:showCatName val="0"/>
          <c:showSerName val="0"/>
          <c:showPercent val="0"/>
          <c:showBubbleSize val="0"/>
        </c:dLbls>
        <c:marker val="1"/>
        <c:smooth val="0"/>
        <c:axId val="-2141391128"/>
        <c:axId val="-2141388088"/>
      </c:lineChart>
      <c:catAx>
        <c:axId val="-214139112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2141388088"/>
        <c:crosses val="autoZero"/>
        <c:auto val="1"/>
        <c:lblAlgn val="ctr"/>
        <c:lblOffset val="100"/>
        <c:noMultiLvlLbl val="0"/>
      </c:catAx>
      <c:valAx>
        <c:axId val="-2141388088"/>
        <c:scaling>
          <c:orientation val="minMax"/>
          <c:max val="1.1000000000000001"/>
          <c:min val="0"/>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2141391128"/>
        <c:crosses val="autoZero"/>
        <c:crossBetween val="between"/>
      </c:valAx>
      <c:valAx>
        <c:axId val="-2141384536"/>
        <c:scaling>
          <c:orientation val="minMax"/>
          <c:min val="0"/>
        </c:scaling>
        <c:delete val="0"/>
        <c:axPos val="r"/>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2141381560"/>
        <c:crosses val="max"/>
        <c:crossBetween val="between"/>
      </c:valAx>
      <c:catAx>
        <c:axId val="-2141381560"/>
        <c:scaling>
          <c:orientation val="minMax"/>
        </c:scaling>
        <c:delete val="1"/>
        <c:axPos val="b"/>
        <c:numFmt formatCode="General" sourceLinked="1"/>
        <c:majorTickMark val="none"/>
        <c:minorTickMark val="none"/>
        <c:tickLblPos val="nextTo"/>
        <c:crossAx val="-214138453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A5B55708C05BB4DAEDDFA085024A108" ma:contentTypeVersion="13" ma:contentTypeDescription="Creare un nuovo documento." ma:contentTypeScope="" ma:versionID="1aea5cc107cce94b5c02ebf5c58c6254">
  <xsd:schema xmlns:xsd="http://www.w3.org/2001/XMLSchema" xmlns:xs="http://www.w3.org/2001/XMLSchema" xmlns:p="http://schemas.microsoft.com/office/2006/metadata/properties" xmlns:ns3="0fcabb9b-0d40-485f-84de-3c8f817f88ca" xmlns:ns4="921c7800-220e-45ba-8e86-c3235a1f4abf" targetNamespace="http://schemas.microsoft.com/office/2006/metadata/properties" ma:root="true" ma:fieldsID="e1424eb95496c8e9ecfc709471505f16" ns3:_="" ns4:_="">
    <xsd:import namespace="0fcabb9b-0d40-485f-84de-3c8f817f88ca"/>
    <xsd:import namespace="921c7800-220e-45ba-8e86-c3235a1f4ab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cabb9b-0d40-485f-84de-3c8f817f88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1c7800-220e-45ba-8e86-c3235a1f4abf"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61116F-E138-44AE-A950-2E50A9DE0E47}">
  <ds:schemaRefs>
    <ds:schemaRef ds:uri="http://schemas.openxmlformats.org/officeDocument/2006/bibliography"/>
  </ds:schemaRefs>
</ds:datastoreItem>
</file>

<file path=customXml/itemProps2.xml><?xml version="1.0" encoding="utf-8"?>
<ds:datastoreItem xmlns:ds="http://schemas.openxmlformats.org/officeDocument/2006/customXml" ds:itemID="{6A7CDC82-6B27-4251-A2F6-731FB409815E}">
  <ds:schemaRefs>
    <ds:schemaRef ds:uri="http://schemas.microsoft.com/sharepoint/v3/contenttype/forms"/>
  </ds:schemaRefs>
</ds:datastoreItem>
</file>

<file path=customXml/itemProps3.xml><?xml version="1.0" encoding="utf-8"?>
<ds:datastoreItem xmlns:ds="http://schemas.openxmlformats.org/officeDocument/2006/customXml" ds:itemID="{44807A00-04FE-4C9B-9B9A-3AC0E966A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cabb9b-0d40-485f-84de-3c8f817f88ca"/>
    <ds:schemaRef ds:uri="921c7800-220e-45ba-8e86-c3235a1f4a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D6EA47-9E89-4ADD-A897-E5810872D03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51</Pages>
  <Words>16857</Words>
  <Characters>96086</Characters>
  <Application>Microsoft Office Word</Application>
  <DocSecurity>0</DocSecurity>
  <Lines>800</Lines>
  <Paragraphs>225</Paragraphs>
  <ScaleCrop>false</ScaleCrop>
  <Company>Hewlett-Packard Company</Company>
  <LinksUpToDate>false</LinksUpToDate>
  <CharactersWithSpaces>112718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Ruberto</dc:creator>
  <cp:keywords/>
  <dc:description/>
  <cp:lastModifiedBy>Pietro Manzoni di Chiosca</cp:lastModifiedBy>
  <cp:revision>7</cp:revision>
  <cp:lastPrinted>2019-10-24T08:44:00Z</cp:lastPrinted>
  <dcterms:created xsi:type="dcterms:W3CDTF">2020-11-17T16:47:00Z</dcterms:created>
  <dcterms:modified xsi:type="dcterms:W3CDTF">2021-09-14T11:00:00Z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0x0101005A5B55708C05BB4DAEDDFA085024A108</vt:lpwstr>
  </property>
</Properties>
</file>